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88" w:lineRule="auto"/>
        <w:jc w:val="center"/>
        <w:rPr>
          <w:rFonts w:ascii="宋体" w:hAnsi="宋体"/>
          <w:b/>
          <w:sz w:val="44"/>
          <w:szCs w:val="44"/>
        </w:rPr>
      </w:pPr>
      <w:bookmarkStart w:id="8" w:name="_GoBack"/>
      <w:bookmarkEnd w:id="8"/>
      <w:bookmarkStart w:id="0" w:name="_Toc529615551"/>
    </w:p>
    <w:p>
      <w:pPr>
        <w:snapToGrid w:val="0"/>
        <w:spacing w:line="288" w:lineRule="auto"/>
        <w:jc w:val="center"/>
        <w:rPr>
          <w:rFonts w:ascii="宋体" w:hAnsi="宋体"/>
          <w:b/>
          <w:sz w:val="44"/>
          <w:szCs w:val="44"/>
        </w:rPr>
      </w:pPr>
    </w:p>
    <w:p>
      <w:pPr>
        <w:snapToGrid w:val="0"/>
        <w:spacing w:line="288" w:lineRule="auto"/>
        <w:jc w:val="center"/>
        <w:rPr>
          <w:rFonts w:ascii="宋体" w:hAnsi="宋体"/>
          <w:b/>
          <w:sz w:val="44"/>
          <w:szCs w:val="44"/>
        </w:rPr>
      </w:pPr>
    </w:p>
    <w:p>
      <w:pPr>
        <w:snapToGrid w:val="0"/>
        <w:spacing w:line="288" w:lineRule="auto"/>
        <w:jc w:val="center"/>
        <w:rPr>
          <w:rFonts w:ascii="宋体" w:hAnsi="宋体"/>
          <w:b/>
          <w:sz w:val="44"/>
          <w:szCs w:val="44"/>
        </w:rPr>
      </w:pPr>
    </w:p>
    <w:p>
      <w:pPr>
        <w:snapToGrid w:val="0"/>
        <w:spacing w:line="288" w:lineRule="auto"/>
        <w:jc w:val="center"/>
        <w:rPr>
          <w:rFonts w:ascii="宋体" w:hAnsi="宋体"/>
          <w:b/>
          <w:sz w:val="44"/>
          <w:szCs w:val="44"/>
        </w:rPr>
      </w:pPr>
      <w:r>
        <w:rPr>
          <w:rFonts w:ascii="宋体" w:hAnsi="宋体"/>
          <w:b/>
          <w:sz w:val="44"/>
          <w:szCs w:val="44"/>
        </w:rPr>
        <w:t>2020</w:t>
      </w:r>
      <w:r>
        <w:rPr>
          <w:rFonts w:hint="eastAsia" w:ascii="宋体" w:hAnsi="宋体"/>
          <w:b/>
          <w:sz w:val="44"/>
          <w:szCs w:val="44"/>
        </w:rPr>
        <w:t>年广东省环境监测中心</w:t>
      </w:r>
    </w:p>
    <w:p>
      <w:pPr>
        <w:snapToGrid w:val="0"/>
        <w:spacing w:line="288" w:lineRule="auto"/>
        <w:jc w:val="center"/>
        <w:rPr>
          <w:rFonts w:ascii="宋体" w:hAnsi="宋体"/>
          <w:b/>
          <w:sz w:val="44"/>
          <w:szCs w:val="44"/>
        </w:rPr>
      </w:pPr>
      <w:r>
        <w:rPr>
          <w:rFonts w:hint="eastAsia" w:ascii="宋体" w:hAnsi="宋体"/>
          <w:b/>
          <w:sz w:val="44"/>
          <w:szCs w:val="44"/>
        </w:rPr>
        <w:t>监测仪器设备购置项目（包组4）</w:t>
      </w:r>
    </w:p>
    <w:p>
      <w:pPr>
        <w:snapToGrid w:val="0"/>
        <w:spacing w:line="288" w:lineRule="auto"/>
        <w:jc w:val="center"/>
        <w:rPr>
          <w:rFonts w:ascii="宋体" w:hAnsi="宋体"/>
          <w:b/>
          <w:sz w:val="44"/>
          <w:szCs w:val="44"/>
        </w:rPr>
      </w:pPr>
      <w:r>
        <w:rPr>
          <w:rFonts w:hint="eastAsia" w:ascii="宋体" w:hAnsi="宋体"/>
          <w:b/>
          <w:sz w:val="44"/>
          <w:szCs w:val="44"/>
        </w:rPr>
        <w:t>用户需求</w:t>
      </w:r>
    </w:p>
    <w:p>
      <w:pPr>
        <w:snapToGrid w:val="0"/>
        <w:spacing w:line="288" w:lineRule="auto"/>
        <w:jc w:val="center"/>
        <w:rPr>
          <w:rFonts w:ascii="宋体" w:hAnsi="宋体"/>
          <w:b/>
          <w:sz w:val="28"/>
          <w:szCs w:val="28"/>
        </w:rPr>
      </w:pPr>
    </w:p>
    <w:p>
      <w:pPr>
        <w:snapToGrid w:val="0"/>
        <w:spacing w:line="288" w:lineRule="auto"/>
        <w:jc w:val="center"/>
        <w:rPr>
          <w:rFonts w:ascii="宋体" w:hAnsi="宋体"/>
          <w:b/>
          <w:sz w:val="28"/>
          <w:szCs w:val="28"/>
        </w:rPr>
        <w:sectPr>
          <w:footerReference r:id="rId3" w:type="default"/>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b/>
          <w:bCs/>
          <w:sz w:val="24"/>
          <w:szCs w:val="24"/>
        </w:rPr>
      </w:pPr>
    </w:p>
    <w:p>
      <w:pPr>
        <w:pStyle w:val="2"/>
        <w:numPr>
          <w:ilvl w:val="255"/>
          <w:numId w:val="0"/>
        </w:numPr>
        <w:spacing w:before="62" w:after="62"/>
        <w:jc w:val="center"/>
        <w:rPr>
          <w:rFonts w:ascii="Times New Roman" w:hAnsi="Times New Roman"/>
          <w:b w:val="0"/>
          <w:color w:val="auto"/>
          <w:szCs w:val="28"/>
        </w:rPr>
      </w:pPr>
      <w:r>
        <w:rPr>
          <w:rFonts w:hint="eastAsia" w:ascii="Times New Roman" w:hAnsi="Times New Roman"/>
          <w:b w:val="0"/>
          <w:color w:val="auto"/>
          <w:szCs w:val="28"/>
        </w:rPr>
        <w:t>第一部分</w:t>
      </w:r>
      <w:r>
        <w:rPr>
          <w:rFonts w:ascii="Times New Roman" w:hAnsi="Times New Roman"/>
          <w:b w:val="0"/>
          <w:color w:val="auto"/>
          <w:szCs w:val="28"/>
        </w:rPr>
        <w:t xml:space="preserve"> </w:t>
      </w:r>
      <w:r>
        <w:rPr>
          <w:rFonts w:hint="eastAsia" w:ascii="Times New Roman" w:hAnsi="Times New Roman"/>
          <w:b w:val="0"/>
          <w:color w:val="auto"/>
          <w:szCs w:val="28"/>
        </w:rPr>
        <w:t>技术需求</w:t>
      </w:r>
    </w:p>
    <w:p>
      <w:pPr>
        <w:snapToGrid w:val="0"/>
        <w:spacing w:line="360" w:lineRule="auto"/>
        <w:ind w:firstLine="480" w:firstLineChars="200"/>
        <w:jc w:val="left"/>
        <w:rPr>
          <w:sz w:val="24"/>
          <w:szCs w:val="28"/>
        </w:rPr>
      </w:pPr>
      <w:r>
        <w:rPr>
          <w:sz w:val="24"/>
          <w:szCs w:val="28"/>
        </w:rPr>
        <w:t>202</w:t>
      </w:r>
      <w:r>
        <w:rPr>
          <w:rFonts w:hint="eastAsia"/>
          <w:sz w:val="24"/>
          <w:szCs w:val="28"/>
        </w:rPr>
        <w:t>0年“广东省环境监测中心监测仪器设备购置”包组4清单见下表。</w:t>
      </w:r>
    </w:p>
    <w:tbl>
      <w:tblPr>
        <w:tblStyle w:val="19"/>
        <w:tblW w:w="8605" w:type="dxa"/>
        <w:tblInd w:w="0" w:type="dxa"/>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5432"/>
        <w:gridCol w:w="1730"/>
      </w:tblGrid>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序号</w:t>
            </w:r>
          </w:p>
        </w:tc>
        <w:tc>
          <w:tcPr>
            <w:tcW w:w="5432"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名称</w:t>
            </w:r>
          </w:p>
        </w:tc>
        <w:tc>
          <w:tcPr>
            <w:tcW w:w="173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s="宋体"/>
                <w:b/>
                <w:bCs/>
                <w:sz w:val="24"/>
                <w:szCs w:val="24"/>
              </w:rPr>
            </w:pPr>
            <w:r>
              <w:rPr>
                <w:rFonts w:hint="eastAsia" w:ascii="宋体" w:hAnsi="宋体" w:cs="宋体"/>
                <w:b/>
                <w:bCs/>
                <w:kern w:val="0"/>
                <w:sz w:val="24"/>
                <w:szCs w:val="24"/>
                <w:lang w:bidi="ar"/>
              </w:rPr>
              <w:t>数量（台）</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s="宋体"/>
                <w:sz w:val="24"/>
                <w:szCs w:val="24"/>
              </w:rPr>
            </w:pPr>
            <w:r>
              <w:rPr>
                <w:rFonts w:ascii="宋体" w:hAnsi="宋体" w:cs="宋体"/>
                <w:kern w:val="0"/>
                <w:sz w:val="24"/>
                <w:szCs w:val="24"/>
                <w:lang w:bidi="ar"/>
              </w:rPr>
              <w:t>1</w:t>
            </w:r>
          </w:p>
        </w:tc>
        <w:tc>
          <w:tcPr>
            <w:tcW w:w="5432" w:type="dxa"/>
            <w:tcBorders>
              <w:tl2br w:val="nil"/>
              <w:tr2bl w:val="nil"/>
            </w:tcBorders>
            <w:shd w:val="clear" w:color="auto" w:fill="FFFFFF"/>
            <w:tcMar>
              <w:top w:w="15" w:type="dxa"/>
              <w:left w:w="15" w:type="dxa"/>
              <w:right w:w="15" w:type="dxa"/>
            </w:tcMar>
            <w:vAlign w:val="center"/>
          </w:tcPr>
          <w:p>
            <w:pPr>
              <w:widowControl/>
              <w:jc w:val="center"/>
              <w:rPr>
                <w:color w:val="auto"/>
                <w:sz w:val="22"/>
              </w:rPr>
            </w:pPr>
            <w:r>
              <w:rPr>
                <w:rFonts w:hint="eastAsia"/>
                <w:color w:val="auto"/>
                <w:sz w:val="22"/>
              </w:rPr>
              <w:t>酶底物法封口机（程控定量封口机）</w:t>
            </w:r>
          </w:p>
        </w:tc>
        <w:tc>
          <w:tcPr>
            <w:tcW w:w="1730" w:type="dxa"/>
            <w:tcBorders>
              <w:tl2br w:val="nil"/>
              <w:tr2bl w:val="nil"/>
            </w:tcBorders>
            <w:shd w:val="clear" w:color="auto" w:fill="FFFFFF"/>
            <w:tcMar>
              <w:top w:w="15" w:type="dxa"/>
              <w:left w:w="15" w:type="dxa"/>
              <w:right w:w="15" w:type="dxa"/>
            </w:tcMar>
            <w:vAlign w:val="center"/>
          </w:tcPr>
          <w:p>
            <w:pPr>
              <w:jc w:val="center"/>
              <w:rPr>
                <w:color w:val="auto"/>
                <w:sz w:val="22"/>
              </w:rPr>
            </w:pPr>
            <w:r>
              <w:rPr>
                <w:color w:val="auto"/>
                <w:sz w:val="22"/>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s="宋体"/>
                <w:sz w:val="24"/>
                <w:szCs w:val="24"/>
              </w:rPr>
            </w:pPr>
            <w:r>
              <w:rPr>
                <w:rFonts w:ascii="宋体" w:hAnsi="宋体" w:cs="宋体"/>
                <w:kern w:val="0"/>
                <w:sz w:val="24"/>
                <w:szCs w:val="24"/>
                <w:lang w:bidi="ar"/>
              </w:rPr>
              <w:t>2</w:t>
            </w:r>
          </w:p>
        </w:tc>
        <w:tc>
          <w:tcPr>
            <w:tcW w:w="5432" w:type="dxa"/>
            <w:tcBorders>
              <w:tl2br w:val="nil"/>
              <w:tr2bl w:val="nil"/>
            </w:tcBorders>
            <w:shd w:val="clear" w:color="auto" w:fill="FFFFFF"/>
            <w:tcMar>
              <w:top w:w="15" w:type="dxa"/>
              <w:left w:w="15" w:type="dxa"/>
              <w:right w:w="15" w:type="dxa"/>
            </w:tcMar>
            <w:vAlign w:val="center"/>
          </w:tcPr>
          <w:p>
            <w:pPr>
              <w:jc w:val="center"/>
              <w:rPr>
                <w:color w:val="auto"/>
                <w:sz w:val="22"/>
              </w:rPr>
            </w:pPr>
            <w:r>
              <w:rPr>
                <w:rFonts w:hint="eastAsia"/>
                <w:color w:val="auto"/>
                <w:sz w:val="22"/>
              </w:rPr>
              <w:t>全自动液液振荡萃取仪</w:t>
            </w:r>
          </w:p>
        </w:tc>
        <w:tc>
          <w:tcPr>
            <w:tcW w:w="1730" w:type="dxa"/>
            <w:tcBorders>
              <w:tl2br w:val="nil"/>
              <w:tr2bl w:val="nil"/>
            </w:tcBorders>
            <w:shd w:val="clear" w:color="auto" w:fill="FFFFFF"/>
            <w:tcMar>
              <w:top w:w="15" w:type="dxa"/>
              <w:left w:w="15" w:type="dxa"/>
              <w:right w:w="15" w:type="dxa"/>
            </w:tcMar>
            <w:vAlign w:val="center"/>
          </w:tcPr>
          <w:p>
            <w:pPr>
              <w:jc w:val="center"/>
              <w:rPr>
                <w:color w:val="auto"/>
                <w:sz w:val="22"/>
              </w:rPr>
            </w:pPr>
            <w:r>
              <w:rPr>
                <w:color w:val="auto"/>
                <w:sz w:val="22"/>
              </w:rPr>
              <w:t>6</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s="宋体"/>
                <w:sz w:val="24"/>
                <w:szCs w:val="24"/>
              </w:rPr>
            </w:pPr>
            <w:r>
              <w:rPr>
                <w:rFonts w:ascii="宋体" w:hAnsi="宋体" w:cs="宋体"/>
                <w:kern w:val="0"/>
                <w:sz w:val="24"/>
                <w:szCs w:val="24"/>
                <w:lang w:bidi="ar"/>
              </w:rPr>
              <w:t>3</w:t>
            </w:r>
          </w:p>
        </w:tc>
        <w:tc>
          <w:tcPr>
            <w:tcW w:w="5432" w:type="dxa"/>
            <w:tcBorders>
              <w:tl2br w:val="nil"/>
              <w:tr2bl w:val="nil"/>
            </w:tcBorders>
            <w:shd w:val="clear" w:color="auto" w:fill="FFFFFF"/>
            <w:tcMar>
              <w:top w:w="15" w:type="dxa"/>
              <w:left w:w="15" w:type="dxa"/>
              <w:right w:w="15" w:type="dxa"/>
            </w:tcMar>
            <w:vAlign w:val="center"/>
          </w:tcPr>
          <w:p>
            <w:pPr>
              <w:jc w:val="center"/>
              <w:rPr>
                <w:color w:val="auto"/>
                <w:sz w:val="22"/>
              </w:rPr>
            </w:pPr>
            <w:r>
              <w:rPr>
                <w:rFonts w:hint="eastAsia"/>
                <w:color w:val="auto"/>
                <w:sz w:val="22"/>
              </w:rPr>
              <w:t>旋转蒸发仪</w:t>
            </w:r>
          </w:p>
        </w:tc>
        <w:tc>
          <w:tcPr>
            <w:tcW w:w="1730" w:type="dxa"/>
            <w:tcBorders>
              <w:tl2br w:val="nil"/>
              <w:tr2bl w:val="nil"/>
            </w:tcBorders>
            <w:shd w:val="clear" w:color="auto" w:fill="FFFFFF"/>
            <w:tcMar>
              <w:top w:w="15" w:type="dxa"/>
              <w:left w:w="15" w:type="dxa"/>
              <w:right w:w="15" w:type="dxa"/>
            </w:tcMar>
            <w:vAlign w:val="center"/>
          </w:tcPr>
          <w:p>
            <w:pPr>
              <w:jc w:val="center"/>
              <w:rPr>
                <w:color w:val="auto"/>
                <w:sz w:val="22"/>
              </w:rPr>
            </w:pPr>
            <w:r>
              <w:rPr>
                <w:color w:val="auto"/>
                <w:sz w:val="22"/>
              </w:rPr>
              <w:t>4</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1443"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s="宋体"/>
                <w:sz w:val="24"/>
                <w:szCs w:val="24"/>
              </w:rPr>
            </w:pPr>
            <w:r>
              <w:rPr>
                <w:rFonts w:ascii="宋体" w:hAnsi="宋体" w:cs="宋体"/>
                <w:kern w:val="0"/>
                <w:sz w:val="24"/>
                <w:szCs w:val="24"/>
                <w:lang w:bidi="ar"/>
              </w:rPr>
              <w:t>4</w:t>
            </w:r>
          </w:p>
        </w:tc>
        <w:tc>
          <w:tcPr>
            <w:tcW w:w="5432" w:type="dxa"/>
            <w:tcBorders>
              <w:tl2br w:val="nil"/>
              <w:tr2bl w:val="nil"/>
            </w:tcBorders>
            <w:shd w:val="clear" w:color="auto" w:fill="FFFFFF"/>
            <w:tcMar>
              <w:top w:w="15" w:type="dxa"/>
              <w:left w:w="15" w:type="dxa"/>
              <w:right w:w="15" w:type="dxa"/>
            </w:tcMar>
            <w:vAlign w:val="center"/>
          </w:tcPr>
          <w:p>
            <w:pPr>
              <w:jc w:val="center"/>
              <w:rPr>
                <w:color w:val="auto"/>
                <w:sz w:val="22"/>
              </w:rPr>
            </w:pPr>
            <w:r>
              <w:rPr>
                <w:rFonts w:hint="eastAsia"/>
                <w:color w:val="auto"/>
                <w:sz w:val="22"/>
              </w:rPr>
              <w:t>酶标仪（化学发光仪）</w:t>
            </w:r>
          </w:p>
        </w:tc>
        <w:tc>
          <w:tcPr>
            <w:tcW w:w="1730" w:type="dxa"/>
            <w:tcBorders>
              <w:tl2br w:val="nil"/>
              <w:tr2bl w:val="nil"/>
            </w:tcBorders>
            <w:shd w:val="clear" w:color="auto" w:fill="FFFFFF"/>
            <w:tcMar>
              <w:top w:w="15" w:type="dxa"/>
              <w:left w:w="15" w:type="dxa"/>
              <w:right w:w="15" w:type="dxa"/>
            </w:tcMar>
            <w:vAlign w:val="center"/>
          </w:tcPr>
          <w:p>
            <w:pPr>
              <w:jc w:val="center"/>
              <w:rPr>
                <w:color w:val="auto"/>
                <w:sz w:val="22"/>
              </w:rPr>
            </w:pPr>
            <w:r>
              <w:rPr>
                <w:color w:val="auto"/>
                <w:sz w:val="22"/>
              </w:rPr>
              <w:t>1</w:t>
            </w:r>
          </w:p>
        </w:tc>
      </w:tr>
      <w:tr>
        <w:tblPrEx>
          <w:tblBorders>
            <w:top w:val="single" w:color="000000" w:sz="4" w:space="0"/>
            <w:left w:val="none" w:color="auto" w:sz="0" w:space="0"/>
            <w:bottom w:val="single" w:color="000000" w:sz="4"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Ex>
        <w:trPr>
          <w:trHeight w:val="556" w:hRule="atLeast"/>
        </w:trPr>
        <w:tc>
          <w:tcPr>
            <w:tcW w:w="6875" w:type="dxa"/>
            <w:gridSpan w:val="2"/>
            <w:tcBorders>
              <w:tl2br w:val="nil"/>
              <w:tr2bl w:val="nil"/>
            </w:tcBorders>
            <w:shd w:val="clear" w:color="auto" w:fill="FFFFFF"/>
            <w:tcMar>
              <w:top w:w="15" w:type="dxa"/>
              <w:left w:w="15" w:type="dxa"/>
              <w:right w:w="15" w:type="dxa"/>
            </w:tcMar>
            <w:vAlign w:val="center"/>
          </w:tcPr>
          <w:p>
            <w:pPr>
              <w:ind w:firstLine="2640" w:firstLineChars="1100"/>
              <w:textAlignment w:val="center"/>
              <w:rPr>
                <w:rFonts w:ascii="宋体" w:hAnsi="宋体" w:cs="宋体"/>
                <w:sz w:val="24"/>
                <w:szCs w:val="24"/>
              </w:rPr>
            </w:pPr>
            <w:r>
              <w:rPr>
                <w:rFonts w:hint="eastAsia" w:ascii="宋体" w:hAnsi="宋体" w:cs="宋体"/>
                <w:sz w:val="24"/>
                <w:szCs w:val="24"/>
              </w:rPr>
              <w:t>总计</w:t>
            </w:r>
          </w:p>
        </w:tc>
        <w:tc>
          <w:tcPr>
            <w:tcW w:w="1730" w:type="dxa"/>
            <w:tcBorders>
              <w:tl2br w:val="nil"/>
              <w:tr2bl w:val="nil"/>
            </w:tcBorders>
            <w:shd w:val="clear" w:color="auto" w:fill="FFFFFF"/>
            <w:tcMar>
              <w:top w:w="15" w:type="dxa"/>
              <w:left w:w="15" w:type="dxa"/>
              <w:right w:w="15" w:type="dxa"/>
            </w:tcMar>
            <w:vAlign w:val="center"/>
          </w:tcPr>
          <w:p>
            <w:pPr>
              <w:widowControl/>
              <w:jc w:val="center"/>
              <w:textAlignment w:val="center"/>
              <w:rPr>
                <w:rFonts w:ascii="宋体" w:hAnsi="宋体" w:cs="宋体"/>
                <w:sz w:val="24"/>
                <w:szCs w:val="24"/>
              </w:rPr>
            </w:pPr>
            <w:r>
              <w:rPr>
                <w:rFonts w:ascii="宋体" w:hAnsi="宋体" w:cs="宋体"/>
                <w:kern w:val="0"/>
                <w:sz w:val="24"/>
                <w:szCs w:val="24"/>
                <w:lang w:bidi="ar"/>
              </w:rPr>
              <w:t>12</w:t>
            </w:r>
          </w:p>
        </w:tc>
      </w:tr>
    </w:tbl>
    <w:p>
      <w:pPr>
        <w:spacing w:line="360" w:lineRule="auto"/>
        <w:rPr>
          <w:rFonts w:ascii="Times New Roman" w:hAnsi="Times New Roman"/>
          <w:b/>
          <w:bCs/>
          <w:sz w:val="24"/>
          <w:szCs w:val="24"/>
        </w:rPr>
      </w:pPr>
    </w:p>
    <w:p>
      <w:pPr>
        <w:pStyle w:val="5"/>
        <w:numPr>
          <w:ilvl w:val="255"/>
          <w:numId w:val="0"/>
        </w:numPr>
        <w:tabs>
          <w:tab w:val="left" w:pos="1440"/>
          <w:tab w:val="clear" w:pos="862"/>
        </w:tabs>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一、酶底物法封口机（程控定量封口机）</w:t>
      </w:r>
    </w:p>
    <w:p>
      <w:pPr>
        <w:spacing w:line="360" w:lineRule="auto"/>
        <w:ind w:firstLine="388" w:firstLineChars="200"/>
        <w:rPr>
          <w:rFonts w:ascii="Times New Roman" w:hAnsi="Times New Roman"/>
          <w:spacing w:val="-8"/>
          <w:kern w:val="0"/>
          <w:szCs w:val="21"/>
        </w:rPr>
      </w:pPr>
      <w:r>
        <w:rPr>
          <w:rFonts w:ascii="Times New Roman" w:hAnsi="Times New Roman"/>
          <w:spacing w:val="-8"/>
          <w:kern w:val="0"/>
          <w:szCs w:val="21"/>
        </w:rPr>
        <w:t>用于总大肠菌群、粪大肠菌群和大肠埃希氏菌的测定，符合</w:t>
      </w:r>
      <w:r>
        <w:rPr>
          <w:rFonts w:hint="eastAsia" w:ascii="Times New Roman" w:hAnsi="Times New Roman"/>
          <w:spacing w:val="-8"/>
          <w:kern w:val="0"/>
          <w:szCs w:val="21"/>
        </w:rPr>
        <w:t>《水质 总大肠菌群 粪大肠菌群和大肠埃希氏菌的测定 酶底物法》（</w:t>
      </w:r>
      <w:r>
        <w:rPr>
          <w:rFonts w:ascii="Times New Roman" w:hAnsi="Times New Roman"/>
          <w:spacing w:val="-8"/>
          <w:kern w:val="0"/>
          <w:szCs w:val="21"/>
        </w:rPr>
        <w:t>HJ 1001-2018</w:t>
      </w:r>
      <w:r>
        <w:rPr>
          <w:rFonts w:hint="eastAsia" w:ascii="Times New Roman" w:hAnsi="Times New Roman"/>
          <w:spacing w:val="-8"/>
          <w:kern w:val="0"/>
          <w:szCs w:val="21"/>
        </w:rPr>
        <w:t>）</w:t>
      </w:r>
      <w:r>
        <w:rPr>
          <w:rFonts w:ascii="Times New Roman" w:hAnsi="Times New Roman"/>
          <w:spacing w:val="-8"/>
          <w:kern w:val="0"/>
          <w:szCs w:val="21"/>
        </w:rPr>
        <w:t>标准</w:t>
      </w:r>
      <w:r>
        <w:rPr>
          <w:rFonts w:hint="eastAsia" w:ascii="Times New Roman" w:hAnsi="Times New Roman"/>
          <w:spacing w:val="-8"/>
          <w:kern w:val="0"/>
          <w:szCs w:val="21"/>
        </w:rPr>
        <w:t>方法中对封口机的要求</w:t>
      </w:r>
      <w:r>
        <w:rPr>
          <w:rFonts w:ascii="Times New Roman" w:hAnsi="Times New Roman"/>
          <w:spacing w:val="-8"/>
          <w:kern w:val="0"/>
          <w:szCs w:val="21"/>
        </w:rPr>
        <w:t>。</w:t>
      </w:r>
    </w:p>
    <w:p>
      <w:pPr>
        <w:pStyle w:val="7"/>
        <w:tabs>
          <w:tab w:val="left" w:pos="828"/>
        </w:tabs>
        <w:adjustRightInd w:val="0"/>
        <w:snapToGrid w:val="0"/>
        <w:jc w:val="left"/>
        <w:rPr>
          <w:rFonts w:ascii="Times New Roman" w:hAnsi="Times New Roman"/>
          <w:b/>
          <w:bCs/>
          <w:kern w:val="0"/>
          <w:sz w:val="21"/>
          <w:szCs w:val="21"/>
        </w:rPr>
      </w:pPr>
      <w:r>
        <w:rPr>
          <w:rFonts w:ascii="Times New Roman" w:hAnsi="Times New Roman"/>
          <w:b/>
          <w:bCs/>
          <w:kern w:val="0"/>
          <w:sz w:val="21"/>
          <w:szCs w:val="21"/>
        </w:rPr>
        <w:t>1.技术指标</w:t>
      </w:r>
    </w:p>
    <w:p>
      <w:pPr>
        <w:pStyle w:val="7"/>
        <w:tabs>
          <w:tab w:val="left" w:pos="828"/>
        </w:tabs>
        <w:adjustRightInd w:val="0"/>
        <w:snapToGrid w:val="0"/>
        <w:jc w:val="left"/>
        <w:rPr>
          <w:rFonts w:ascii="Times New Roman" w:hAnsi="Times New Roman"/>
          <w:kern w:val="0"/>
          <w:sz w:val="21"/>
          <w:szCs w:val="21"/>
        </w:rPr>
      </w:pPr>
      <w:r>
        <w:rPr>
          <w:rFonts w:ascii="Times New Roman" w:hAnsi="Times New Roman"/>
          <w:kern w:val="0"/>
          <w:sz w:val="21"/>
          <w:szCs w:val="21"/>
        </w:rPr>
        <w:t>1.1 可配合51孔</w:t>
      </w:r>
      <w:r>
        <w:rPr>
          <w:rFonts w:hint="eastAsia" w:ascii="Times New Roman" w:hAnsi="Times New Roman"/>
          <w:kern w:val="0"/>
          <w:sz w:val="21"/>
          <w:szCs w:val="21"/>
        </w:rPr>
        <w:t>和</w:t>
      </w:r>
      <w:r>
        <w:rPr>
          <w:rFonts w:ascii="Times New Roman" w:hAnsi="Times New Roman"/>
          <w:kern w:val="0"/>
          <w:sz w:val="21"/>
          <w:szCs w:val="21"/>
        </w:rPr>
        <w:t>97孔定量盘使用</w:t>
      </w:r>
    </w:p>
    <w:p>
      <w:pPr>
        <w:pStyle w:val="7"/>
        <w:tabs>
          <w:tab w:val="left" w:pos="828"/>
        </w:tabs>
        <w:adjustRightInd w:val="0"/>
        <w:snapToGrid w:val="0"/>
        <w:jc w:val="left"/>
        <w:rPr>
          <w:rFonts w:ascii="Times New Roman" w:hAnsi="Times New Roman"/>
          <w:kern w:val="0"/>
          <w:sz w:val="21"/>
          <w:szCs w:val="21"/>
        </w:rPr>
      </w:pPr>
      <w:r>
        <w:rPr>
          <w:rFonts w:ascii="Times New Roman" w:hAnsi="Times New Roman"/>
          <w:kern w:val="0"/>
          <w:sz w:val="21"/>
          <w:szCs w:val="21"/>
        </w:rPr>
        <w:t>1.2 加热时间</w:t>
      </w:r>
      <w:r>
        <w:rPr>
          <w:rFonts w:hint="eastAsia" w:ascii="Times New Roman" w:hAnsi="Times New Roman"/>
          <w:kern w:val="0"/>
          <w:sz w:val="21"/>
          <w:szCs w:val="21"/>
        </w:rPr>
        <w:t>≤</w:t>
      </w:r>
      <w:r>
        <w:rPr>
          <w:rFonts w:ascii="Times New Roman" w:hAnsi="Times New Roman"/>
          <w:kern w:val="0"/>
          <w:sz w:val="21"/>
          <w:szCs w:val="21"/>
        </w:rPr>
        <w:t>5 min</w:t>
      </w:r>
    </w:p>
    <w:p>
      <w:pPr>
        <w:pStyle w:val="7"/>
        <w:tabs>
          <w:tab w:val="left" w:pos="828"/>
        </w:tabs>
        <w:adjustRightInd w:val="0"/>
        <w:snapToGrid w:val="0"/>
        <w:jc w:val="left"/>
        <w:rPr>
          <w:rFonts w:ascii="Times New Roman" w:hAnsi="Times New Roman"/>
          <w:kern w:val="0"/>
          <w:sz w:val="21"/>
          <w:szCs w:val="21"/>
        </w:rPr>
      </w:pPr>
      <w:r>
        <w:rPr>
          <w:rFonts w:hint="eastAsia" w:hAnsi="宋体" w:cs="Arial"/>
          <w:color w:val="auto"/>
          <w:kern w:val="0"/>
          <w:szCs w:val="21"/>
        </w:rPr>
        <w:t>▲</w:t>
      </w:r>
      <w:r>
        <w:rPr>
          <w:rFonts w:ascii="Times New Roman" w:hAnsi="Times New Roman"/>
          <w:kern w:val="0"/>
          <w:sz w:val="21"/>
          <w:szCs w:val="21"/>
        </w:rPr>
        <w:t>1.3封口时间</w:t>
      </w:r>
      <w:r>
        <w:rPr>
          <w:rFonts w:hint="eastAsia" w:ascii="Times New Roman" w:hAnsi="Times New Roman"/>
          <w:kern w:val="0"/>
          <w:sz w:val="21"/>
          <w:szCs w:val="21"/>
        </w:rPr>
        <w:t>≤</w:t>
      </w:r>
      <w:r>
        <w:rPr>
          <w:rFonts w:ascii="Times New Roman" w:hAnsi="Times New Roman"/>
          <w:kern w:val="0"/>
          <w:sz w:val="21"/>
          <w:szCs w:val="21"/>
        </w:rPr>
        <w:t>15秒</w:t>
      </w:r>
    </w:p>
    <w:p>
      <w:pPr>
        <w:pStyle w:val="7"/>
        <w:tabs>
          <w:tab w:val="left" w:pos="828"/>
        </w:tabs>
        <w:adjustRightInd w:val="0"/>
        <w:snapToGrid w:val="0"/>
        <w:jc w:val="left"/>
        <w:rPr>
          <w:rFonts w:ascii="Times New Roman" w:hAnsi="Times New Roman"/>
          <w:kern w:val="0"/>
          <w:sz w:val="21"/>
          <w:szCs w:val="21"/>
        </w:rPr>
      </w:pPr>
      <w:r>
        <w:rPr>
          <w:rFonts w:ascii="Times New Roman" w:hAnsi="Times New Roman"/>
          <w:kern w:val="0"/>
          <w:sz w:val="21"/>
          <w:szCs w:val="21"/>
        </w:rPr>
        <w:t>1.4可连续封口</w:t>
      </w:r>
    </w:p>
    <w:p>
      <w:pPr>
        <w:pStyle w:val="7"/>
        <w:tabs>
          <w:tab w:val="left" w:pos="828"/>
        </w:tabs>
        <w:adjustRightInd w:val="0"/>
        <w:snapToGrid w:val="0"/>
        <w:jc w:val="left"/>
        <w:rPr>
          <w:rFonts w:ascii="Times New Roman" w:hAnsi="Times New Roman"/>
          <w:kern w:val="0"/>
          <w:sz w:val="21"/>
          <w:szCs w:val="21"/>
        </w:rPr>
      </w:pPr>
      <w:r>
        <w:rPr>
          <w:rFonts w:ascii="Times New Roman" w:hAnsi="Times New Roman"/>
          <w:kern w:val="0"/>
          <w:sz w:val="21"/>
          <w:szCs w:val="21"/>
        </w:rPr>
        <w:t>1.5 有检修窗，用于清洗和维护仪器</w:t>
      </w:r>
    </w:p>
    <w:p>
      <w:pPr>
        <w:pStyle w:val="7"/>
        <w:tabs>
          <w:tab w:val="left" w:pos="828"/>
        </w:tabs>
        <w:adjustRightInd w:val="0"/>
        <w:snapToGrid w:val="0"/>
        <w:jc w:val="left"/>
        <w:rPr>
          <w:rFonts w:ascii="Times New Roman" w:hAnsi="Times New Roman"/>
          <w:kern w:val="0"/>
          <w:sz w:val="21"/>
          <w:szCs w:val="21"/>
        </w:rPr>
      </w:pPr>
      <w:r>
        <w:rPr>
          <w:rFonts w:hint="eastAsia" w:hAnsi="宋体" w:cs="Arial"/>
          <w:color w:val="auto"/>
          <w:kern w:val="0"/>
          <w:szCs w:val="21"/>
        </w:rPr>
        <w:t>▲</w:t>
      </w:r>
      <w:r>
        <w:rPr>
          <w:rFonts w:ascii="Times New Roman" w:hAnsi="Times New Roman"/>
          <w:kern w:val="0"/>
          <w:sz w:val="21"/>
          <w:szCs w:val="21"/>
        </w:rPr>
        <w:t>1.6 具备休眠模式和错误提示，再次启动后可快速预热，预热时间＜3 min</w:t>
      </w:r>
    </w:p>
    <w:p>
      <w:pPr>
        <w:pStyle w:val="7"/>
        <w:tabs>
          <w:tab w:val="left" w:pos="828"/>
        </w:tabs>
        <w:adjustRightInd w:val="0"/>
        <w:snapToGrid w:val="0"/>
        <w:jc w:val="left"/>
        <w:rPr>
          <w:rFonts w:ascii="Times New Roman" w:hAnsi="Times New Roman"/>
          <w:kern w:val="0"/>
          <w:sz w:val="21"/>
          <w:szCs w:val="21"/>
        </w:rPr>
      </w:pPr>
      <w:r>
        <w:rPr>
          <w:rFonts w:ascii="Times New Roman" w:hAnsi="Times New Roman"/>
          <w:kern w:val="0"/>
          <w:sz w:val="21"/>
          <w:szCs w:val="21"/>
        </w:rPr>
        <w:t>1.7 定量盘封口平整，无折痕</w:t>
      </w:r>
    </w:p>
    <w:p>
      <w:pPr>
        <w:pStyle w:val="7"/>
        <w:tabs>
          <w:tab w:val="left" w:pos="828"/>
        </w:tabs>
        <w:adjustRightInd w:val="0"/>
        <w:snapToGrid w:val="0"/>
        <w:jc w:val="left"/>
        <w:rPr>
          <w:rFonts w:ascii="Times New Roman" w:hAnsi="Times New Roman"/>
          <w:kern w:val="0"/>
          <w:sz w:val="21"/>
          <w:szCs w:val="21"/>
        </w:rPr>
      </w:pPr>
      <w:r>
        <w:rPr>
          <w:rFonts w:ascii="Times New Roman" w:hAnsi="Times New Roman"/>
          <w:kern w:val="0"/>
          <w:sz w:val="21"/>
          <w:szCs w:val="21"/>
        </w:rPr>
        <w:t xml:space="preserve">1.8 </w:t>
      </w:r>
      <w:r>
        <w:rPr>
          <w:rFonts w:hint="eastAsia" w:ascii="Times New Roman" w:hAnsi="Times New Roman"/>
          <w:kern w:val="0"/>
          <w:sz w:val="21"/>
          <w:szCs w:val="21"/>
        </w:rPr>
        <w:t>便携式紫外灯：6W，波长3</w:t>
      </w:r>
      <w:r>
        <w:rPr>
          <w:rFonts w:ascii="Times New Roman" w:hAnsi="Times New Roman"/>
          <w:kern w:val="0"/>
          <w:sz w:val="21"/>
          <w:szCs w:val="21"/>
        </w:rPr>
        <w:t>65-366 nm</w:t>
      </w:r>
      <w:r>
        <w:rPr>
          <w:rFonts w:hint="eastAsia" w:ascii="Times New Roman" w:hAnsi="Times New Roman"/>
          <w:kern w:val="0"/>
          <w:sz w:val="21"/>
          <w:szCs w:val="21"/>
        </w:rPr>
        <w:t>，与紫外灯匹配的紫外灯箱，保证暗场观测效果</w:t>
      </w:r>
    </w:p>
    <w:p>
      <w:pPr>
        <w:pStyle w:val="7"/>
        <w:tabs>
          <w:tab w:val="left" w:pos="828"/>
        </w:tabs>
        <w:adjustRightInd w:val="0"/>
        <w:snapToGrid w:val="0"/>
        <w:jc w:val="left"/>
        <w:rPr>
          <w:rFonts w:ascii="Times New Roman" w:hAnsi="Times New Roman"/>
          <w:b/>
          <w:bCs/>
          <w:kern w:val="0"/>
          <w:sz w:val="21"/>
          <w:szCs w:val="21"/>
        </w:rPr>
      </w:pPr>
      <w:r>
        <w:rPr>
          <w:rFonts w:ascii="Times New Roman" w:hAnsi="Times New Roman"/>
          <w:b/>
          <w:bCs/>
          <w:kern w:val="0"/>
          <w:sz w:val="21"/>
          <w:szCs w:val="21"/>
        </w:rPr>
        <w:t>2.配置</w:t>
      </w:r>
    </w:p>
    <w:p>
      <w:pPr>
        <w:pStyle w:val="7"/>
        <w:tabs>
          <w:tab w:val="left" w:pos="828"/>
        </w:tabs>
        <w:adjustRightInd w:val="0"/>
        <w:snapToGrid w:val="0"/>
        <w:jc w:val="left"/>
        <w:rPr>
          <w:rFonts w:ascii="Times New Roman" w:hAnsi="Times New Roman"/>
          <w:kern w:val="0"/>
          <w:sz w:val="21"/>
          <w:szCs w:val="21"/>
        </w:rPr>
      </w:pPr>
      <w:r>
        <w:rPr>
          <w:rFonts w:ascii="Times New Roman" w:hAnsi="Times New Roman"/>
          <w:kern w:val="0"/>
          <w:sz w:val="21"/>
          <w:szCs w:val="21"/>
        </w:rPr>
        <w:t>2.1 封口机主机</w:t>
      </w:r>
      <w:r>
        <w:rPr>
          <w:rFonts w:hint="eastAsia" w:ascii="Times New Roman" w:hAnsi="Times New Roman"/>
          <w:kern w:val="0"/>
          <w:sz w:val="21"/>
          <w:szCs w:val="21"/>
        </w:rPr>
        <w:t xml:space="preserve">带进样口托盘 </w:t>
      </w:r>
      <w:r>
        <w:rPr>
          <w:rFonts w:ascii="Times New Roman" w:hAnsi="Times New Roman"/>
          <w:kern w:val="0"/>
          <w:sz w:val="21"/>
          <w:szCs w:val="21"/>
        </w:rPr>
        <w:t>1</w:t>
      </w:r>
      <w:r>
        <w:rPr>
          <w:rFonts w:hint="eastAsia" w:ascii="Times New Roman" w:hAnsi="Times New Roman"/>
          <w:kern w:val="0"/>
          <w:sz w:val="21"/>
          <w:szCs w:val="21"/>
        </w:rPr>
        <w:t>台</w:t>
      </w:r>
    </w:p>
    <w:p>
      <w:pPr>
        <w:pStyle w:val="7"/>
        <w:tabs>
          <w:tab w:val="left" w:pos="828"/>
        </w:tabs>
        <w:adjustRightInd w:val="0"/>
        <w:snapToGrid w:val="0"/>
        <w:jc w:val="left"/>
        <w:rPr>
          <w:rFonts w:ascii="Times New Roman" w:hAnsi="Times New Roman"/>
          <w:kern w:val="0"/>
          <w:sz w:val="21"/>
          <w:szCs w:val="21"/>
        </w:rPr>
      </w:pPr>
      <w:r>
        <w:rPr>
          <w:rFonts w:hint="eastAsia" w:ascii="Times New Roman" w:hAnsi="Times New Roman"/>
          <w:kern w:val="0"/>
          <w:sz w:val="21"/>
          <w:szCs w:val="21"/>
        </w:rPr>
        <w:t>2</w:t>
      </w:r>
      <w:r>
        <w:rPr>
          <w:rFonts w:ascii="Times New Roman" w:hAnsi="Times New Roman"/>
          <w:kern w:val="0"/>
          <w:sz w:val="21"/>
          <w:szCs w:val="21"/>
        </w:rPr>
        <w:t xml:space="preserve">.2 </w:t>
      </w:r>
      <w:r>
        <w:rPr>
          <w:rFonts w:hint="eastAsia" w:ascii="Times New Roman" w:hAnsi="Times New Roman"/>
          <w:kern w:val="0"/>
          <w:sz w:val="21"/>
          <w:szCs w:val="21"/>
        </w:rPr>
        <w:t>便携式紫外灯及配套的紫外灯箱1套</w:t>
      </w:r>
    </w:p>
    <w:p>
      <w:pPr>
        <w:pStyle w:val="7"/>
        <w:tabs>
          <w:tab w:val="left" w:pos="828"/>
        </w:tabs>
        <w:adjustRightInd w:val="0"/>
        <w:snapToGrid w:val="0"/>
        <w:jc w:val="left"/>
        <w:rPr>
          <w:rFonts w:ascii="Times New Roman" w:hAnsi="Times New Roman"/>
          <w:kern w:val="0"/>
          <w:sz w:val="21"/>
          <w:szCs w:val="21"/>
        </w:rPr>
      </w:pPr>
      <w:r>
        <w:rPr>
          <w:rFonts w:ascii="Times New Roman" w:hAnsi="Times New Roman"/>
          <w:kern w:val="0"/>
          <w:sz w:val="21"/>
          <w:szCs w:val="21"/>
        </w:rPr>
        <w:t>2.3 51</w:t>
      </w:r>
      <w:r>
        <w:rPr>
          <w:rFonts w:hint="eastAsia" w:ascii="Times New Roman" w:hAnsi="Times New Roman"/>
          <w:kern w:val="0"/>
          <w:sz w:val="21"/>
          <w:szCs w:val="21"/>
        </w:rPr>
        <w:t>孔及9</w:t>
      </w:r>
      <w:r>
        <w:rPr>
          <w:rFonts w:ascii="Times New Roman" w:hAnsi="Times New Roman"/>
          <w:kern w:val="0"/>
          <w:sz w:val="21"/>
          <w:szCs w:val="21"/>
        </w:rPr>
        <w:t>7</w:t>
      </w:r>
      <w:r>
        <w:rPr>
          <w:rFonts w:hint="eastAsia" w:ascii="Times New Roman" w:hAnsi="Times New Roman"/>
          <w:kern w:val="0"/>
          <w:sz w:val="21"/>
          <w:szCs w:val="21"/>
        </w:rPr>
        <w:t>孔</w:t>
      </w:r>
      <w:r>
        <w:rPr>
          <w:rFonts w:ascii="Times New Roman" w:hAnsi="Times New Roman"/>
          <w:kern w:val="0"/>
          <w:sz w:val="21"/>
          <w:szCs w:val="21"/>
        </w:rPr>
        <w:t>定量盘橡胶垫</w:t>
      </w:r>
      <w:r>
        <w:rPr>
          <w:rFonts w:hint="eastAsia" w:ascii="Times New Roman" w:hAnsi="Times New Roman"/>
          <w:kern w:val="0"/>
          <w:sz w:val="21"/>
          <w:szCs w:val="21"/>
        </w:rPr>
        <w:t xml:space="preserve"> 各1个</w:t>
      </w:r>
    </w:p>
    <w:p>
      <w:pPr>
        <w:pStyle w:val="7"/>
        <w:tabs>
          <w:tab w:val="left" w:pos="828"/>
        </w:tabs>
        <w:adjustRightInd w:val="0"/>
        <w:snapToGrid w:val="0"/>
        <w:jc w:val="left"/>
        <w:rPr>
          <w:rFonts w:ascii="Times New Roman" w:hAnsi="Times New Roman"/>
          <w:kern w:val="0"/>
          <w:sz w:val="21"/>
          <w:szCs w:val="21"/>
        </w:rPr>
      </w:pPr>
      <w:r>
        <w:rPr>
          <w:rFonts w:ascii="Times New Roman" w:hAnsi="Times New Roman"/>
          <w:kern w:val="0"/>
          <w:sz w:val="21"/>
          <w:szCs w:val="21"/>
        </w:rPr>
        <w:t>2.4 配置使用说明书</w:t>
      </w:r>
    </w:p>
    <w:p>
      <w:pPr>
        <w:adjustRightInd w:val="0"/>
        <w:snapToGrid w:val="0"/>
        <w:spacing w:line="360" w:lineRule="auto"/>
        <w:rPr>
          <w:rFonts w:ascii="Times New Roman" w:hAnsi="Times New Roman"/>
          <w:b/>
          <w:bCs/>
          <w:kern w:val="0"/>
          <w:szCs w:val="21"/>
        </w:rPr>
      </w:pPr>
      <w:r>
        <w:rPr>
          <w:rFonts w:ascii="Times New Roman" w:hAnsi="Times New Roman"/>
          <w:b/>
          <w:bCs/>
          <w:kern w:val="0"/>
          <w:szCs w:val="21"/>
        </w:rPr>
        <w:t>3.验收指标</w:t>
      </w:r>
    </w:p>
    <w:p>
      <w:pPr>
        <w:snapToGrid w:val="0"/>
        <w:spacing w:line="360" w:lineRule="auto"/>
        <w:rPr>
          <w:rFonts w:ascii="Times New Roman" w:hAnsi="Times New Roman"/>
          <w:spacing w:val="-8"/>
          <w:kern w:val="0"/>
          <w:szCs w:val="21"/>
        </w:rPr>
      </w:pPr>
      <w:r>
        <w:rPr>
          <w:rFonts w:ascii="Times New Roman" w:hAnsi="Times New Roman"/>
          <w:spacing w:val="-8"/>
          <w:kern w:val="0"/>
          <w:szCs w:val="21"/>
        </w:rPr>
        <w:t xml:space="preserve">3.1 </w:t>
      </w:r>
      <w:r>
        <w:rPr>
          <w:rFonts w:ascii="Times New Roman" w:hAnsi="Times New Roman"/>
          <w:kern w:val="0"/>
          <w:szCs w:val="21"/>
        </w:rPr>
        <w:t>可配合51孔</w:t>
      </w:r>
      <w:r>
        <w:rPr>
          <w:rFonts w:hint="eastAsia" w:ascii="Times New Roman" w:hAnsi="Times New Roman"/>
          <w:kern w:val="0"/>
          <w:szCs w:val="21"/>
        </w:rPr>
        <w:t>和</w:t>
      </w:r>
      <w:r>
        <w:rPr>
          <w:rFonts w:ascii="Times New Roman" w:hAnsi="Times New Roman"/>
          <w:kern w:val="0"/>
          <w:szCs w:val="21"/>
        </w:rPr>
        <w:t>97孔定量盘使用</w:t>
      </w:r>
    </w:p>
    <w:p>
      <w:pPr>
        <w:snapToGrid w:val="0"/>
        <w:spacing w:line="360" w:lineRule="auto"/>
        <w:rPr>
          <w:rFonts w:ascii="Times New Roman" w:hAnsi="Times New Roman"/>
          <w:kern w:val="0"/>
          <w:szCs w:val="21"/>
        </w:rPr>
      </w:pPr>
      <w:r>
        <w:rPr>
          <w:rFonts w:ascii="Times New Roman" w:hAnsi="Times New Roman"/>
          <w:spacing w:val="-8"/>
          <w:kern w:val="0"/>
          <w:szCs w:val="21"/>
        </w:rPr>
        <w:t xml:space="preserve">3.2 </w:t>
      </w:r>
      <w:r>
        <w:rPr>
          <w:rFonts w:ascii="Times New Roman" w:hAnsi="Times New Roman"/>
          <w:kern w:val="0"/>
          <w:szCs w:val="21"/>
        </w:rPr>
        <w:t>加热时间</w:t>
      </w:r>
      <w:r>
        <w:rPr>
          <w:rFonts w:hint="eastAsia" w:ascii="Times New Roman" w:hAnsi="Times New Roman"/>
          <w:kern w:val="0"/>
          <w:szCs w:val="21"/>
        </w:rPr>
        <w:t>≤</w:t>
      </w:r>
      <w:r>
        <w:rPr>
          <w:rFonts w:ascii="Times New Roman" w:hAnsi="Times New Roman"/>
          <w:kern w:val="0"/>
          <w:szCs w:val="21"/>
        </w:rPr>
        <w:t>5 min</w:t>
      </w:r>
    </w:p>
    <w:p>
      <w:pPr>
        <w:snapToGrid w:val="0"/>
        <w:spacing w:line="360" w:lineRule="auto"/>
        <w:rPr>
          <w:rFonts w:ascii="Times New Roman" w:hAnsi="Times New Roman"/>
          <w:kern w:val="0"/>
          <w:szCs w:val="21"/>
        </w:rPr>
      </w:pPr>
      <w:r>
        <w:rPr>
          <w:rFonts w:ascii="Times New Roman" w:hAnsi="Times New Roman"/>
          <w:kern w:val="0"/>
          <w:szCs w:val="21"/>
        </w:rPr>
        <w:t>3.3 封口时间</w:t>
      </w:r>
      <w:r>
        <w:rPr>
          <w:rFonts w:hint="eastAsia" w:ascii="Times New Roman" w:hAnsi="Times New Roman"/>
          <w:kern w:val="0"/>
          <w:szCs w:val="21"/>
        </w:rPr>
        <w:t>≤</w:t>
      </w:r>
      <w:r>
        <w:rPr>
          <w:rFonts w:ascii="Times New Roman" w:hAnsi="Times New Roman"/>
          <w:kern w:val="0"/>
          <w:szCs w:val="21"/>
        </w:rPr>
        <w:t>15秒</w:t>
      </w:r>
    </w:p>
    <w:p>
      <w:pPr>
        <w:snapToGrid w:val="0"/>
        <w:spacing w:line="360" w:lineRule="auto"/>
        <w:rPr>
          <w:rFonts w:ascii="Times New Roman" w:hAnsi="Times New Roman"/>
          <w:kern w:val="0"/>
          <w:szCs w:val="21"/>
        </w:rPr>
      </w:pPr>
      <w:r>
        <w:rPr>
          <w:rFonts w:ascii="Times New Roman" w:hAnsi="Times New Roman"/>
          <w:kern w:val="0"/>
          <w:szCs w:val="21"/>
        </w:rPr>
        <w:t>3.4 有检修窗</w:t>
      </w:r>
    </w:p>
    <w:p>
      <w:pPr>
        <w:snapToGrid w:val="0"/>
        <w:spacing w:line="360" w:lineRule="auto"/>
        <w:rPr>
          <w:rFonts w:ascii="Times New Roman" w:hAnsi="Times New Roman"/>
          <w:spacing w:val="-8"/>
          <w:kern w:val="0"/>
          <w:szCs w:val="21"/>
        </w:rPr>
      </w:pPr>
      <w:r>
        <w:rPr>
          <w:rFonts w:hint="eastAsia" w:ascii="Times New Roman" w:hAnsi="Times New Roman"/>
          <w:kern w:val="0"/>
          <w:szCs w:val="21"/>
        </w:rPr>
        <w:t>3</w:t>
      </w:r>
      <w:r>
        <w:rPr>
          <w:rFonts w:ascii="Times New Roman" w:hAnsi="Times New Roman"/>
          <w:kern w:val="0"/>
          <w:szCs w:val="21"/>
        </w:rPr>
        <w:t xml:space="preserve">.5 </w:t>
      </w:r>
      <w:r>
        <w:rPr>
          <w:rFonts w:hint="eastAsia" w:ascii="Times New Roman" w:hAnsi="Times New Roman"/>
          <w:kern w:val="0"/>
          <w:szCs w:val="21"/>
        </w:rPr>
        <w:t xml:space="preserve">紫外灯 </w:t>
      </w:r>
      <w:r>
        <w:rPr>
          <w:rFonts w:ascii="Times New Roman" w:hAnsi="Times New Roman"/>
          <w:kern w:val="0"/>
          <w:szCs w:val="21"/>
        </w:rPr>
        <w:t>6W</w:t>
      </w:r>
      <w:r>
        <w:rPr>
          <w:rFonts w:hint="eastAsia" w:ascii="Times New Roman" w:hAnsi="Times New Roman"/>
          <w:kern w:val="0"/>
          <w:szCs w:val="21"/>
        </w:rPr>
        <w:t>，波长：3</w:t>
      </w:r>
      <w:r>
        <w:rPr>
          <w:rFonts w:ascii="Times New Roman" w:hAnsi="Times New Roman"/>
          <w:kern w:val="0"/>
          <w:szCs w:val="21"/>
        </w:rPr>
        <w:t>65-366 nm</w:t>
      </w:r>
    </w:p>
    <w:p>
      <w:pPr>
        <w:pStyle w:val="7"/>
        <w:tabs>
          <w:tab w:val="left" w:pos="828"/>
        </w:tabs>
        <w:adjustRightInd w:val="0"/>
        <w:snapToGrid w:val="0"/>
        <w:jc w:val="left"/>
        <w:rPr>
          <w:rFonts w:ascii="Times New Roman" w:hAnsi="Times New Roman"/>
          <w:b/>
          <w:bCs/>
          <w:kern w:val="0"/>
          <w:sz w:val="21"/>
          <w:szCs w:val="21"/>
        </w:rPr>
      </w:pPr>
      <w:r>
        <w:rPr>
          <w:rFonts w:ascii="Times New Roman" w:hAnsi="Times New Roman"/>
          <w:b/>
          <w:bCs/>
          <w:kern w:val="0"/>
          <w:sz w:val="21"/>
          <w:szCs w:val="21"/>
        </w:rPr>
        <w:t>4．培训要求</w:t>
      </w:r>
    </w:p>
    <w:p>
      <w:pPr>
        <w:adjustRightInd w:val="0"/>
        <w:snapToGrid w:val="0"/>
        <w:spacing w:line="360" w:lineRule="auto"/>
        <w:rPr>
          <w:rFonts w:ascii="Times New Roman" w:hAnsi="Times New Roman"/>
          <w:kern w:val="0"/>
          <w:szCs w:val="21"/>
        </w:rPr>
      </w:pPr>
      <w:r>
        <w:rPr>
          <w:rFonts w:ascii="Times New Roman" w:hAnsi="Times New Roman"/>
          <w:kern w:val="0"/>
          <w:szCs w:val="21"/>
        </w:rPr>
        <w:t>免费安装调试至仪器可正常运行，提供不少于3人免费培训，使其能独立熟练操作。</w:t>
      </w:r>
    </w:p>
    <w:p>
      <w:pPr>
        <w:adjustRightInd w:val="0"/>
        <w:snapToGrid w:val="0"/>
        <w:spacing w:line="360" w:lineRule="auto"/>
        <w:rPr>
          <w:rFonts w:asciiTheme="minorEastAsia" w:hAnsiTheme="minorEastAsia" w:eastAsiaTheme="minorEastAsia" w:cstheme="minorEastAsia"/>
          <w:kern w:val="0"/>
          <w:szCs w:val="21"/>
        </w:rPr>
      </w:pPr>
    </w:p>
    <w:p>
      <w:pPr>
        <w:pStyle w:val="5"/>
        <w:numPr>
          <w:ilvl w:val="255"/>
          <w:numId w:val="0"/>
        </w:numPr>
        <w:tabs>
          <w:tab w:val="left" w:pos="1440"/>
          <w:tab w:val="clear" w:pos="862"/>
        </w:tabs>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二、</w:t>
      </w:r>
      <w:r>
        <w:rPr>
          <w:rFonts w:hint="eastAsia" w:ascii="宋体" w:hAnsi="宋体" w:eastAsia="宋体" w:cs="宋体"/>
          <w:sz w:val="22"/>
          <w:szCs w:val="22"/>
          <w:lang w:bidi="ar"/>
        </w:rPr>
        <w:t>全自动液液振荡萃取仪</w:t>
      </w:r>
    </w:p>
    <w:p>
      <w:pPr>
        <w:spacing w:line="360" w:lineRule="auto"/>
        <w:rPr>
          <w:rFonts w:ascii="Times New Roman" w:hAnsi="Times New Roman"/>
          <w:szCs w:val="21"/>
          <w:lang w:bidi="ar"/>
        </w:rPr>
      </w:pPr>
      <w:r>
        <w:rPr>
          <w:rFonts w:ascii="Times New Roman" w:hAnsi="Times New Roman"/>
          <w:szCs w:val="21"/>
          <w:lang w:bidi="ar"/>
        </w:rPr>
        <w:t>1、用途</w:t>
      </w:r>
    </w:p>
    <w:p>
      <w:pPr>
        <w:spacing w:line="360" w:lineRule="auto"/>
        <w:ind w:firstLine="420" w:firstLineChars="200"/>
        <w:rPr>
          <w:rFonts w:ascii="Times New Roman" w:hAnsi="Times New Roman"/>
          <w:szCs w:val="21"/>
        </w:rPr>
      </w:pPr>
      <w:r>
        <w:rPr>
          <w:rFonts w:hint="eastAsia" w:ascii="Times New Roman" w:hAnsi="Times New Roman"/>
          <w:szCs w:val="21"/>
        </w:rPr>
        <w:t>用于环境样品、农药残留、水质污染物等各类样品的萃取。</w:t>
      </w:r>
    </w:p>
    <w:p>
      <w:pPr>
        <w:spacing w:line="360" w:lineRule="auto"/>
        <w:rPr>
          <w:rFonts w:ascii="Times New Roman" w:hAnsi="Times New Roman"/>
          <w:szCs w:val="21"/>
        </w:rPr>
      </w:pPr>
      <w:r>
        <w:rPr>
          <w:rFonts w:ascii="Times New Roman" w:hAnsi="Times New Roman"/>
          <w:szCs w:val="21"/>
        </w:rPr>
        <w:t>2技术参数</w:t>
      </w:r>
    </w:p>
    <w:p>
      <w:pPr>
        <w:spacing w:line="360" w:lineRule="auto"/>
        <w:rPr>
          <w:rFonts w:ascii="Times New Roman" w:hAnsi="Times New Roman"/>
          <w:szCs w:val="21"/>
        </w:rPr>
      </w:pPr>
      <w:r>
        <w:rPr>
          <w:rFonts w:ascii="Times New Roman" w:hAnsi="Times New Roman"/>
          <w:szCs w:val="21"/>
        </w:rPr>
        <w:t>2.1</w:t>
      </w:r>
      <w:r>
        <w:rPr>
          <w:rFonts w:hint="eastAsia" w:ascii="Times New Roman" w:hAnsi="Times New Roman"/>
          <w:szCs w:val="21"/>
        </w:rPr>
        <w:t>具备</w:t>
      </w:r>
      <w:r>
        <w:rPr>
          <w:rFonts w:ascii="Times New Roman" w:hAnsi="Times New Roman"/>
          <w:szCs w:val="21"/>
        </w:rPr>
        <w:t>倾斜振荡和垂直振荡两种振荡方式。</w:t>
      </w:r>
      <w:r>
        <w:rPr>
          <w:rFonts w:ascii="Times New Roman" w:hAnsi="Times New Roman"/>
          <w:szCs w:val="21"/>
        </w:rPr>
        <w:br w:type="textWrapping"/>
      </w:r>
      <w:r>
        <w:rPr>
          <w:rFonts w:ascii="Times New Roman" w:hAnsi="Times New Roman"/>
          <w:szCs w:val="21"/>
        </w:rPr>
        <w:t>2.2</w:t>
      </w:r>
      <w:r>
        <w:rPr>
          <w:rFonts w:hint="eastAsia" w:ascii="Times New Roman" w:hAnsi="Times New Roman"/>
          <w:szCs w:val="21"/>
        </w:rPr>
        <w:t>振荡频率和时间数字显示，且仪器关机时振荡频率与振荡时长的设置信息可保留。</w:t>
      </w:r>
      <w:r>
        <w:rPr>
          <w:rFonts w:ascii="Times New Roman" w:hAnsi="Times New Roman"/>
          <w:szCs w:val="21"/>
        </w:rPr>
        <w:br w:type="textWrapping"/>
      </w:r>
      <w:r>
        <w:rPr>
          <w:rFonts w:ascii="Times New Roman" w:hAnsi="Times New Roman"/>
          <w:szCs w:val="21"/>
        </w:rPr>
        <w:t>2.3</w:t>
      </w:r>
      <w:r>
        <w:rPr>
          <w:rFonts w:hint="eastAsia" w:ascii="Times New Roman" w:hAnsi="Times New Roman"/>
          <w:szCs w:val="21"/>
        </w:rPr>
        <w:t>具备</w:t>
      </w:r>
      <w:r>
        <w:rPr>
          <w:rFonts w:ascii="Times New Roman" w:hAnsi="Times New Roman"/>
          <w:szCs w:val="21"/>
        </w:rPr>
        <w:t>定时振荡</w:t>
      </w:r>
      <w:r>
        <w:rPr>
          <w:rFonts w:hint="eastAsia" w:ascii="Times New Roman" w:hAnsi="Times New Roman"/>
          <w:szCs w:val="21"/>
        </w:rPr>
        <w:t>模式</w:t>
      </w:r>
      <w:r>
        <w:rPr>
          <w:rFonts w:ascii="Times New Roman" w:hAnsi="Times New Roman"/>
          <w:szCs w:val="21"/>
        </w:rPr>
        <w:t>，定时振荡时间范围不低</w:t>
      </w:r>
      <w:r>
        <w:rPr>
          <w:rFonts w:hint="eastAsia" w:ascii="Times New Roman" w:hAnsi="Times New Roman"/>
          <w:szCs w:val="21"/>
        </w:rPr>
        <w:t>于</w:t>
      </w:r>
      <w:r>
        <w:rPr>
          <w:rFonts w:ascii="Times New Roman" w:hAnsi="Times New Roman"/>
          <w:szCs w:val="21"/>
        </w:rPr>
        <w:t>30</w:t>
      </w:r>
      <w:r>
        <w:rPr>
          <w:rFonts w:hint="eastAsia" w:ascii="Times New Roman" w:hAnsi="Times New Roman"/>
          <w:szCs w:val="21"/>
        </w:rPr>
        <w:t>分钟</w:t>
      </w:r>
      <w:r>
        <w:rPr>
          <w:rFonts w:ascii="Times New Roman" w:hAnsi="Times New Roman"/>
          <w:szCs w:val="21"/>
        </w:rPr>
        <w:t>。</w:t>
      </w:r>
      <w:r>
        <w:rPr>
          <w:rFonts w:ascii="Times New Roman" w:hAnsi="Times New Roman"/>
          <w:szCs w:val="21"/>
        </w:rPr>
        <w:br w:type="textWrapping"/>
      </w:r>
      <w:r>
        <w:rPr>
          <w:rFonts w:hint="eastAsia" w:ascii="宋体" w:hAnsi="宋体" w:cs="Arial"/>
          <w:color w:val="auto"/>
          <w:kern w:val="0"/>
          <w:szCs w:val="21"/>
        </w:rPr>
        <w:t>▲</w:t>
      </w:r>
      <w:r>
        <w:rPr>
          <w:rFonts w:ascii="Times New Roman" w:hAnsi="Times New Roman"/>
          <w:szCs w:val="21"/>
        </w:rPr>
        <w:t>2.4振荡频率为无级</w:t>
      </w:r>
      <w:r>
        <w:rPr>
          <w:rFonts w:hint="eastAsia" w:ascii="Times New Roman" w:hAnsi="Times New Roman"/>
          <w:szCs w:val="21"/>
        </w:rPr>
        <w:t>调</w:t>
      </w:r>
      <w:r>
        <w:rPr>
          <w:rFonts w:ascii="Times New Roman" w:hAnsi="Times New Roman"/>
          <w:szCs w:val="21"/>
        </w:rPr>
        <w:t>速方式，倾斜振荡时</w:t>
      </w:r>
      <w:r>
        <w:rPr>
          <w:rFonts w:hint="eastAsia" w:ascii="Times New Roman" w:hAnsi="Times New Roman"/>
          <w:szCs w:val="21"/>
        </w:rPr>
        <w:t>最大</w:t>
      </w:r>
      <w:r>
        <w:rPr>
          <w:rFonts w:ascii="Times New Roman" w:hAnsi="Times New Roman"/>
          <w:szCs w:val="21"/>
        </w:rPr>
        <w:t>频率</w:t>
      </w:r>
      <w:r>
        <w:rPr>
          <w:rFonts w:hint="eastAsia" w:ascii="Times New Roman" w:hAnsi="Times New Roman"/>
          <w:szCs w:val="21"/>
        </w:rPr>
        <w:t>不低于</w:t>
      </w:r>
      <w:r>
        <w:rPr>
          <w:rFonts w:ascii="Times New Roman" w:hAnsi="Times New Roman"/>
          <w:szCs w:val="21"/>
        </w:rPr>
        <w:t>250次/min，垂直振荡时</w:t>
      </w:r>
      <w:r>
        <w:rPr>
          <w:rFonts w:hint="eastAsia" w:ascii="Times New Roman" w:hAnsi="Times New Roman"/>
          <w:szCs w:val="21"/>
        </w:rPr>
        <w:t>最大</w:t>
      </w:r>
      <w:r>
        <w:rPr>
          <w:rFonts w:ascii="Times New Roman" w:hAnsi="Times New Roman"/>
          <w:szCs w:val="21"/>
        </w:rPr>
        <w:t>频率</w:t>
      </w:r>
      <w:r>
        <w:rPr>
          <w:rFonts w:hint="eastAsia" w:ascii="Times New Roman" w:hAnsi="Times New Roman"/>
          <w:szCs w:val="21"/>
        </w:rPr>
        <w:t>不低于</w:t>
      </w:r>
      <w:r>
        <w:rPr>
          <w:rFonts w:ascii="Times New Roman" w:hAnsi="Times New Roman"/>
          <w:szCs w:val="21"/>
        </w:rPr>
        <w:t>300次/min</w:t>
      </w:r>
      <w:r>
        <w:rPr>
          <w:rFonts w:hint="eastAsia" w:ascii="Times New Roman" w:hAnsi="Times New Roman"/>
          <w:szCs w:val="21"/>
        </w:rPr>
        <w:t>。</w:t>
      </w:r>
      <w:r>
        <w:rPr>
          <w:rFonts w:ascii="Times New Roman" w:hAnsi="Times New Roman"/>
          <w:szCs w:val="21"/>
        </w:rPr>
        <w:br w:type="textWrapping"/>
      </w:r>
      <w:r>
        <w:rPr>
          <w:rFonts w:hint="eastAsia" w:ascii="宋体" w:hAnsi="宋体" w:cs="Arial"/>
          <w:color w:val="auto"/>
          <w:kern w:val="0"/>
          <w:szCs w:val="21"/>
        </w:rPr>
        <w:t>▲</w:t>
      </w:r>
      <w:r>
        <w:rPr>
          <w:rFonts w:ascii="Times New Roman" w:hAnsi="Times New Roman"/>
          <w:szCs w:val="21"/>
        </w:rPr>
        <w:t>2.5</w:t>
      </w:r>
      <w:r>
        <w:rPr>
          <w:rFonts w:hint="eastAsia" w:ascii="Times New Roman" w:hAnsi="Times New Roman"/>
          <w:szCs w:val="21"/>
        </w:rPr>
        <w:t>具备启动缓冲和停机缓冲功能，启动及停止缓慢进行。</w:t>
      </w:r>
      <w:r>
        <w:rPr>
          <w:rFonts w:ascii="Times New Roman" w:hAnsi="Times New Roman"/>
          <w:szCs w:val="21"/>
        </w:rPr>
        <w:br w:type="textWrapping"/>
      </w:r>
      <w:r>
        <w:rPr>
          <w:rFonts w:ascii="Times New Roman" w:hAnsi="Times New Roman"/>
          <w:szCs w:val="21"/>
        </w:rPr>
        <w:t>2.6使用直流马达，</w:t>
      </w:r>
      <w:r>
        <w:rPr>
          <w:rFonts w:hint="eastAsia" w:ascii="Times New Roman" w:hAnsi="Times New Roman"/>
          <w:szCs w:val="21"/>
        </w:rPr>
        <w:t>可长时间（不低于</w:t>
      </w:r>
      <w:r>
        <w:rPr>
          <w:rFonts w:ascii="Times New Roman" w:hAnsi="Times New Roman"/>
          <w:szCs w:val="21"/>
        </w:rPr>
        <w:t>30min</w:t>
      </w:r>
      <w:r>
        <w:rPr>
          <w:rFonts w:hint="eastAsia" w:ascii="Times New Roman" w:hAnsi="Times New Roman"/>
          <w:szCs w:val="21"/>
        </w:rPr>
        <w:t>）保持稳定</w:t>
      </w:r>
      <w:r>
        <w:rPr>
          <w:rFonts w:ascii="Times New Roman" w:hAnsi="Times New Roman"/>
          <w:szCs w:val="21"/>
        </w:rPr>
        <w:t>的振荡频率。</w:t>
      </w:r>
      <w:r>
        <w:rPr>
          <w:rFonts w:ascii="Times New Roman" w:hAnsi="Times New Roman"/>
          <w:szCs w:val="21"/>
        </w:rPr>
        <w:br w:type="textWrapping"/>
      </w:r>
      <w:r>
        <w:rPr>
          <w:rFonts w:ascii="Times New Roman" w:hAnsi="Times New Roman"/>
          <w:szCs w:val="21"/>
        </w:rPr>
        <w:t>2.7分液漏斗夹具方便安装及取下分液漏斗。</w:t>
      </w:r>
    </w:p>
    <w:p>
      <w:pPr>
        <w:spacing w:line="360" w:lineRule="auto"/>
        <w:rPr>
          <w:rFonts w:ascii="Times New Roman" w:hAnsi="Times New Roman"/>
          <w:szCs w:val="21"/>
        </w:rPr>
      </w:pPr>
      <w:r>
        <w:rPr>
          <w:rFonts w:ascii="Times New Roman" w:hAnsi="Times New Roman"/>
          <w:szCs w:val="21"/>
        </w:rPr>
        <w:t>2.8适用于2L和1L的分液漏斗。</w:t>
      </w:r>
    </w:p>
    <w:p>
      <w:pPr>
        <w:spacing w:line="360" w:lineRule="auto"/>
        <w:rPr>
          <w:rFonts w:ascii="Times New Roman" w:hAnsi="Times New Roman"/>
          <w:szCs w:val="21"/>
        </w:rPr>
      </w:pPr>
      <w:r>
        <w:rPr>
          <w:rFonts w:ascii="Times New Roman" w:hAnsi="Times New Roman"/>
          <w:szCs w:val="21"/>
        </w:rPr>
        <w:t>2.9样品位</w:t>
      </w:r>
      <w:r>
        <w:rPr>
          <w:rFonts w:hint="eastAsia" w:ascii="Times New Roman" w:hAnsi="Times New Roman"/>
          <w:szCs w:val="21"/>
        </w:rPr>
        <w:t>数：不少于</w:t>
      </w:r>
      <w:r>
        <w:rPr>
          <w:rFonts w:ascii="Times New Roman" w:hAnsi="Times New Roman"/>
          <w:szCs w:val="21"/>
        </w:rPr>
        <w:t>6</w:t>
      </w:r>
      <w:r>
        <w:rPr>
          <w:rFonts w:hint="eastAsia" w:ascii="Times New Roman" w:hAnsi="Times New Roman"/>
          <w:szCs w:val="21"/>
        </w:rPr>
        <w:t>位的</w:t>
      </w:r>
      <w:r>
        <w:rPr>
          <w:rFonts w:ascii="Times New Roman" w:hAnsi="Times New Roman"/>
          <w:szCs w:val="21"/>
        </w:rPr>
        <w:t>1L分液漏斗的位置。</w:t>
      </w:r>
    </w:p>
    <w:p>
      <w:pPr>
        <w:spacing w:line="360" w:lineRule="auto"/>
        <w:rPr>
          <w:rFonts w:ascii="Times New Roman" w:hAnsi="Times New Roman"/>
          <w:szCs w:val="21"/>
        </w:rPr>
      </w:pPr>
      <w:r>
        <w:rPr>
          <w:rFonts w:ascii="Times New Roman" w:hAnsi="Times New Roman"/>
          <w:szCs w:val="21"/>
        </w:rPr>
        <w:t>2.10工作电</w:t>
      </w:r>
      <w:r>
        <w:rPr>
          <w:rFonts w:hint="eastAsia" w:ascii="Times New Roman" w:hAnsi="Times New Roman"/>
          <w:szCs w:val="21"/>
        </w:rPr>
        <w:t>压</w:t>
      </w:r>
      <w:r>
        <w:rPr>
          <w:rFonts w:ascii="Times New Roman" w:hAnsi="Times New Roman"/>
          <w:szCs w:val="21"/>
        </w:rPr>
        <w:t>220V</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3</w:t>
      </w:r>
      <w:r>
        <w:rPr>
          <w:rFonts w:hint="eastAsia" w:ascii="Times New Roman" w:hAnsi="Times New Roman"/>
          <w:szCs w:val="21"/>
        </w:rPr>
        <w:t>配置</w:t>
      </w:r>
    </w:p>
    <w:p>
      <w:pPr>
        <w:spacing w:line="360" w:lineRule="auto"/>
        <w:rPr>
          <w:rFonts w:ascii="Times New Roman" w:hAnsi="Times New Roman"/>
          <w:szCs w:val="21"/>
        </w:rPr>
      </w:pPr>
      <w:r>
        <w:rPr>
          <w:rFonts w:ascii="Times New Roman" w:hAnsi="Times New Roman"/>
          <w:szCs w:val="21"/>
        </w:rPr>
        <w:t>3.1</w:t>
      </w:r>
      <w:r>
        <w:rPr>
          <w:rFonts w:hint="eastAsia" w:ascii="Times New Roman" w:hAnsi="Times New Roman"/>
          <w:szCs w:val="21"/>
        </w:rPr>
        <w:t>仪器</w:t>
      </w:r>
      <w:r>
        <w:rPr>
          <w:rFonts w:ascii="Times New Roman" w:hAnsi="Times New Roman"/>
          <w:szCs w:val="21"/>
        </w:rPr>
        <w:t>6</w:t>
      </w:r>
      <w:r>
        <w:rPr>
          <w:rFonts w:hint="eastAsia" w:ascii="Times New Roman" w:hAnsi="Times New Roman"/>
          <w:szCs w:val="21"/>
        </w:rPr>
        <w:t>套。每套仪器包含</w:t>
      </w:r>
      <w:r>
        <w:rPr>
          <w:rFonts w:ascii="Times New Roman" w:hAnsi="Times New Roman"/>
          <w:szCs w:val="21"/>
        </w:rPr>
        <w:t>1</w:t>
      </w:r>
      <w:r>
        <w:rPr>
          <w:rFonts w:hint="eastAsia" w:ascii="Times New Roman" w:hAnsi="Times New Roman"/>
          <w:szCs w:val="21"/>
        </w:rPr>
        <w:t>套工具包、</w:t>
      </w:r>
      <w:r>
        <w:rPr>
          <w:rFonts w:ascii="Times New Roman" w:hAnsi="Times New Roman"/>
          <w:szCs w:val="21"/>
        </w:rPr>
        <w:t>5</w:t>
      </w:r>
      <w:r>
        <w:rPr>
          <w:rFonts w:hint="eastAsia" w:ascii="Times New Roman" w:hAnsi="Times New Roman"/>
          <w:szCs w:val="21"/>
        </w:rPr>
        <w:t>个</w:t>
      </w:r>
      <w:r>
        <w:rPr>
          <w:rFonts w:ascii="Times New Roman" w:hAnsi="Times New Roman"/>
          <w:szCs w:val="21"/>
        </w:rPr>
        <w:t>2L</w:t>
      </w:r>
      <w:r>
        <w:rPr>
          <w:rFonts w:hint="eastAsia" w:ascii="Times New Roman" w:hAnsi="Times New Roman"/>
          <w:szCs w:val="21"/>
        </w:rPr>
        <w:t>支架和</w:t>
      </w:r>
      <w:r>
        <w:rPr>
          <w:rFonts w:ascii="Times New Roman" w:hAnsi="Times New Roman"/>
          <w:szCs w:val="21"/>
        </w:rPr>
        <w:t>7</w:t>
      </w:r>
      <w:r>
        <w:rPr>
          <w:rFonts w:hint="eastAsia" w:ascii="Times New Roman" w:hAnsi="Times New Roman"/>
          <w:szCs w:val="21"/>
        </w:rPr>
        <w:t>个</w:t>
      </w:r>
      <w:r>
        <w:rPr>
          <w:rFonts w:ascii="Times New Roman" w:hAnsi="Times New Roman"/>
          <w:szCs w:val="21"/>
        </w:rPr>
        <w:t>1L</w:t>
      </w:r>
      <w:r>
        <w:rPr>
          <w:rFonts w:hint="eastAsia" w:ascii="Times New Roman" w:hAnsi="Times New Roman"/>
          <w:szCs w:val="21"/>
        </w:rPr>
        <w:t>支架。</w:t>
      </w:r>
    </w:p>
    <w:p>
      <w:pPr>
        <w:spacing w:line="360" w:lineRule="auto"/>
        <w:rPr>
          <w:rFonts w:ascii="Times New Roman" w:hAnsi="Times New Roman"/>
          <w:szCs w:val="21"/>
        </w:rPr>
      </w:pPr>
      <w:r>
        <w:rPr>
          <w:rFonts w:ascii="Times New Roman" w:hAnsi="Times New Roman"/>
          <w:szCs w:val="21"/>
        </w:rPr>
        <w:t>3.2</w:t>
      </w:r>
      <w:r>
        <w:rPr>
          <w:rFonts w:hint="eastAsia" w:ascii="Times New Roman" w:hAnsi="Times New Roman"/>
          <w:szCs w:val="21"/>
        </w:rPr>
        <w:t>除标配的配件耗材外，另需配备：直流马达</w:t>
      </w:r>
      <w:r>
        <w:rPr>
          <w:rFonts w:ascii="Times New Roman" w:hAnsi="Times New Roman"/>
          <w:szCs w:val="21"/>
        </w:rPr>
        <w:t>1</w:t>
      </w:r>
      <w:r>
        <w:rPr>
          <w:rFonts w:hint="eastAsia" w:ascii="Times New Roman" w:hAnsi="Times New Roman"/>
          <w:szCs w:val="21"/>
        </w:rPr>
        <w:t>个。</w:t>
      </w:r>
    </w:p>
    <w:p>
      <w:pPr>
        <w:spacing w:line="360" w:lineRule="auto"/>
        <w:rPr>
          <w:rFonts w:ascii="Times New Roman" w:hAnsi="Times New Roman"/>
          <w:szCs w:val="21"/>
        </w:rPr>
      </w:pPr>
      <w:r>
        <w:rPr>
          <w:rFonts w:ascii="Times New Roman" w:hAnsi="Times New Roman"/>
          <w:szCs w:val="21"/>
        </w:rPr>
        <w:t>4</w:t>
      </w:r>
      <w:r>
        <w:rPr>
          <w:rFonts w:hint="eastAsia" w:ascii="Times New Roman" w:hAnsi="Times New Roman"/>
          <w:szCs w:val="21"/>
        </w:rPr>
        <w:t>验收指标</w:t>
      </w:r>
    </w:p>
    <w:p>
      <w:pPr>
        <w:spacing w:line="360" w:lineRule="auto"/>
        <w:rPr>
          <w:rFonts w:ascii="Times New Roman" w:hAnsi="Times New Roman"/>
          <w:szCs w:val="21"/>
        </w:rPr>
      </w:pPr>
      <w:r>
        <w:rPr>
          <w:rFonts w:ascii="Times New Roman" w:hAnsi="Times New Roman"/>
          <w:szCs w:val="21"/>
        </w:rPr>
        <w:t>4.1</w:t>
      </w:r>
      <w:r>
        <w:rPr>
          <w:rFonts w:hint="eastAsia" w:ascii="Times New Roman" w:hAnsi="Times New Roman"/>
          <w:szCs w:val="21"/>
        </w:rPr>
        <w:t>使用</w:t>
      </w:r>
      <w:r>
        <w:rPr>
          <w:rFonts w:ascii="Times New Roman" w:hAnsi="Times New Roman"/>
          <w:szCs w:val="21"/>
        </w:rPr>
        <w:t>2L</w:t>
      </w:r>
      <w:r>
        <w:rPr>
          <w:rFonts w:hint="eastAsia" w:ascii="Times New Roman" w:hAnsi="Times New Roman"/>
          <w:szCs w:val="21"/>
        </w:rPr>
        <w:t>的分液漏斗萃取</w:t>
      </w:r>
      <w:r>
        <w:rPr>
          <w:rFonts w:ascii="Times New Roman" w:hAnsi="Times New Roman"/>
          <w:szCs w:val="21"/>
        </w:rPr>
        <w:t>1L</w:t>
      </w:r>
      <w:r>
        <w:rPr>
          <w:rFonts w:hint="eastAsia" w:ascii="Times New Roman" w:hAnsi="Times New Roman"/>
          <w:szCs w:val="21"/>
        </w:rPr>
        <w:t>样品时（振荡频率</w:t>
      </w:r>
      <w:r>
        <w:rPr>
          <w:rFonts w:ascii="Times New Roman" w:hAnsi="Times New Roman"/>
          <w:szCs w:val="21"/>
        </w:rPr>
        <w:t>250</w:t>
      </w:r>
      <w:r>
        <w:rPr>
          <w:rFonts w:hint="eastAsia" w:ascii="Times New Roman" w:hAnsi="Times New Roman"/>
          <w:szCs w:val="21"/>
        </w:rPr>
        <w:t>次</w:t>
      </w:r>
      <w:r>
        <w:rPr>
          <w:rFonts w:ascii="Times New Roman" w:hAnsi="Times New Roman"/>
          <w:szCs w:val="21"/>
        </w:rPr>
        <w:t>/min</w:t>
      </w:r>
      <w:r>
        <w:rPr>
          <w:rFonts w:hint="eastAsia" w:ascii="Times New Roman" w:hAnsi="Times New Roman"/>
          <w:szCs w:val="21"/>
        </w:rPr>
        <w:t>），仪器在</w:t>
      </w:r>
      <w:r>
        <w:rPr>
          <w:rFonts w:ascii="Times New Roman" w:hAnsi="Times New Roman"/>
          <w:szCs w:val="21"/>
        </w:rPr>
        <w:t>10min</w:t>
      </w:r>
      <w:r>
        <w:rPr>
          <w:rFonts w:hint="eastAsia" w:ascii="Times New Roman" w:hAnsi="Times New Roman"/>
          <w:szCs w:val="21"/>
        </w:rPr>
        <w:t>内最大位移不超过</w:t>
      </w:r>
      <w:r>
        <w:rPr>
          <w:rFonts w:ascii="Times New Roman" w:hAnsi="Times New Roman"/>
          <w:szCs w:val="21"/>
        </w:rPr>
        <w:t>5cm</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4.2</w:t>
      </w:r>
      <w:r>
        <w:rPr>
          <w:rFonts w:hint="eastAsia" w:ascii="Times New Roman" w:hAnsi="Times New Roman"/>
          <w:szCs w:val="21"/>
        </w:rPr>
        <w:t>振荡频率为无级调速方式，倾斜振荡时最大频率不低于</w:t>
      </w:r>
      <w:r>
        <w:rPr>
          <w:rFonts w:ascii="Times New Roman" w:hAnsi="Times New Roman"/>
          <w:szCs w:val="21"/>
        </w:rPr>
        <w:t>250</w:t>
      </w:r>
      <w:r>
        <w:rPr>
          <w:rFonts w:hint="eastAsia" w:ascii="Times New Roman" w:hAnsi="Times New Roman"/>
          <w:szCs w:val="21"/>
        </w:rPr>
        <w:t>次</w:t>
      </w:r>
      <w:r>
        <w:rPr>
          <w:rFonts w:ascii="Times New Roman" w:hAnsi="Times New Roman"/>
          <w:szCs w:val="21"/>
        </w:rPr>
        <w:t>/min</w:t>
      </w:r>
      <w:r>
        <w:rPr>
          <w:rFonts w:hint="eastAsia" w:ascii="Times New Roman" w:hAnsi="Times New Roman"/>
          <w:szCs w:val="21"/>
        </w:rPr>
        <w:t>，垂直振荡时最大频率不低于</w:t>
      </w:r>
      <w:r>
        <w:rPr>
          <w:rFonts w:ascii="Times New Roman" w:hAnsi="Times New Roman"/>
          <w:szCs w:val="21"/>
        </w:rPr>
        <w:t>300</w:t>
      </w:r>
      <w:r>
        <w:rPr>
          <w:rFonts w:hint="eastAsia" w:ascii="Times New Roman" w:hAnsi="Times New Roman"/>
          <w:szCs w:val="21"/>
        </w:rPr>
        <w:t>次</w:t>
      </w:r>
      <w:r>
        <w:rPr>
          <w:rFonts w:ascii="Times New Roman" w:hAnsi="Times New Roman"/>
          <w:szCs w:val="21"/>
        </w:rPr>
        <w:t>/min</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5售后及服务</w:t>
      </w:r>
    </w:p>
    <w:p>
      <w:pPr>
        <w:spacing w:line="360" w:lineRule="auto"/>
        <w:rPr>
          <w:rFonts w:ascii="Times New Roman" w:hAnsi="Times New Roman"/>
          <w:szCs w:val="21"/>
        </w:rPr>
      </w:pPr>
      <w:r>
        <w:rPr>
          <w:rFonts w:ascii="Times New Roman" w:hAnsi="Times New Roman"/>
          <w:szCs w:val="21"/>
        </w:rPr>
        <w:t>5.1免费安装调试，对提供的仪器及配套设备提供安装验收合</w:t>
      </w:r>
      <w:r>
        <w:rPr>
          <w:rFonts w:hint="eastAsia" w:ascii="Times New Roman" w:hAnsi="Times New Roman"/>
          <w:szCs w:val="21"/>
        </w:rPr>
        <w:t>格后</w:t>
      </w:r>
      <w:r>
        <w:rPr>
          <w:rFonts w:ascii="Times New Roman" w:hAnsi="Times New Roman"/>
          <w:szCs w:val="21"/>
        </w:rPr>
        <w:t>5</w:t>
      </w:r>
      <w:r>
        <w:rPr>
          <w:rFonts w:hint="eastAsia" w:ascii="Times New Roman" w:hAnsi="Times New Roman"/>
          <w:szCs w:val="21"/>
        </w:rPr>
        <w:t>年</w:t>
      </w:r>
      <w:r>
        <w:rPr>
          <w:rFonts w:ascii="Times New Roman" w:hAnsi="Times New Roman"/>
          <w:szCs w:val="21"/>
        </w:rPr>
        <w:t>的免费维保服务。在设备整个使用期内，确保设备的正常使用。在接到用户维修电话要求后，确保24小时内响应，由维修工程师进行故障了解和排除指导；如仍不能排除，48小时内将派维修工程师抵达现场，及时排除故障。提供仪器终生维修服务。</w:t>
      </w:r>
    </w:p>
    <w:p>
      <w:pPr>
        <w:spacing w:line="360" w:lineRule="auto"/>
        <w:rPr>
          <w:rFonts w:ascii="Times New Roman" w:hAnsi="Times New Roman"/>
          <w:szCs w:val="21"/>
        </w:rPr>
      </w:pPr>
      <w:r>
        <w:rPr>
          <w:rFonts w:ascii="Times New Roman" w:hAnsi="Times New Roman"/>
          <w:szCs w:val="21"/>
        </w:rPr>
        <w:t>5.2提供不低于8人次的全面系统的培训，培训内容应包含但不限于：（1）仪器原理、结构等理论知识；（2）仪器操作；（3）日常维护。确保学员掌握相关技能。</w:t>
      </w:r>
    </w:p>
    <w:p>
      <w:pPr>
        <w:rPr>
          <w:rFonts w:asciiTheme="minorEastAsia" w:hAnsiTheme="minorEastAsia" w:eastAsiaTheme="minorEastAsia" w:cstheme="minorEastAsia"/>
          <w:szCs w:val="21"/>
        </w:rPr>
      </w:pPr>
    </w:p>
    <w:p>
      <w:pPr>
        <w:pStyle w:val="5"/>
        <w:numPr>
          <w:ilvl w:val="255"/>
          <w:numId w:val="0"/>
        </w:numPr>
        <w:tabs>
          <w:tab w:val="left" w:pos="1440"/>
          <w:tab w:val="clear" w:pos="862"/>
        </w:tabs>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三、旋转蒸发仪</w:t>
      </w:r>
    </w:p>
    <w:p>
      <w:pPr>
        <w:pStyle w:val="20"/>
        <w:spacing w:line="360" w:lineRule="auto"/>
        <w:ind w:firstLine="0" w:firstLineChars="0"/>
        <w:rPr>
          <w:rFonts w:ascii="Times New Roman" w:hAnsi="Times New Roman"/>
          <w:szCs w:val="21"/>
        </w:rPr>
      </w:pPr>
      <w:r>
        <w:rPr>
          <w:rFonts w:ascii="Times New Roman" w:hAnsi="Times New Roman"/>
          <w:szCs w:val="21"/>
        </w:rPr>
        <w:t>1主要用途</w:t>
      </w:r>
    </w:p>
    <w:p>
      <w:pPr>
        <w:pStyle w:val="20"/>
        <w:spacing w:line="360" w:lineRule="auto"/>
        <w:rPr>
          <w:rFonts w:ascii="Times New Roman" w:hAnsi="Times New Roman"/>
          <w:szCs w:val="21"/>
        </w:rPr>
      </w:pPr>
      <w:r>
        <w:rPr>
          <w:rFonts w:ascii="Times New Roman" w:hAnsi="Times New Roman"/>
          <w:szCs w:val="21"/>
        </w:rPr>
        <w:t>用于样品浓缩、粉末干燥</w:t>
      </w:r>
      <w:r>
        <w:rPr>
          <w:rFonts w:hint="eastAsia" w:ascii="Times New Roman" w:hAnsi="Times New Roman"/>
          <w:szCs w:val="21"/>
        </w:rPr>
        <w:t>、</w:t>
      </w:r>
      <w:r>
        <w:rPr>
          <w:rFonts w:ascii="Times New Roman" w:hAnsi="Times New Roman"/>
          <w:szCs w:val="21"/>
        </w:rPr>
        <w:t>一种或多种溶剂的分离。</w:t>
      </w:r>
    </w:p>
    <w:p>
      <w:pPr>
        <w:pStyle w:val="20"/>
        <w:spacing w:line="360" w:lineRule="auto"/>
        <w:ind w:firstLine="0" w:firstLineChars="0"/>
        <w:rPr>
          <w:rFonts w:ascii="Times New Roman" w:hAnsi="Times New Roman"/>
          <w:szCs w:val="21"/>
        </w:rPr>
      </w:pPr>
      <w:r>
        <w:rPr>
          <w:rFonts w:ascii="Times New Roman" w:hAnsi="Times New Roman"/>
          <w:szCs w:val="21"/>
        </w:rPr>
        <w:t>2技术参数</w:t>
      </w:r>
    </w:p>
    <w:p>
      <w:pPr>
        <w:pStyle w:val="20"/>
        <w:spacing w:line="360" w:lineRule="auto"/>
        <w:ind w:firstLine="0" w:firstLineChars="0"/>
        <w:rPr>
          <w:rFonts w:ascii="Times New Roman" w:hAnsi="Times New Roman"/>
          <w:szCs w:val="21"/>
        </w:rPr>
      </w:pPr>
      <w:r>
        <w:rPr>
          <w:rFonts w:ascii="Times New Roman" w:hAnsi="Times New Roman"/>
          <w:szCs w:val="21"/>
        </w:rPr>
        <w:t>2.1旋转蒸发仪部分</w:t>
      </w:r>
    </w:p>
    <w:p>
      <w:pPr>
        <w:spacing w:line="360" w:lineRule="auto"/>
        <w:rPr>
          <w:rFonts w:ascii="Times New Roman" w:hAnsi="Times New Roman"/>
          <w:szCs w:val="21"/>
        </w:rPr>
      </w:pPr>
      <w:r>
        <w:rPr>
          <w:rFonts w:ascii="Times New Roman" w:hAnsi="Times New Roman"/>
          <w:szCs w:val="21"/>
        </w:rPr>
        <w:t>2.1.1转速范围：10-150rpm。</w:t>
      </w:r>
    </w:p>
    <w:p>
      <w:pPr>
        <w:spacing w:line="360" w:lineRule="auto"/>
        <w:rPr>
          <w:rFonts w:ascii="Times New Roman" w:hAnsi="Times New Roman"/>
          <w:szCs w:val="21"/>
        </w:rPr>
      </w:pPr>
      <w:r>
        <w:rPr>
          <w:rFonts w:ascii="Times New Roman" w:hAnsi="Times New Roman"/>
          <w:szCs w:val="21"/>
        </w:rPr>
        <w:t>2.1.2电动</w:t>
      </w:r>
      <w:r>
        <w:rPr>
          <w:rFonts w:hint="eastAsia" w:ascii="Times New Roman" w:hAnsi="Times New Roman"/>
          <w:szCs w:val="21"/>
        </w:rPr>
        <w:t>升降，可调高度不低于</w:t>
      </w:r>
      <w:r>
        <w:rPr>
          <w:rFonts w:ascii="Times New Roman" w:hAnsi="Times New Roman"/>
          <w:szCs w:val="21"/>
        </w:rPr>
        <w:t>100mm</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2.1.3蒸发瓶角度可调，调节范围：20-40度。</w:t>
      </w:r>
    </w:p>
    <w:p>
      <w:pPr>
        <w:spacing w:line="360" w:lineRule="auto"/>
        <w:rPr>
          <w:rFonts w:ascii="Times New Roman" w:hAnsi="Times New Roman"/>
          <w:szCs w:val="21"/>
        </w:rPr>
      </w:pPr>
      <w:r>
        <w:rPr>
          <w:rFonts w:ascii="Times New Roman" w:hAnsi="Times New Roman"/>
          <w:szCs w:val="21"/>
        </w:rPr>
        <w:t>2.1.4加热及旋转独立控制，</w:t>
      </w:r>
      <w:r>
        <w:rPr>
          <w:rFonts w:hint="eastAsia" w:ascii="Times New Roman" w:hAnsi="Times New Roman"/>
          <w:szCs w:val="21"/>
        </w:rPr>
        <w:t>可以</w:t>
      </w:r>
      <w:r>
        <w:rPr>
          <w:rFonts w:ascii="Times New Roman" w:hAnsi="Times New Roman"/>
          <w:szCs w:val="21"/>
        </w:rPr>
        <w:t>随时中断蒸馏过程，操作</w:t>
      </w:r>
      <w:r>
        <w:rPr>
          <w:rFonts w:hint="eastAsia" w:ascii="Times New Roman" w:hAnsi="Times New Roman"/>
          <w:szCs w:val="21"/>
        </w:rPr>
        <w:t>简单方便</w:t>
      </w:r>
      <w:r>
        <w:rPr>
          <w:rFonts w:ascii="Times New Roman" w:hAnsi="Times New Roman"/>
          <w:szCs w:val="21"/>
        </w:rPr>
        <w:t>。</w:t>
      </w:r>
    </w:p>
    <w:p>
      <w:pPr>
        <w:spacing w:line="360" w:lineRule="auto"/>
        <w:rPr>
          <w:rFonts w:ascii="Times New Roman" w:hAnsi="Times New Roman"/>
          <w:szCs w:val="21"/>
        </w:rPr>
      </w:pPr>
      <w:r>
        <w:rPr>
          <w:rFonts w:hint="eastAsia" w:ascii="宋体" w:hAnsi="宋体" w:cs="Arial"/>
          <w:color w:val="auto"/>
          <w:kern w:val="0"/>
          <w:szCs w:val="21"/>
        </w:rPr>
        <w:t>▲</w:t>
      </w:r>
      <w:r>
        <w:rPr>
          <w:rFonts w:hint="eastAsia" w:ascii="Times New Roman" w:hAnsi="Times New Roman"/>
          <w:szCs w:val="21"/>
        </w:rPr>
        <w:t>2.1.5 智能化全自动蒸馏，可实现系统自动调节真空值，避免溶剂暴沸。</w:t>
      </w:r>
    </w:p>
    <w:p>
      <w:pPr>
        <w:spacing w:line="360" w:lineRule="auto"/>
        <w:rPr>
          <w:rFonts w:ascii="Times New Roman" w:hAnsi="Times New Roman"/>
          <w:szCs w:val="21"/>
        </w:rPr>
      </w:pPr>
      <w:r>
        <w:rPr>
          <w:rFonts w:ascii="Times New Roman" w:hAnsi="Times New Roman"/>
          <w:szCs w:val="21"/>
        </w:rPr>
        <w:t>2.1.</w:t>
      </w:r>
      <w:r>
        <w:rPr>
          <w:rFonts w:hint="eastAsia" w:ascii="Times New Roman" w:hAnsi="Times New Roman"/>
          <w:szCs w:val="21"/>
        </w:rPr>
        <w:t>6</w:t>
      </w:r>
      <w:r>
        <w:rPr>
          <w:rFonts w:ascii="Times New Roman" w:hAnsi="Times New Roman"/>
          <w:szCs w:val="21"/>
        </w:rPr>
        <w:t>断电状态下，蒸发瓶自动抬升，离开加热锅，</w:t>
      </w:r>
      <w:r>
        <w:rPr>
          <w:rFonts w:hint="eastAsia" w:ascii="Times New Roman" w:hAnsi="Times New Roman"/>
          <w:szCs w:val="21"/>
        </w:rPr>
        <w:t>避</w:t>
      </w:r>
      <w:r>
        <w:rPr>
          <w:rFonts w:ascii="Times New Roman" w:hAnsi="Times New Roman"/>
          <w:szCs w:val="21"/>
        </w:rPr>
        <w:t>免受热不均造成样品损坏。</w:t>
      </w:r>
    </w:p>
    <w:p>
      <w:pPr>
        <w:spacing w:line="360" w:lineRule="auto"/>
        <w:rPr>
          <w:rFonts w:ascii="Times New Roman" w:hAnsi="Times New Roman"/>
          <w:szCs w:val="21"/>
        </w:rPr>
      </w:pPr>
      <w:r>
        <w:rPr>
          <w:rFonts w:ascii="Times New Roman" w:hAnsi="Times New Roman"/>
          <w:szCs w:val="21"/>
        </w:rPr>
        <w:t>2.1.</w:t>
      </w:r>
      <w:r>
        <w:rPr>
          <w:rFonts w:hint="eastAsia" w:ascii="Times New Roman" w:hAnsi="Times New Roman"/>
          <w:szCs w:val="21"/>
        </w:rPr>
        <w:t>7加热锅加热功率不低于</w:t>
      </w:r>
      <w:r>
        <w:rPr>
          <w:rFonts w:ascii="Times New Roman" w:hAnsi="Times New Roman"/>
          <w:szCs w:val="21"/>
        </w:rPr>
        <w:t>1000W</w:t>
      </w:r>
      <w:r>
        <w:rPr>
          <w:rFonts w:hint="eastAsia" w:ascii="Times New Roman" w:hAnsi="Times New Roman"/>
          <w:szCs w:val="21"/>
        </w:rPr>
        <w:t>，温度范围：室温</w:t>
      </w:r>
      <w:r>
        <w:rPr>
          <w:rFonts w:ascii="Times New Roman" w:hAnsi="Times New Roman"/>
          <w:szCs w:val="21"/>
        </w:rPr>
        <w:t>-100</w:t>
      </w:r>
      <w:r>
        <w:rPr>
          <w:rFonts w:hint="eastAsia" w:ascii="宋体" w:hAnsi="宋体" w:cs="宋体"/>
          <w:szCs w:val="21"/>
        </w:rPr>
        <w:t>℃</w:t>
      </w:r>
      <w:r>
        <w:rPr>
          <w:rFonts w:hint="eastAsia" w:ascii="Times New Roman" w:hAnsi="Times New Roman"/>
          <w:szCs w:val="21"/>
        </w:rPr>
        <w:t>，数字显示，控温精度≤</w:t>
      </w:r>
      <w:r>
        <w:rPr>
          <w:rFonts w:ascii="Times New Roman" w:hAnsi="Times New Roman"/>
          <w:szCs w:val="21"/>
        </w:rPr>
        <w:t>1</w:t>
      </w:r>
      <w:r>
        <w:rPr>
          <w:rFonts w:hint="eastAsia" w:ascii="宋体" w:hAnsi="宋体" w:cs="宋体"/>
          <w:szCs w:val="21"/>
        </w:rPr>
        <w:t>℃</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2.1.</w:t>
      </w:r>
      <w:r>
        <w:rPr>
          <w:rFonts w:hint="eastAsia" w:ascii="Times New Roman" w:hAnsi="Times New Roman"/>
          <w:szCs w:val="21"/>
        </w:rPr>
        <w:t>8</w:t>
      </w:r>
      <w:r>
        <w:rPr>
          <w:rFonts w:ascii="Times New Roman" w:hAnsi="Times New Roman"/>
          <w:szCs w:val="21"/>
        </w:rPr>
        <w:t xml:space="preserve">加热锅容积≥3.0L，可适用于50-500mL蒸发瓶操作。 </w:t>
      </w:r>
    </w:p>
    <w:p>
      <w:pPr>
        <w:spacing w:line="360" w:lineRule="auto"/>
        <w:rPr>
          <w:rFonts w:ascii="Times New Roman" w:hAnsi="Times New Roman"/>
          <w:szCs w:val="21"/>
        </w:rPr>
      </w:pPr>
      <w:r>
        <w:rPr>
          <w:rFonts w:ascii="Times New Roman" w:hAnsi="Times New Roman"/>
          <w:szCs w:val="21"/>
        </w:rPr>
        <w:t>2.1.</w:t>
      </w:r>
      <w:r>
        <w:rPr>
          <w:rFonts w:hint="eastAsia" w:ascii="Times New Roman" w:hAnsi="Times New Roman"/>
          <w:szCs w:val="21"/>
        </w:rPr>
        <w:t>9</w:t>
      </w:r>
      <w:r>
        <w:rPr>
          <w:rFonts w:ascii="Times New Roman" w:hAnsi="Times New Roman"/>
          <w:szCs w:val="21"/>
        </w:rPr>
        <w:t>加热锅</w:t>
      </w:r>
      <w:r>
        <w:rPr>
          <w:rFonts w:hint="eastAsia" w:ascii="Times New Roman" w:hAnsi="Times New Roman"/>
          <w:szCs w:val="21"/>
        </w:rPr>
        <w:t>具有</w:t>
      </w:r>
      <w:r>
        <w:rPr>
          <w:rFonts w:ascii="Times New Roman" w:hAnsi="Times New Roman"/>
          <w:szCs w:val="21"/>
        </w:rPr>
        <w:t>绝热设计预防</w:t>
      </w:r>
      <w:r>
        <w:rPr>
          <w:rFonts w:hint="eastAsia" w:ascii="Times New Roman" w:hAnsi="Times New Roman"/>
          <w:szCs w:val="21"/>
        </w:rPr>
        <w:t>意外</w:t>
      </w:r>
      <w:r>
        <w:rPr>
          <w:rFonts w:ascii="Times New Roman" w:hAnsi="Times New Roman"/>
          <w:szCs w:val="21"/>
        </w:rPr>
        <w:t>烫伤，并配有安全把手</w:t>
      </w:r>
      <w:r>
        <w:rPr>
          <w:rFonts w:hint="eastAsia" w:ascii="Times New Roman" w:hAnsi="Times New Roman"/>
          <w:szCs w:val="21"/>
        </w:rPr>
        <w:t>、</w:t>
      </w:r>
      <w:r>
        <w:rPr>
          <w:rFonts w:ascii="Times New Roman" w:hAnsi="Times New Roman"/>
          <w:szCs w:val="21"/>
        </w:rPr>
        <w:t>防护电缆接口，可预防设备短路</w:t>
      </w:r>
      <w:r>
        <w:rPr>
          <w:rFonts w:hint="eastAsia" w:ascii="Times New Roman" w:hAnsi="Times New Roman"/>
          <w:szCs w:val="21"/>
        </w:rPr>
        <w:t>或</w:t>
      </w:r>
      <w:r>
        <w:rPr>
          <w:rFonts w:ascii="Times New Roman" w:hAnsi="Times New Roman"/>
          <w:szCs w:val="21"/>
        </w:rPr>
        <w:t>漏电等意外情况的发生。</w:t>
      </w:r>
    </w:p>
    <w:p>
      <w:pPr>
        <w:spacing w:line="360" w:lineRule="auto"/>
        <w:rPr>
          <w:rFonts w:ascii="Times New Roman" w:hAnsi="Times New Roman"/>
          <w:szCs w:val="21"/>
        </w:rPr>
      </w:pPr>
      <w:r>
        <w:rPr>
          <w:rFonts w:ascii="Times New Roman" w:hAnsi="Times New Roman"/>
          <w:szCs w:val="21"/>
        </w:rPr>
        <w:t>2.1.</w:t>
      </w:r>
      <w:r>
        <w:rPr>
          <w:rFonts w:hint="eastAsia" w:ascii="Times New Roman" w:hAnsi="Times New Roman"/>
          <w:szCs w:val="21"/>
        </w:rPr>
        <w:t>10</w:t>
      </w:r>
      <w:r>
        <w:rPr>
          <w:rFonts w:ascii="Times New Roman" w:hAnsi="Times New Roman"/>
          <w:szCs w:val="21"/>
        </w:rPr>
        <w:t>加热锅水平移动距离</w:t>
      </w:r>
      <w:r>
        <w:rPr>
          <w:rFonts w:hint="eastAsia" w:ascii="Times New Roman" w:hAnsi="Times New Roman"/>
          <w:szCs w:val="21"/>
        </w:rPr>
        <w:t>不低于</w:t>
      </w:r>
      <w:r>
        <w:rPr>
          <w:rFonts w:ascii="Times New Roman" w:hAnsi="Times New Roman"/>
          <w:szCs w:val="21"/>
        </w:rPr>
        <w:t>150mm</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2.1.1</w:t>
      </w:r>
      <w:r>
        <w:rPr>
          <w:rFonts w:hint="eastAsia" w:ascii="Times New Roman" w:hAnsi="Times New Roman"/>
          <w:szCs w:val="21"/>
        </w:rPr>
        <w:t>1</w:t>
      </w:r>
      <w:r>
        <w:rPr>
          <w:rFonts w:ascii="Times New Roman" w:hAnsi="Times New Roman"/>
          <w:szCs w:val="21"/>
        </w:rPr>
        <w:t>退瓶设计</w:t>
      </w:r>
      <w:r>
        <w:rPr>
          <w:rFonts w:hint="eastAsia" w:ascii="Times New Roman" w:hAnsi="Times New Roman"/>
          <w:szCs w:val="21"/>
        </w:rPr>
        <w:t>方便</w:t>
      </w:r>
      <w:r>
        <w:rPr>
          <w:rFonts w:ascii="Times New Roman" w:hAnsi="Times New Roman"/>
          <w:szCs w:val="21"/>
        </w:rPr>
        <w:t>安装及移除蒸发瓶，</w:t>
      </w:r>
      <w:r>
        <w:rPr>
          <w:rFonts w:hint="eastAsia" w:ascii="Times New Roman" w:hAnsi="Times New Roman"/>
          <w:szCs w:val="21"/>
        </w:rPr>
        <w:t>避免</w:t>
      </w:r>
      <w:r>
        <w:rPr>
          <w:rFonts w:ascii="Times New Roman" w:hAnsi="Times New Roman"/>
          <w:szCs w:val="21"/>
        </w:rPr>
        <w:t>玻璃破碎。</w:t>
      </w:r>
    </w:p>
    <w:p>
      <w:pPr>
        <w:spacing w:line="360" w:lineRule="auto"/>
        <w:rPr>
          <w:rFonts w:ascii="Times New Roman" w:hAnsi="Times New Roman"/>
          <w:szCs w:val="21"/>
        </w:rPr>
      </w:pPr>
      <w:r>
        <w:rPr>
          <w:rFonts w:ascii="Times New Roman" w:hAnsi="Times New Roman"/>
          <w:szCs w:val="21"/>
        </w:rPr>
        <w:t>2.1.1</w:t>
      </w:r>
      <w:r>
        <w:rPr>
          <w:rFonts w:hint="eastAsia" w:ascii="Times New Roman" w:hAnsi="Times New Roman"/>
          <w:szCs w:val="21"/>
        </w:rPr>
        <w:t>2</w:t>
      </w:r>
      <w:r>
        <w:rPr>
          <w:rFonts w:ascii="Times New Roman" w:hAnsi="Times New Roman"/>
          <w:szCs w:val="21"/>
        </w:rPr>
        <w:t>密封圈采用抗腐蚀性PTFE材质制成。</w:t>
      </w:r>
    </w:p>
    <w:p>
      <w:pPr>
        <w:spacing w:line="360" w:lineRule="auto"/>
        <w:rPr>
          <w:rFonts w:ascii="Times New Roman" w:hAnsi="Times New Roman"/>
          <w:szCs w:val="21"/>
        </w:rPr>
      </w:pPr>
      <w:r>
        <w:rPr>
          <w:rFonts w:ascii="Times New Roman" w:hAnsi="Times New Roman"/>
          <w:szCs w:val="21"/>
        </w:rPr>
        <w:t>2.1.1</w:t>
      </w:r>
      <w:r>
        <w:rPr>
          <w:rFonts w:hint="eastAsia" w:ascii="Times New Roman" w:hAnsi="Times New Roman"/>
          <w:szCs w:val="21"/>
        </w:rPr>
        <w:t>3</w:t>
      </w:r>
      <w:r>
        <w:rPr>
          <w:rFonts w:ascii="Times New Roman" w:hAnsi="Times New Roman"/>
          <w:szCs w:val="21"/>
        </w:rPr>
        <w:t>配置的冷凝器冷凝面积不低于1500cm</w:t>
      </w:r>
      <w:r>
        <w:rPr>
          <w:rFonts w:ascii="Times New Roman" w:hAnsi="Times New Roman"/>
          <w:szCs w:val="21"/>
          <w:vertAlign w:val="superscript"/>
        </w:rPr>
        <w:t>2</w:t>
      </w:r>
      <w:r>
        <w:rPr>
          <w:rFonts w:ascii="Times New Roman" w:hAnsi="Times New Roman"/>
          <w:szCs w:val="21"/>
        </w:rPr>
        <w:t>。</w:t>
      </w:r>
      <w:r>
        <w:rPr>
          <w:rFonts w:ascii="Times New Roman" w:hAnsi="Times New Roman"/>
          <w:szCs w:val="21"/>
        </w:rPr>
        <w:br w:type="textWrapping"/>
      </w:r>
      <w:r>
        <w:rPr>
          <w:rFonts w:ascii="Times New Roman" w:hAnsi="Times New Roman"/>
          <w:szCs w:val="21"/>
        </w:rPr>
        <w:t>2.1.1</w:t>
      </w:r>
      <w:r>
        <w:rPr>
          <w:rFonts w:hint="eastAsia" w:ascii="Times New Roman" w:hAnsi="Times New Roman"/>
          <w:szCs w:val="21"/>
        </w:rPr>
        <w:t>4</w:t>
      </w:r>
      <w:r>
        <w:rPr>
          <w:rFonts w:ascii="Times New Roman" w:hAnsi="Times New Roman"/>
          <w:szCs w:val="21"/>
        </w:rPr>
        <w:t>电源电压：220V；工作环境温度：不小于15-35</w:t>
      </w:r>
      <w:r>
        <w:rPr>
          <w:rFonts w:hint="eastAsia" w:ascii="宋体" w:hAnsi="宋体" w:cs="宋体"/>
          <w:szCs w:val="21"/>
        </w:rPr>
        <w:t>℃</w:t>
      </w:r>
      <w:r>
        <w:rPr>
          <w:rFonts w:ascii="Times New Roman" w:hAnsi="Times New Roman"/>
          <w:szCs w:val="21"/>
        </w:rPr>
        <w:t>范围。</w:t>
      </w:r>
    </w:p>
    <w:p>
      <w:pPr>
        <w:pStyle w:val="20"/>
        <w:spacing w:line="360" w:lineRule="auto"/>
        <w:ind w:firstLine="0" w:firstLineChars="0"/>
        <w:rPr>
          <w:rFonts w:ascii="Times New Roman" w:hAnsi="Times New Roman"/>
          <w:szCs w:val="21"/>
        </w:rPr>
      </w:pPr>
      <w:r>
        <w:rPr>
          <w:rFonts w:ascii="Times New Roman" w:hAnsi="Times New Roman"/>
          <w:szCs w:val="21"/>
        </w:rPr>
        <w:t>2.2真空泵及真空控制器</w:t>
      </w:r>
    </w:p>
    <w:p>
      <w:pPr>
        <w:spacing w:line="360" w:lineRule="auto"/>
        <w:rPr>
          <w:rFonts w:ascii="Times New Roman" w:hAnsi="Times New Roman"/>
          <w:szCs w:val="21"/>
        </w:rPr>
      </w:pPr>
      <w:r>
        <w:rPr>
          <w:rFonts w:ascii="Times New Roman" w:hAnsi="Times New Roman"/>
          <w:szCs w:val="21"/>
        </w:rPr>
        <w:t>2.2.1配置同品牌</w:t>
      </w:r>
      <w:r>
        <w:rPr>
          <w:rFonts w:hint="eastAsia" w:ascii="Times New Roman" w:hAnsi="Times New Roman"/>
          <w:szCs w:val="21"/>
        </w:rPr>
        <w:t>变频</w:t>
      </w:r>
      <w:r>
        <w:rPr>
          <w:rFonts w:ascii="Times New Roman" w:hAnsi="Times New Roman"/>
          <w:szCs w:val="21"/>
        </w:rPr>
        <w:t>隔膜真空泵，无油干式运行</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2.2.2最低真空度≤15mbar。</w:t>
      </w:r>
    </w:p>
    <w:p>
      <w:pPr>
        <w:spacing w:line="360" w:lineRule="auto"/>
        <w:rPr>
          <w:rFonts w:ascii="Times New Roman" w:hAnsi="Times New Roman"/>
          <w:szCs w:val="21"/>
        </w:rPr>
      </w:pPr>
      <w:r>
        <w:rPr>
          <w:rFonts w:ascii="Times New Roman" w:hAnsi="Times New Roman"/>
          <w:szCs w:val="21"/>
        </w:rPr>
        <w:t>2.2.3内部隔膜片及管路均为PTFE材质，可耐强化学腐蚀。</w:t>
      </w:r>
    </w:p>
    <w:p>
      <w:pPr>
        <w:spacing w:line="360" w:lineRule="auto"/>
        <w:rPr>
          <w:rFonts w:ascii="Times New Roman" w:hAnsi="Times New Roman"/>
          <w:szCs w:val="21"/>
        </w:rPr>
      </w:pPr>
      <w:r>
        <w:rPr>
          <w:rFonts w:hint="eastAsia" w:ascii="宋体" w:hAnsi="宋体" w:cs="Arial"/>
          <w:color w:val="auto"/>
          <w:kern w:val="0"/>
          <w:szCs w:val="21"/>
        </w:rPr>
        <w:t>▲</w:t>
      </w:r>
      <w:r>
        <w:rPr>
          <w:rFonts w:hint="eastAsia" w:ascii="Times New Roman" w:hAnsi="Times New Roman"/>
          <w:szCs w:val="21"/>
        </w:rPr>
        <w:t>2.2.4配二次冷凝回收装置，避免废气污染环境。</w:t>
      </w:r>
    </w:p>
    <w:p>
      <w:pPr>
        <w:spacing w:line="360" w:lineRule="auto"/>
        <w:rPr>
          <w:rFonts w:ascii="Times New Roman" w:hAnsi="Times New Roman"/>
          <w:szCs w:val="21"/>
        </w:rPr>
      </w:pPr>
      <w:r>
        <w:rPr>
          <w:rFonts w:ascii="Times New Roman" w:hAnsi="Times New Roman"/>
          <w:szCs w:val="21"/>
        </w:rPr>
        <w:t>2.2.</w:t>
      </w:r>
      <w:r>
        <w:rPr>
          <w:rFonts w:hint="eastAsia" w:ascii="Times New Roman" w:hAnsi="Times New Roman"/>
          <w:szCs w:val="21"/>
        </w:rPr>
        <w:t>5</w:t>
      </w:r>
      <w:r>
        <w:rPr>
          <w:rFonts w:ascii="Times New Roman" w:hAnsi="Times New Roman"/>
          <w:szCs w:val="21"/>
        </w:rPr>
        <w:t>泵的体积不大于200</w:t>
      </w:r>
      <w:r>
        <w:rPr>
          <w:rFonts w:hint="eastAsia" w:ascii="Times New Roman" w:hAnsi="Times New Roman"/>
          <w:szCs w:val="21"/>
        </w:rPr>
        <w:t>（宽）</w:t>
      </w:r>
      <w:r>
        <w:rPr>
          <w:rFonts w:ascii="Times New Roman" w:hAnsi="Times New Roman"/>
          <w:szCs w:val="21"/>
        </w:rPr>
        <w:t>×400</w:t>
      </w:r>
      <w:r>
        <w:rPr>
          <w:rFonts w:hint="eastAsia" w:ascii="Times New Roman" w:hAnsi="Times New Roman"/>
          <w:szCs w:val="21"/>
        </w:rPr>
        <w:t>（深）</w:t>
      </w:r>
      <w:r>
        <w:rPr>
          <w:rFonts w:ascii="Times New Roman" w:hAnsi="Times New Roman"/>
          <w:szCs w:val="21"/>
        </w:rPr>
        <w:t>×400</w:t>
      </w:r>
      <w:r>
        <w:rPr>
          <w:rFonts w:hint="eastAsia" w:ascii="Times New Roman" w:hAnsi="Times New Roman"/>
          <w:szCs w:val="21"/>
        </w:rPr>
        <w:t>（高）</w:t>
      </w:r>
      <w:r>
        <w:rPr>
          <w:rFonts w:ascii="Times New Roman" w:hAnsi="Times New Roman"/>
          <w:szCs w:val="21"/>
        </w:rPr>
        <w:t>mm。</w:t>
      </w:r>
    </w:p>
    <w:p>
      <w:pPr>
        <w:spacing w:line="360" w:lineRule="auto"/>
        <w:rPr>
          <w:rFonts w:ascii="Times New Roman" w:hAnsi="Times New Roman"/>
          <w:szCs w:val="21"/>
        </w:rPr>
      </w:pPr>
      <w:r>
        <w:rPr>
          <w:rFonts w:ascii="Times New Roman" w:hAnsi="Times New Roman"/>
          <w:szCs w:val="21"/>
        </w:rPr>
        <w:t>2.2.</w:t>
      </w:r>
      <w:r>
        <w:rPr>
          <w:rFonts w:hint="eastAsia" w:ascii="Times New Roman" w:hAnsi="Times New Roman"/>
          <w:szCs w:val="21"/>
        </w:rPr>
        <w:t>6</w:t>
      </w:r>
      <w:r>
        <w:rPr>
          <w:rFonts w:ascii="Times New Roman" w:hAnsi="Times New Roman"/>
          <w:szCs w:val="21"/>
        </w:rPr>
        <w:t>真空控制器，数字显示真空度，控制范围2-1000mbar，在达到设定真空度后</w:t>
      </w:r>
      <w:r>
        <w:rPr>
          <w:rFonts w:hint="eastAsia" w:ascii="Times New Roman" w:hAnsi="Times New Roman"/>
          <w:szCs w:val="21"/>
        </w:rPr>
        <w:t>1小时内的真空度偏差</w:t>
      </w:r>
      <w:r>
        <w:rPr>
          <w:rFonts w:ascii="Times New Roman" w:hAnsi="Times New Roman"/>
          <w:szCs w:val="21"/>
        </w:rPr>
        <w:t>≤1mbar</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2.3循环冷凝水机</w:t>
      </w:r>
    </w:p>
    <w:p>
      <w:pPr>
        <w:spacing w:line="360" w:lineRule="auto"/>
        <w:rPr>
          <w:rFonts w:ascii="Times New Roman" w:hAnsi="Times New Roman"/>
          <w:szCs w:val="21"/>
        </w:rPr>
      </w:pPr>
      <w:r>
        <w:rPr>
          <w:rFonts w:ascii="Times New Roman" w:hAnsi="Times New Roman"/>
          <w:szCs w:val="21"/>
        </w:rPr>
        <w:t>2.3.1控温范围：-10</w:t>
      </w:r>
      <w:r>
        <w:rPr>
          <w:rFonts w:hint="eastAsia" w:ascii="宋体" w:hAnsi="宋体" w:cs="宋体"/>
          <w:szCs w:val="21"/>
        </w:rPr>
        <w:t>℃</w:t>
      </w:r>
      <w:r>
        <w:rPr>
          <w:rFonts w:ascii="Times New Roman" w:hAnsi="Times New Roman"/>
          <w:szCs w:val="21"/>
        </w:rPr>
        <w:t>至室温</w:t>
      </w:r>
      <w:r>
        <w:rPr>
          <w:rFonts w:hint="eastAsia" w:ascii="Times New Roman" w:hAnsi="Times New Roman"/>
          <w:szCs w:val="21"/>
        </w:rPr>
        <w:t>范围，控温精度：≤</w:t>
      </w:r>
      <w:r>
        <w:rPr>
          <w:rFonts w:ascii="Times New Roman" w:hAnsi="Times New Roman"/>
          <w:szCs w:val="21"/>
        </w:rPr>
        <w:t>0.5</w:t>
      </w:r>
      <w:r>
        <w:rPr>
          <w:rFonts w:hint="eastAsia" w:ascii="宋体" w:hAnsi="宋体" w:cs="宋体"/>
          <w:szCs w:val="21"/>
        </w:rPr>
        <w:t>℃</w:t>
      </w:r>
      <w:r>
        <w:rPr>
          <w:rFonts w:hint="eastAsia" w:ascii="Times New Roman" w:hAnsi="Times New Roman"/>
          <w:szCs w:val="21"/>
        </w:rPr>
        <w:t>，</w:t>
      </w:r>
      <w:r>
        <w:rPr>
          <w:rFonts w:ascii="Times New Roman" w:hAnsi="Times New Roman"/>
          <w:szCs w:val="21"/>
        </w:rPr>
        <w:t>具有实际温度数显功能</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2.3.2具有便于观察冷凝液体液位变化的可视窗口。</w:t>
      </w:r>
    </w:p>
    <w:p>
      <w:pPr>
        <w:spacing w:line="360" w:lineRule="auto"/>
        <w:rPr>
          <w:rFonts w:ascii="Times New Roman" w:hAnsi="Times New Roman"/>
          <w:szCs w:val="21"/>
        </w:rPr>
      </w:pPr>
      <w:r>
        <w:rPr>
          <w:rFonts w:ascii="Times New Roman" w:hAnsi="Times New Roman"/>
          <w:szCs w:val="21"/>
        </w:rPr>
        <w:t>2.3.3一台循环冷凝水机可</w:t>
      </w:r>
      <w:r>
        <w:rPr>
          <w:rFonts w:hint="eastAsia" w:ascii="Times New Roman" w:hAnsi="Times New Roman"/>
          <w:szCs w:val="21"/>
        </w:rPr>
        <w:t>用于</w:t>
      </w:r>
      <w:r>
        <w:rPr>
          <w:rFonts w:ascii="Times New Roman" w:hAnsi="Times New Roman"/>
          <w:szCs w:val="21"/>
        </w:rPr>
        <w:t>两套旋转蒸发仪串联工作。</w:t>
      </w:r>
    </w:p>
    <w:p>
      <w:pPr>
        <w:spacing w:line="360" w:lineRule="auto"/>
        <w:rPr>
          <w:rFonts w:ascii="Times New Roman" w:hAnsi="Times New Roman"/>
          <w:szCs w:val="21"/>
        </w:rPr>
      </w:pPr>
      <w:r>
        <w:rPr>
          <w:rFonts w:ascii="Times New Roman" w:hAnsi="Times New Roman"/>
          <w:szCs w:val="21"/>
        </w:rPr>
        <w:t>2.3.4冷凝水机</w:t>
      </w:r>
      <w:r>
        <w:rPr>
          <w:rFonts w:hint="eastAsia" w:ascii="Times New Roman" w:hAnsi="Times New Roman"/>
          <w:szCs w:val="21"/>
        </w:rPr>
        <w:t>的</w:t>
      </w:r>
      <w:r>
        <w:rPr>
          <w:rFonts w:ascii="Times New Roman" w:hAnsi="Times New Roman"/>
          <w:szCs w:val="21"/>
        </w:rPr>
        <w:t>体积不大于250</w:t>
      </w:r>
      <w:r>
        <w:rPr>
          <w:rFonts w:hint="eastAsia" w:ascii="Times New Roman" w:hAnsi="Times New Roman"/>
          <w:szCs w:val="21"/>
        </w:rPr>
        <w:t>（宽）</w:t>
      </w:r>
      <w:r>
        <w:rPr>
          <w:rFonts w:ascii="Times New Roman" w:hAnsi="Times New Roman"/>
          <w:szCs w:val="21"/>
        </w:rPr>
        <w:t>*550</w:t>
      </w:r>
      <w:r>
        <w:rPr>
          <w:rFonts w:hint="eastAsia" w:ascii="Times New Roman" w:hAnsi="Times New Roman"/>
          <w:szCs w:val="21"/>
        </w:rPr>
        <w:t>（深）</w:t>
      </w:r>
      <w:r>
        <w:rPr>
          <w:rFonts w:ascii="Times New Roman" w:hAnsi="Times New Roman"/>
          <w:szCs w:val="21"/>
        </w:rPr>
        <w:t>*550</w:t>
      </w:r>
      <w:r>
        <w:rPr>
          <w:rFonts w:hint="eastAsia" w:ascii="Times New Roman" w:hAnsi="Times New Roman"/>
          <w:szCs w:val="21"/>
        </w:rPr>
        <w:t>（高）</w:t>
      </w:r>
      <w:r>
        <w:rPr>
          <w:rFonts w:ascii="Times New Roman" w:hAnsi="Times New Roman"/>
          <w:szCs w:val="21"/>
        </w:rPr>
        <w:t>mm；</w:t>
      </w:r>
    </w:p>
    <w:p>
      <w:pPr>
        <w:spacing w:line="360" w:lineRule="auto"/>
        <w:rPr>
          <w:rFonts w:ascii="Times New Roman" w:hAnsi="Times New Roman"/>
          <w:szCs w:val="21"/>
        </w:rPr>
      </w:pPr>
      <w:r>
        <w:rPr>
          <w:rFonts w:ascii="Times New Roman" w:hAnsi="Times New Roman"/>
          <w:szCs w:val="21"/>
        </w:rPr>
        <w:t>2.3.5冷凝器腔体体积：不低于4L。</w:t>
      </w:r>
    </w:p>
    <w:p>
      <w:pPr>
        <w:pStyle w:val="20"/>
        <w:spacing w:line="360" w:lineRule="auto"/>
        <w:ind w:firstLine="0" w:firstLineChars="0"/>
        <w:rPr>
          <w:rFonts w:ascii="Times New Roman" w:hAnsi="Times New Roman"/>
          <w:szCs w:val="21"/>
        </w:rPr>
      </w:pPr>
      <w:r>
        <w:rPr>
          <w:rFonts w:ascii="Times New Roman" w:hAnsi="Times New Roman"/>
          <w:szCs w:val="21"/>
        </w:rPr>
        <w:t>3配置清单</w:t>
      </w:r>
    </w:p>
    <w:p>
      <w:pPr>
        <w:spacing w:line="360" w:lineRule="auto"/>
        <w:rPr>
          <w:rFonts w:ascii="Times New Roman" w:hAnsi="Times New Roman"/>
          <w:szCs w:val="21"/>
        </w:rPr>
      </w:pPr>
      <w:r>
        <w:rPr>
          <w:rFonts w:ascii="Times New Roman" w:hAnsi="Times New Roman"/>
          <w:szCs w:val="21"/>
        </w:rPr>
        <w:t>3.1</w:t>
      </w:r>
      <w:r>
        <w:rPr>
          <w:rFonts w:hint="eastAsia" w:ascii="Times New Roman" w:hAnsi="Times New Roman"/>
          <w:szCs w:val="21"/>
        </w:rPr>
        <w:t>仪器</w:t>
      </w:r>
      <w:r>
        <w:rPr>
          <w:rFonts w:ascii="Times New Roman" w:hAnsi="Times New Roman"/>
          <w:szCs w:val="21"/>
        </w:rPr>
        <w:t>4</w:t>
      </w:r>
      <w:r>
        <w:rPr>
          <w:rFonts w:hint="eastAsia" w:ascii="Times New Roman" w:hAnsi="Times New Roman"/>
          <w:szCs w:val="21"/>
        </w:rPr>
        <w:t>套，每</w:t>
      </w:r>
      <w:r>
        <w:rPr>
          <w:rFonts w:ascii="Times New Roman" w:hAnsi="Times New Roman"/>
          <w:szCs w:val="21"/>
        </w:rPr>
        <w:t>套旋转蒸发仪标配包含以下内容：</w:t>
      </w:r>
    </w:p>
    <w:p>
      <w:pPr>
        <w:spacing w:line="360" w:lineRule="auto"/>
        <w:rPr>
          <w:rFonts w:ascii="Times New Roman" w:hAnsi="Times New Roman"/>
          <w:szCs w:val="21"/>
        </w:rPr>
      </w:pPr>
      <w:r>
        <w:rPr>
          <w:rFonts w:ascii="Times New Roman" w:hAnsi="Times New Roman"/>
          <w:szCs w:val="21"/>
        </w:rPr>
        <w:t>（1）电动升降旋转蒸发仪主机，1台；</w:t>
      </w:r>
    </w:p>
    <w:p>
      <w:pPr>
        <w:spacing w:line="360" w:lineRule="auto"/>
        <w:rPr>
          <w:rFonts w:ascii="Times New Roman" w:hAnsi="Times New Roman"/>
          <w:szCs w:val="21"/>
        </w:rPr>
      </w:pPr>
      <w:r>
        <w:rPr>
          <w:rFonts w:ascii="Times New Roman" w:hAnsi="Times New Roman"/>
          <w:szCs w:val="21"/>
        </w:rPr>
        <w:t>（2）数显加热锅1台；</w:t>
      </w:r>
    </w:p>
    <w:p>
      <w:pPr>
        <w:spacing w:line="360" w:lineRule="auto"/>
        <w:rPr>
          <w:rFonts w:ascii="Times New Roman" w:hAnsi="Times New Roman"/>
          <w:szCs w:val="21"/>
        </w:rPr>
      </w:pPr>
      <w:r>
        <w:rPr>
          <w:rFonts w:ascii="Times New Roman" w:hAnsi="Times New Roman"/>
          <w:szCs w:val="21"/>
        </w:rPr>
        <w:t>（3）防爆垂直玻璃冷凝管组件（含1L蒸发瓶，1L收集瓶），1套；</w:t>
      </w:r>
    </w:p>
    <w:p>
      <w:pPr>
        <w:spacing w:line="360" w:lineRule="auto"/>
        <w:rPr>
          <w:rFonts w:ascii="Times New Roman" w:hAnsi="Times New Roman"/>
          <w:szCs w:val="21"/>
        </w:rPr>
      </w:pPr>
      <w:r>
        <w:rPr>
          <w:rFonts w:ascii="Times New Roman" w:hAnsi="Times New Roman"/>
          <w:szCs w:val="21"/>
        </w:rPr>
        <w:t>（4）同品牌</w:t>
      </w:r>
      <w:r>
        <w:rPr>
          <w:rFonts w:hint="eastAsia" w:ascii="Times New Roman" w:hAnsi="Times New Roman"/>
          <w:szCs w:val="21"/>
        </w:rPr>
        <w:t>变频</w:t>
      </w:r>
      <w:r>
        <w:rPr>
          <w:rFonts w:ascii="Times New Roman" w:hAnsi="Times New Roman"/>
          <w:szCs w:val="21"/>
        </w:rPr>
        <w:t>隔膜真空泵，1台；</w:t>
      </w:r>
    </w:p>
    <w:p>
      <w:pPr>
        <w:spacing w:line="360" w:lineRule="auto"/>
        <w:rPr>
          <w:rFonts w:ascii="Times New Roman" w:hAnsi="Times New Roman"/>
          <w:szCs w:val="21"/>
        </w:rPr>
      </w:pPr>
      <w:r>
        <w:rPr>
          <w:rFonts w:ascii="Times New Roman" w:hAnsi="Times New Roman"/>
          <w:szCs w:val="21"/>
        </w:rPr>
        <w:t>（5）循环冷凝水机，1台</w:t>
      </w:r>
      <w:r>
        <w:rPr>
          <w:rFonts w:hint="eastAsia" w:ascii="Times New Roman" w:hAnsi="Times New Roman"/>
          <w:szCs w:val="21"/>
        </w:rPr>
        <w:t>；</w:t>
      </w:r>
    </w:p>
    <w:p>
      <w:pPr>
        <w:spacing w:line="360" w:lineRule="auto"/>
        <w:rPr>
          <w:rFonts w:ascii="Times New Roman" w:hAnsi="Times New Roman"/>
          <w:szCs w:val="21"/>
        </w:rPr>
      </w:pPr>
      <w:r>
        <w:rPr>
          <w:rFonts w:hint="eastAsia" w:ascii="Times New Roman" w:hAnsi="Times New Roman"/>
          <w:szCs w:val="21"/>
        </w:rPr>
        <w:t>（6）真空泵与旋转蒸发仪主机相连接的硬质硅胶管路</w:t>
      </w:r>
      <w:r>
        <w:rPr>
          <w:rFonts w:ascii="Times New Roman" w:hAnsi="Times New Roman"/>
          <w:szCs w:val="21"/>
        </w:rPr>
        <w:t>30m</w:t>
      </w:r>
      <w:r>
        <w:rPr>
          <w:rFonts w:hint="eastAsia" w:ascii="Times New Roman" w:hAnsi="Times New Roman"/>
          <w:szCs w:val="21"/>
        </w:rPr>
        <w:t>。</w:t>
      </w:r>
    </w:p>
    <w:p>
      <w:pPr>
        <w:spacing w:line="360" w:lineRule="auto"/>
        <w:rPr>
          <w:rFonts w:ascii="Times New Roman" w:hAnsi="Times New Roman"/>
          <w:szCs w:val="21"/>
        </w:rPr>
      </w:pPr>
      <w:r>
        <w:rPr>
          <w:rFonts w:ascii="Times New Roman" w:hAnsi="Times New Roman"/>
          <w:szCs w:val="21"/>
        </w:rPr>
        <w:t>3.2除标配外，每套旋转蒸发仪需另外配备</w:t>
      </w:r>
      <w:r>
        <w:rPr>
          <w:rFonts w:hint="eastAsia" w:ascii="Times New Roman" w:hAnsi="Times New Roman"/>
          <w:szCs w:val="21"/>
        </w:rPr>
        <w:t>5</w:t>
      </w:r>
      <w:r>
        <w:rPr>
          <w:rFonts w:ascii="Times New Roman" w:hAnsi="Times New Roman"/>
          <w:szCs w:val="21"/>
        </w:rPr>
        <w:t>个蒸发管</w:t>
      </w:r>
      <w:r>
        <w:rPr>
          <w:rFonts w:hint="eastAsia" w:ascii="Times New Roman" w:hAnsi="Times New Roman"/>
          <w:szCs w:val="21"/>
        </w:rPr>
        <w:t>、</w:t>
      </w:r>
      <w:r>
        <w:rPr>
          <w:rFonts w:ascii="Times New Roman" w:hAnsi="Times New Roman"/>
          <w:szCs w:val="21"/>
        </w:rPr>
        <w:t>2个1L废液收集瓶和2个500mL废液收集瓶</w:t>
      </w:r>
      <w:r>
        <w:rPr>
          <w:rFonts w:hint="eastAsia" w:ascii="Times New Roman" w:hAnsi="Times New Roman"/>
          <w:szCs w:val="21"/>
        </w:rPr>
        <w:t>，</w:t>
      </w:r>
      <w:r>
        <w:rPr>
          <w:rFonts w:ascii="Times New Roman" w:hAnsi="Times New Roman"/>
          <w:szCs w:val="21"/>
        </w:rPr>
        <w:t>密封垫圈5</w:t>
      </w:r>
      <w:r>
        <w:rPr>
          <w:rFonts w:hint="eastAsia" w:ascii="Times New Roman" w:hAnsi="Times New Roman"/>
          <w:szCs w:val="21"/>
        </w:rPr>
        <w:t>个。</w:t>
      </w:r>
    </w:p>
    <w:p>
      <w:pPr>
        <w:spacing w:line="360" w:lineRule="auto"/>
        <w:rPr>
          <w:rFonts w:ascii="Times New Roman" w:hAnsi="Times New Roman"/>
          <w:szCs w:val="21"/>
        </w:rPr>
      </w:pPr>
      <w:r>
        <w:rPr>
          <w:rFonts w:ascii="Times New Roman" w:hAnsi="Times New Roman"/>
          <w:szCs w:val="21"/>
        </w:rPr>
        <w:t>3.3除</w:t>
      </w:r>
      <w:r>
        <w:rPr>
          <w:rFonts w:hint="eastAsia" w:ascii="Times New Roman" w:hAnsi="Times New Roman"/>
          <w:szCs w:val="21"/>
        </w:rPr>
        <w:t>了</w:t>
      </w:r>
      <w:r>
        <w:rPr>
          <w:rFonts w:ascii="Times New Roman" w:hAnsi="Times New Roman"/>
          <w:szCs w:val="21"/>
        </w:rPr>
        <w:t>四套完整的旋转蒸</w:t>
      </w:r>
      <w:r>
        <w:rPr>
          <w:rFonts w:hint="eastAsia" w:ascii="Times New Roman" w:hAnsi="Times New Roman"/>
          <w:szCs w:val="21"/>
        </w:rPr>
        <w:t>发仪外，需额外配置</w:t>
      </w:r>
      <w:r>
        <w:rPr>
          <w:rFonts w:ascii="Times New Roman" w:hAnsi="Times New Roman"/>
          <w:szCs w:val="21"/>
        </w:rPr>
        <w:t>1</w:t>
      </w:r>
      <w:r>
        <w:rPr>
          <w:rFonts w:hint="eastAsia" w:ascii="Times New Roman" w:hAnsi="Times New Roman"/>
          <w:szCs w:val="21"/>
        </w:rPr>
        <w:t>台循环冷凝水机及</w:t>
      </w:r>
      <w:r>
        <w:rPr>
          <w:rFonts w:ascii="Times New Roman" w:hAnsi="Times New Roman"/>
          <w:szCs w:val="21"/>
        </w:rPr>
        <w:t>2</w:t>
      </w:r>
      <w:r>
        <w:rPr>
          <w:rFonts w:hint="eastAsia" w:ascii="Times New Roman" w:hAnsi="Times New Roman"/>
          <w:szCs w:val="21"/>
        </w:rPr>
        <w:t>台同品牌变频隔膜真空泵。</w:t>
      </w:r>
    </w:p>
    <w:p>
      <w:pPr>
        <w:spacing w:line="360" w:lineRule="auto"/>
        <w:rPr>
          <w:rFonts w:ascii="Times New Roman" w:hAnsi="Times New Roman"/>
          <w:szCs w:val="21"/>
        </w:rPr>
      </w:pPr>
      <w:r>
        <w:rPr>
          <w:rFonts w:ascii="Times New Roman" w:hAnsi="Times New Roman"/>
          <w:szCs w:val="21"/>
        </w:rPr>
        <w:t>4</w:t>
      </w:r>
      <w:r>
        <w:rPr>
          <w:rFonts w:hint="eastAsia" w:ascii="Times New Roman" w:hAnsi="Times New Roman"/>
          <w:szCs w:val="21"/>
        </w:rPr>
        <w:t>验收</w:t>
      </w:r>
      <w:r>
        <w:rPr>
          <w:rFonts w:ascii="Times New Roman" w:hAnsi="Times New Roman"/>
          <w:szCs w:val="21"/>
        </w:rPr>
        <w:t>指标</w:t>
      </w:r>
    </w:p>
    <w:p>
      <w:pPr>
        <w:spacing w:line="360" w:lineRule="auto"/>
        <w:rPr>
          <w:rFonts w:ascii="Times New Roman" w:hAnsi="Times New Roman"/>
          <w:szCs w:val="21"/>
        </w:rPr>
      </w:pPr>
      <w:r>
        <w:rPr>
          <w:rFonts w:ascii="Times New Roman" w:hAnsi="Times New Roman"/>
          <w:szCs w:val="21"/>
        </w:rPr>
        <w:t>4.</w:t>
      </w:r>
      <w:r>
        <w:rPr>
          <w:rFonts w:hint="eastAsia" w:ascii="Times New Roman" w:hAnsi="Times New Roman"/>
          <w:szCs w:val="21"/>
        </w:rPr>
        <w:t>1变频真空泵稳定在</w:t>
      </w:r>
      <w:r>
        <w:rPr>
          <w:rFonts w:ascii="Times New Roman" w:hAnsi="Times New Roman"/>
          <w:szCs w:val="21"/>
        </w:rPr>
        <w:t>40mbar</w:t>
      </w:r>
      <w:r>
        <w:rPr>
          <w:rFonts w:hint="eastAsia" w:ascii="Times New Roman" w:hAnsi="Times New Roman"/>
          <w:szCs w:val="21"/>
        </w:rPr>
        <w:t>，</w:t>
      </w:r>
      <w:r>
        <w:rPr>
          <w:rFonts w:hint="eastAsia" w:ascii="宋体" w:hAnsi="宋体" w:cs="宋体"/>
          <w:szCs w:val="21"/>
        </w:rPr>
        <w:t>时间不少于</w:t>
      </w:r>
      <w:r>
        <w:rPr>
          <w:rFonts w:hint="eastAsia" w:ascii="Times New Roman" w:hAnsi="Times New Roman"/>
          <w:szCs w:val="21"/>
        </w:rPr>
        <w:t>3小时。。</w:t>
      </w:r>
    </w:p>
    <w:p>
      <w:pPr>
        <w:spacing w:line="360" w:lineRule="auto"/>
        <w:rPr>
          <w:rFonts w:ascii="Times New Roman" w:hAnsi="Times New Roman"/>
          <w:szCs w:val="21"/>
        </w:rPr>
      </w:pPr>
      <w:r>
        <w:rPr>
          <w:rFonts w:ascii="Times New Roman" w:hAnsi="Times New Roman"/>
          <w:szCs w:val="21"/>
        </w:rPr>
        <w:t>4.2</w:t>
      </w:r>
      <w:r>
        <w:rPr>
          <w:rFonts w:hint="eastAsia" w:ascii="Times New Roman" w:hAnsi="Times New Roman"/>
          <w:szCs w:val="21"/>
        </w:rPr>
        <w:t>循环冷凝水机稳定在</w:t>
      </w:r>
      <w:r>
        <w:rPr>
          <w:rFonts w:ascii="Times New Roman" w:hAnsi="Times New Roman"/>
          <w:szCs w:val="21"/>
        </w:rPr>
        <w:t>3</w:t>
      </w:r>
      <w:r>
        <w:rPr>
          <w:rFonts w:ascii="Times New Roman" w:hAnsi="Times New Roman"/>
          <w:szCs w:val="21"/>
          <w:highlight w:val="none"/>
        </w:rPr>
        <w:t>±</w:t>
      </w:r>
      <w:r>
        <w:rPr>
          <w:rFonts w:ascii="Times New Roman" w:hAnsi="Times New Roman"/>
          <w:szCs w:val="21"/>
        </w:rPr>
        <w:t>0.5</w:t>
      </w:r>
      <w:r>
        <w:rPr>
          <w:rFonts w:hint="eastAsia" w:ascii="宋体" w:hAnsi="宋体" w:cs="宋体"/>
          <w:szCs w:val="21"/>
        </w:rPr>
        <w:t>℃，时间不少于</w:t>
      </w:r>
      <w:r>
        <w:rPr>
          <w:rFonts w:hint="eastAsia" w:ascii="Times New Roman" w:hAnsi="Times New Roman"/>
          <w:szCs w:val="21"/>
        </w:rPr>
        <w:t>3小时。</w:t>
      </w:r>
    </w:p>
    <w:p>
      <w:pPr>
        <w:spacing w:line="360" w:lineRule="auto"/>
        <w:rPr>
          <w:rFonts w:ascii="Times New Roman" w:hAnsi="Times New Roman"/>
          <w:szCs w:val="21"/>
        </w:rPr>
      </w:pPr>
      <w:r>
        <w:rPr>
          <w:rFonts w:ascii="Times New Roman" w:hAnsi="Times New Roman"/>
          <w:szCs w:val="21"/>
        </w:rPr>
        <w:t>4.</w:t>
      </w:r>
      <w:r>
        <w:rPr>
          <w:rFonts w:hint="eastAsia" w:ascii="Times New Roman" w:hAnsi="Times New Roman"/>
          <w:szCs w:val="21"/>
        </w:rPr>
        <w:t>3</w:t>
      </w:r>
      <w:r>
        <w:rPr>
          <w:rFonts w:ascii="Times New Roman" w:hAnsi="Times New Roman"/>
          <w:szCs w:val="21"/>
        </w:rPr>
        <w:t xml:space="preserve"> 300mL</w:t>
      </w:r>
      <w:r>
        <w:rPr>
          <w:rFonts w:hint="eastAsia" w:ascii="Times New Roman" w:hAnsi="Times New Roman"/>
          <w:szCs w:val="21"/>
        </w:rPr>
        <w:t>甲苯溶剂在真空度为4</w:t>
      </w:r>
      <w:r>
        <w:rPr>
          <w:rFonts w:ascii="Times New Roman" w:hAnsi="Times New Roman"/>
          <w:szCs w:val="21"/>
        </w:rPr>
        <w:t>0mbar</w:t>
      </w:r>
      <w:r>
        <w:rPr>
          <w:rFonts w:hint="eastAsia" w:ascii="Times New Roman" w:hAnsi="Times New Roman"/>
          <w:szCs w:val="21"/>
        </w:rPr>
        <w:t>、转速为80rpm、水浴温度</w:t>
      </w:r>
      <w:r>
        <w:rPr>
          <w:rFonts w:ascii="Times New Roman" w:hAnsi="Times New Roman"/>
          <w:szCs w:val="21"/>
        </w:rPr>
        <w:t>40</w:t>
      </w:r>
      <w:r>
        <w:rPr>
          <w:rFonts w:hint="eastAsia" w:ascii="Times New Roman" w:hAnsi="Times New Roman"/>
          <w:szCs w:val="21"/>
        </w:rPr>
        <w:t>℃下，浓缩至干耗时小于</w:t>
      </w:r>
      <w:r>
        <w:rPr>
          <w:rFonts w:ascii="Times New Roman" w:hAnsi="Times New Roman"/>
          <w:szCs w:val="21"/>
        </w:rPr>
        <w:t>35</w:t>
      </w:r>
      <w:r>
        <w:rPr>
          <w:rFonts w:hint="eastAsia" w:ascii="Times New Roman" w:hAnsi="Times New Roman"/>
          <w:szCs w:val="21"/>
        </w:rPr>
        <w:t>分钟。</w:t>
      </w:r>
    </w:p>
    <w:p>
      <w:pPr>
        <w:spacing w:line="360" w:lineRule="auto"/>
        <w:rPr>
          <w:rFonts w:ascii="Times New Roman" w:hAnsi="Times New Roman"/>
          <w:szCs w:val="21"/>
        </w:rPr>
      </w:pPr>
      <w:r>
        <w:rPr>
          <w:rFonts w:ascii="Times New Roman" w:hAnsi="Times New Roman"/>
          <w:szCs w:val="21"/>
        </w:rPr>
        <w:t>5售后及服务</w:t>
      </w:r>
      <w:r>
        <w:rPr>
          <w:rFonts w:hint="eastAsia" w:ascii="Times New Roman" w:hAnsi="Times New Roman"/>
          <w:szCs w:val="21"/>
        </w:rPr>
        <w:t xml:space="preserve"> </w:t>
      </w:r>
      <w:r>
        <w:rPr>
          <w:rFonts w:ascii="Times New Roman" w:hAnsi="Times New Roman"/>
          <w:szCs w:val="21"/>
        </w:rPr>
        <w:t xml:space="preserve">                                                                                        </w:t>
      </w:r>
    </w:p>
    <w:p>
      <w:pPr>
        <w:widowControl/>
        <w:jc w:val="left"/>
      </w:pPr>
      <w:r>
        <w:br w:type="page"/>
      </w:r>
    </w:p>
    <w:p>
      <w:pPr>
        <w:spacing w:line="360" w:lineRule="auto"/>
        <w:rPr>
          <w:rFonts w:ascii="Times New Roman" w:hAnsi="Times New Roman"/>
          <w:szCs w:val="21"/>
        </w:rPr>
      </w:pPr>
      <w:r>
        <w:rPr>
          <w:rFonts w:ascii="Times New Roman" w:hAnsi="Times New Roman"/>
          <w:szCs w:val="21"/>
        </w:rPr>
        <w:t>5.1免费安装调试，对提供的仪器及配套设备</w:t>
      </w:r>
      <w:r>
        <w:rPr>
          <w:rFonts w:hint="eastAsia" w:ascii="Times New Roman" w:hAnsi="Times New Roman"/>
          <w:szCs w:val="21"/>
        </w:rPr>
        <w:t>（含额外配置的</w:t>
      </w:r>
      <w:r>
        <w:rPr>
          <w:rFonts w:ascii="Times New Roman" w:hAnsi="Times New Roman"/>
          <w:szCs w:val="21"/>
        </w:rPr>
        <w:t>2</w:t>
      </w:r>
      <w:r>
        <w:rPr>
          <w:rFonts w:hint="eastAsia" w:ascii="Times New Roman" w:hAnsi="Times New Roman"/>
          <w:szCs w:val="21"/>
        </w:rPr>
        <w:t>台</w:t>
      </w:r>
      <w:r>
        <w:rPr>
          <w:rFonts w:ascii="Times New Roman" w:hAnsi="Times New Roman"/>
          <w:szCs w:val="21"/>
        </w:rPr>
        <w:t>变频</w:t>
      </w:r>
      <w:r>
        <w:rPr>
          <w:rFonts w:hint="eastAsia" w:ascii="Times New Roman" w:hAnsi="Times New Roman"/>
          <w:szCs w:val="21"/>
        </w:rPr>
        <w:t>隔膜真空泵和1</w:t>
      </w:r>
      <w:r>
        <w:rPr>
          <w:rFonts w:ascii="Times New Roman" w:hAnsi="Times New Roman"/>
          <w:szCs w:val="21"/>
        </w:rPr>
        <w:t>台循环冷凝水机</w:t>
      </w:r>
      <w:r>
        <w:rPr>
          <w:rFonts w:hint="eastAsia" w:ascii="Times New Roman" w:hAnsi="Times New Roman"/>
          <w:szCs w:val="21"/>
        </w:rPr>
        <w:t>）</w:t>
      </w:r>
      <w:r>
        <w:rPr>
          <w:rFonts w:ascii="Times New Roman" w:hAnsi="Times New Roman"/>
          <w:szCs w:val="21"/>
        </w:rPr>
        <w:t>提供安装验收合格后旋转蒸发仪主机5年</w:t>
      </w:r>
      <w:r>
        <w:rPr>
          <w:rFonts w:hint="eastAsia" w:ascii="Times New Roman" w:hAnsi="Times New Roman"/>
          <w:szCs w:val="21"/>
        </w:rPr>
        <w:t>、</w:t>
      </w:r>
      <w:r>
        <w:rPr>
          <w:rFonts w:ascii="Times New Roman" w:hAnsi="Times New Roman"/>
          <w:szCs w:val="21"/>
        </w:rPr>
        <w:t>真空泵与循环冷凝水机</w:t>
      </w:r>
      <w:r>
        <w:rPr>
          <w:rFonts w:hint="eastAsia" w:ascii="Times New Roman" w:hAnsi="Times New Roman"/>
          <w:szCs w:val="21"/>
        </w:rPr>
        <w:t>3年</w:t>
      </w:r>
      <w:r>
        <w:rPr>
          <w:rFonts w:ascii="Times New Roman" w:hAnsi="Times New Roman"/>
          <w:szCs w:val="21"/>
        </w:rPr>
        <w:t>的免费维保服务</w:t>
      </w:r>
      <w:r>
        <w:rPr>
          <w:rFonts w:hint="eastAsia" w:ascii="Times New Roman" w:hAnsi="Times New Roman"/>
          <w:szCs w:val="21"/>
        </w:rPr>
        <w:t>，</w:t>
      </w:r>
      <w:r>
        <w:rPr>
          <w:rFonts w:ascii="Times New Roman" w:hAnsi="Times New Roman"/>
          <w:szCs w:val="21"/>
        </w:rPr>
        <w:t>配有专业的维修工程师和应用工程师。在接到用户维修电话要求后，确保24小时内响应，由维修工程师进行故障了解和排除指导；如仍不能排除，48小时内将派维修工程师抵达现场，及时排除故障。提供仪器终生维修服务。</w:t>
      </w:r>
    </w:p>
    <w:p>
      <w:pPr>
        <w:spacing w:line="360" w:lineRule="auto"/>
        <w:rPr>
          <w:rFonts w:ascii="Times New Roman" w:hAnsi="Times New Roman"/>
          <w:szCs w:val="21"/>
        </w:rPr>
      </w:pPr>
      <w:r>
        <w:rPr>
          <w:rFonts w:ascii="Times New Roman" w:hAnsi="Times New Roman"/>
          <w:szCs w:val="21"/>
        </w:rPr>
        <w:t>5.2提供不低于8人次的全面系统的培训，培训内容应包含但不限于：（1）仪器原理、结构等理论知识；（2）仪器操作；（3）日常维护。确保学员掌握相关技能。</w:t>
      </w:r>
    </w:p>
    <w:p>
      <w:pPr>
        <w:spacing w:line="360" w:lineRule="auto"/>
        <w:ind w:firstLine="422" w:firstLineChars="200"/>
        <w:rPr>
          <w:rFonts w:asciiTheme="minorEastAsia" w:hAnsiTheme="minorEastAsia" w:eastAsiaTheme="minorEastAsia" w:cstheme="minorEastAsia"/>
          <w:b/>
          <w:bCs/>
          <w:kern w:val="0"/>
          <w:szCs w:val="21"/>
        </w:rPr>
      </w:pPr>
    </w:p>
    <w:p>
      <w:pPr>
        <w:pStyle w:val="5"/>
        <w:numPr>
          <w:ilvl w:val="255"/>
          <w:numId w:val="0"/>
        </w:numPr>
        <w:tabs>
          <w:tab w:val="left" w:pos="1440"/>
          <w:tab w:val="clear" w:pos="862"/>
        </w:tabs>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四、酶标仪（化学发光仪）</w:t>
      </w:r>
    </w:p>
    <w:p>
      <w:pPr>
        <w:spacing w:line="360" w:lineRule="auto"/>
        <w:ind w:firstLine="420" w:firstLineChars="200"/>
        <w:rPr>
          <w:rFonts w:ascii="Times New Roman" w:hAnsi="Times New Roman"/>
          <w:szCs w:val="21"/>
        </w:rPr>
      </w:pPr>
      <w:r>
        <w:rPr>
          <w:rFonts w:ascii="Times New Roman" w:hAnsi="Times New Roman"/>
          <w:kern w:val="0"/>
          <w:szCs w:val="21"/>
        </w:rPr>
        <w:t>用于二噁英生物筛选CALUX法检测二噁英</w:t>
      </w:r>
      <w:r>
        <w:rPr>
          <w:rFonts w:hint="eastAsia" w:ascii="Times New Roman" w:hAnsi="Times New Roman"/>
          <w:kern w:val="0"/>
          <w:szCs w:val="21"/>
        </w:rPr>
        <w:t>，仪器需达到《</w:t>
      </w:r>
      <w:r>
        <w:rPr>
          <w:rFonts w:ascii="Times New Roman" w:hAnsi="Times New Roman"/>
          <w:kern w:val="0"/>
          <w:szCs w:val="21"/>
        </w:rPr>
        <w:t>Method for Toxic Equivalent (TEQS) Determination for Dioxin-Like Chemical Activity with the CALUX Bioassay</w:t>
      </w:r>
      <w:r>
        <w:rPr>
          <w:rFonts w:hint="eastAsia" w:ascii="Times New Roman" w:hAnsi="Times New Roman"/>
          <w:kern w:val="0"/>
          <w:szCs w:val="21"/>
        </w:rPr>
        <w:t>》（U</w:t>
      </w:r>
      <w:r>
        <w:rPr>
          <w:rFonts w:ascii="Times New Roman" w:hAnsi="Times New Roman"/>
          <w:kern w:val="0"/>
          <w:szCs w:val="21"/>
        </w:rPr>
        <w:t>S EPA Method 4435</w:t>
      </w:r>
      <w:r>
        <w:rPr>
          <w:rFonts w:hint="eastAsia" w:ascii="Times New Roman" w:hAnsi="Times New Roman"/>
          <w:kern w:val="0"/>
          <w:szCs w:val="21"/>
        </w:rPr>
        <w:t>）标准中报告基因法检测二噁英的要求</w:t>
      </w:r>
      <w:r>
        <w:rPr>
          <w:rFonts w:ascii="Times New Roman" w:hAnsi="Times New Roman"/>
          <w:kern w:val="0"/>
          <w:szCs w:val="21"/>
        </w:rPr>
        <w:t>。</w:t>
      </w:r>
    </w:p>
    <w:p>
      <w:pPr>
        <w:adjustRightInd w:val="0"/>
        <w:snapToGrid w:val="0"/>
        <w:spacing w:line="360" w:lineRule="auto"/>
        <w:rPr>
          <w:rFonts w:ascii="Times New Roman" w:hAnsi="Times New Roman"/>
          <w:b/>
          <w:bCs/>
          <w:kern w:val="0"/>
          <w:szCs w:val="21"/>
        </w:rPr>
      </w:pPr>
      <w:r>
        <w:rPr>
          <w:rFonts w:ascii="Times New Roman" w:hAnsi="Times New Roman"/>
          <w:b/>
          <w:bCs/>
          <w:kern w:val="0"/>
          <w:szCs w:val="21"/>
        </w:rPr>
        <w:t>1、技术指标</w:t>
      </w:r>
    </w:p>
    <w:p>
      <w:pPr>
        <w:adjustRightInd w:val="0"/>
        <w:snapToGrid w:val="0"/>
        <w:spacing w:line="360" w:lineRule="auto"/>
        <w:rPr>
          <w:rFonts w:ascii="Times New Roman" w:hAnsi="Times New Roman"/>
          <w:kern w:val="0"/>
          <w:szCs w:val="21"/>
        </w:rPr>
      </w:pPr>
      <w:r>
        <w:rPr>
          <w:rFonts w:hint="eastAsia" w:ascii="宋体" w:hAnsi="宋体" w:cs="Arial"/>
          <w:color w:val="auto"/>
          <w:kern w:val="0"/>
          <w:szCs w:val="21"/>
        </w:rPr>
        <w:t>▲</w:t>
      </w:r>
      <w:r>
        <w:rPr>
          <w:rFonts w:ascii="Times New Roman" w:hAnsi="Times New Roman"/>
          <w:kern w:val="0"/>
          <w:szCs w:val="21"/>
        </w:rPr>
        <w:t>1.1 检测器：光子计数光电倍增管</w:t>
      </w:r>
      <w:r>
        <w:rPr>
          <w:rFonts w:hint="eastAsia" w:ascii="Times New Roman" w:hAnsi="Times New Roman"/>
          <w:kern w:val="0"/>
          <w:szCs w:val="21"/>
        </w:rPr>
        <w:t>（P</w:t>
      </w:r>
      <w:r>
        <w:rPr>
          <w:rFonts w:ascii="Times New Roman" w:hAnsi="Times New Roman"/>
          <w:kern w:val="0"/>
          <w:szCs w:val="21"/>
        </w:rPr>
        <w:t>MT</w:t>
      </w:r>
      <w:r>
        <w:rPr>
          <w:rFonts w:hint="eastAsia" w:ascii="Times New Roman" w:hAnsi="Times New Roman"/>
          <w:kern w:val="0"/>
          <w:szCs w:val="21"/>
        </w:rPr>
        <w:t>）</w:t>
      </w:r>
    </w:p>
    <w:p>
      <w:pPr>
        <w:adjustRightInd w:val="0"/>
        <w:snapToGrid w:val="0"/>
        <w:spacing w:line="360" w:lineRule="auto"/>
        <w:rPr>
          <w:rFonts w:ascii="Times New Roman" w:hAnsi="Times New Roman"/>
          <w:kern w:val="0"/>
          <w:szCs w:val="21"/>
        </w:rPr>
      </w:pPr>
      <w:r>
        <w:rPr>
          <w:rFonts w:hint="eastAsia" w:ascii="Times New Roman" w:hAnsi="Times New Roman"/>
          <w:kern w:val="0"/>
          <w:szCs w:val="21"/>
        </w:rPr>
        <w:t>1</w:t>
      </w:r>
      <w:r>
        <w:rPr>
          <w:rFonts w:ascii="Times New Roman" w:hAnsi="Times New Roman"/>
          <w:kern w:val="0"/>
          <w:szCs w:val="21"/>
        </w:rPr>
        <w:t>.2 PMT</w:t>
      </w:r>
      <w:r>
        <w:rPr>
          <w:rFonts w:hint="eastAsia" w:ascii="Times New Roman" w:hAnsi="Times New Roman"/>
          <w:kern w:val="0"/>
          <w:szCs w:val="21"/>
        </w:rPr>
        <w:t>制冷模块，用于降低背景噪音</w:t>
      </w:r>
    </w:p>
    <w:p>
      <w:pPr>
        <w:adjustRightInd w:val="0"/>
        <w:snapToGrid w:val="0"/>
        <w:spacing w:line="360" w:lineRule="auto"/>
        <w:rPr>
          <w:rFonts w:ascii="Times New Roman" w:hAnsi="Times New Roman"/>
          <w:kern w:val="0"/>
          <w:szCs w:val="21"/>
        </w:rPr>
      </w:pPr>
      <w:r>
        <w:rPr>
          <w:rFonts w:ascii="Times New Roman" w:hAnsi="Times New Roman"/>
          <w:kern w:val="0"/>
          <w:szCs w:val="21"/>
        </w:rPr>
        <w:t>1.3 孔板类型：96</w:t>
      </w:r>
      <w:r>
        <w:rPr>
          <w:rFonts w:hint="eastAsia" w:ascii="Times New Roman" w:hAnsi="Times New Roman"/>
          <w:kern w:val="0"/>
          <w:szCs w:val="21"/>
        </w:rPr>
        <w:t>孔</w:t>
      </w:r>
      <w:r>
        <w:rPr>
          <w:rFonts w:ascii="Times New Roman" w:hAnsi="Times New Roman"/>
          <w:kern w:val="0"/>
          <w:szCs w:val="21"/>
        </w:rPr>
        <w:t xml:space="preserve"> </w:t>
      </w:r>
    </w:p>
    <w:p>
      <w:pPr>
        <w:adjustRightInd w:val="0"/>
        <w:snapToGrid w:val="0"/>
        <w:spacing w:line="360" w:lineRule="auto"/>
        <w:rPr>
          <w:rFonts w:ascii="Times New Roman" w:hAnsi="Times New Roman"/>
          <w:kern w:val="0"/>
          <w:szCs w:val="21"/>
        </w:rPr>
      </w:pPr>
      <w:r>
        <w:rPr>
          <w:rFonts w:ascii="Times New Roman" w:hAnsi="Times New Roman"/>
          <w:kern w:val="0"/>
          <w:szCs w:val="21"/>
        </w:rPr>
        <w:t>1.4 波长范围：350-630nm</w:t>
      </w:r>
    </w:p>
    <w:p>
      <w:pPr>
        <w:adjustRightInd w:val="0"/>
        <w:snapToGrid w:val="0"/>
        <w:spacing w:line="360" w:lineRule="auto"/>
        <w:rPr>
          <w:rFonts w:ascii="Times New Roman" w:hAnsi="Times New Roman"/>
          <w:kern w:val="0"/>
          <w:szCs w:val="21"/>
        </w:rPr>
      </w:pPr>
      <w:r>
        <w:rPr>
          <w:rFonts w:ascii="Times New Roman" w:hAnsi="Times New Roman"/>
          <w:kern w:val="0"/>
          <w:szCs w:val="21"/>
        </w:rPr>
        <w:t>1.5 灵敏度：≤10 amol</w:t>
      </w:r>
      <w:r>
        <w:rPr>
          <w:rFonts w:hint="eastAsia" w:ascii="Times New Roman" w:hAnsi="Times New Roman"/>
          <w:kern w:val="0"/>
          <w:szCs w:val="21"/>
        </w:rPr>
        <w:t>A</w:t>
      </w:r>
      <w:r>
        <w:rPr>
          <w:rFonts w:ascii="Times New Roman" w:hAnsi="Times New Roman"/>
          <w:kern w:val="0"/>
          <w:szCs w:val="21"/>
        </w:rPr>
        <w:t>TP/</w:t>
      </w:r>
      <w:r>
        <w:rPr>
          <w:rFonts w:hint="eastAsia" w:ascii="Times New Roman" w:hAnsi="Times New Roman"/>
          <w:kern w:val="0"/>
          <w:szCs w:val="21"/>
        </w:rPr>
        <w:t>孔</w:t>
      </w:r>
    </w:p>
    <w:p>
      <w:pPr>
        <w:adjustRightInd w:val="0"/>
        <w:snapToGrid w:val="0"/>
        <w:spacing w:line="360" w:lineRule="auto"/>
        <w:rPr>
          <w:rFonts w:ascii="Times New Roman" w:hAnsi="Times New Roman"/>
          <w:kern w:val="0"/>
          <w:szCs w:val="21"/>
        </w:rPr>
      </w:pPr>
      <w:r>
        <w:rPr>
          <w:rFonts w:ascii="Times New Roman" w:hAnsi="Times New Roman"/>
          <w:kern w:val="0"/>
          <w:szCs w:val="21"/>
        </w:rPr>
        <w:t>1.6 线性范围：</w:t>
      </w:r>
      <w:r>
        <w:rPr>
          <w:rFonts w:hint="eastAsia" w:ascii="Times New Roman" w:hAnsi="Times New Roman"/>
          <w:kern w:val="0"/>
          <w:szCs w:val="21"/>
        </w:rPr>
        <w:t>≥</w:t>
      </w:r>
      <w:r>
        <w:rPr>
          <w:rFonts w:ascii="Times New Roman" w:hAnsi="Times New Roman"/>
          <w:kern w:val="0"/>
          <w:szCs w:val="21"/>
        </w:rPr>
        <w:t>7个数量级</w:t>
      </w:r>
    </w:p>
    <w:p>
      <w:pPr>
        <w:adjustRightInd w:val="0"/>
        <w:snapToGrid w:val="0"/>
        <w:spacing w:line="360" w:lineRule="auto"/>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7</w:t>
      </w:r>
      <w:r>
        <w:rPr>
          <w:rFonts w:ascii="Times New Roman" w:hAnsi="Times New Roman"/>
          <w:kern w:val="0"/>
          <w:szCs w:val="21"/>
        </w:rPr>
        <w:t xml:space="preserve"> 2个</w:t>
      </w:r>
      <w:r>
        <w:rPr>
          <w:rFonts w:hint="eastAsia" w:ascii="Times New Roman" w:hAnsi="Times New Roman"/>
          <w:kern w:val="0"/>
          <w:szCs w:val="21"/>
        </w:rPr>
        <w:t>或</w:t>
      </w:r>
      <w:r>
        <w:rPr>
          <w:rFonts w:ascii="Times New Roman" w:hAnsi="Times New Roman"/>
          <w:kern w:val="0"/>
          <w:szCs w:val="21"/>
        </w:rPr>
        <w:t>2个以上自动加样器，加样体积25-100μL，</w:t>
      </w:r>
      <w:r>
        <w:rPr>
          <w:rFonts w:hint="eastAsia" w:ascii="Times New Roman" w:hAnsi="Times New Roman"/>
          <w:kern w:val="0"/>
          <w:szCs w:val="21"/>
        </w:rPr>
        <w:t>进样步长1</w:t>
      </w:r>
      <w:r>
        <w:rPr>
          <w:rFonts w:ascii="Times New Roman" w:hAnsi="Times New Roman"/>
          <w:kern w:val="0"/>
          <w:szCs w:val="21"/>
        </w:rPr>
        <w:t>μL</w:t>
      </w:r>
      <w:r>
        <w:rPr>
          <w:rFonts w:hint="eastAsia" w:ascii="Times New Roman" w:hAnsi="Times New Roman"/>
          <w:kern w:val="0"/>
          <w:szCs w:val="21"/>
        </w:rPr>
        <w:t>，</w:t>
      </w:r>
      <w:r>
        <w:rPr>
          <w:rFonts w:ascii="Times New Roman" w:hAnsi="Times New Roman"/>
          <w:kern w:val="0"/>
          <w:szCs w:val="21"/>
        </w:rPr>
        <w:t>具备</w:t>
      </w:r>
      <w:r>
        <w:rPr>
          <w:rFonts w:hint="eastAsia" w:ascii="Times New Roman" w:hAnsi="Times New Roman"/>
          <w:kern w:val="0"/>
          <w:szCs w:val="21"/>
        </w:rPr>
        <w:t>试剂</w:t>
      </w:r>
      <w:r>
        <w:rPr>
          <w:rFonts w:ascii="Times New Roman" w:hAnsi="Times New Roman"/>
          <w:kern w:val="0"/>
          <w:szCs w:val="21"/>
        </w:rPr>
        <w:t>回收功能</w:t>
      </w:r>
    </w:p>
    <w:p>
      <w:pPr>
        <w:adjustRightInd w:val="0"/>
        <w:snapToGrid w:val="0"/>
        <w:spacing w:line="360" w:lineRule="auto"/>
        <w:rPr>
          <w:rFonts w:ascii="Times New Roman" w:hAnsi="Times New Roman"/>
          <w:kern w:val="0"/>
          <w:szCs w:val="21"/>
        </w:rPr>
      </w:pPr>
      <w:r>
        <w:rPr>
          <w:rFonts w:ascii="Times New Roman" w:hAnsi="Times New Roman"/>
          <w:kern w:val="0"/>
          <w:szCs w:val="21"/>
        </w:rPr>
        <w:t>1.</w:t>
      </w:r>
      <w:r>
        <w:rPr>
          <w:rFonts w:hint="eastAsia" w:ascii="Times New Roman" w:hAnsi="Times New Roman"/>
          <w:kern w:val="0"/>
          <w:szCs w:val="21"/>
        </w:rPr>
        <w:t>8</w:t>
      </w:r>
      <w:r>
        <w:rPr>
          <w:rFonts w:ascii="Times New Roman" w:hAnsi="Times New Roman"/>
          <w:kern w:val="0"/>
          <w:szCs w:val="21"/>
        </w:rPr>
        <w:t xml:space="preserve"> 进样器位置至少包括一个检测位，可边加样边检测</w:t>
      </w:r>
    </w:p>
    <w:p>
      <w:pPr>
        <w:adjustRightInd w:val="0"/>
        <w:snapToGrid w:val="0"/>
        <w:spacing w:line="360" w:lineRule="auto"/>
        <w:rPr>
          <w:rFonts w:ascii="Times New Roman" w:hAnsi="Times New Roman"/>
          <w:kern w:val="0"/>
          <w:szCs w:val="21"/>
        </w:rPr>
      </w:pPr>
      <w:r>
        <w:rPr>
          <w:rFonts w:hint="eastAsia" w:ascii="宋体" w:hAnsi="宋体" w:cs="Arial"/>
          <w:color w:val="auto"/>
          <w:kern w:val="0"/>
          <w:szCs w:val="21"/>
        </w:rPr>
        <w:t>▲</w:t>
      </w:r>
      <w:r>
        <w:rPr>
          <w:rFonts w:ascii="Times New Roman" w:hAnsi="Times New Roman"/>
          <w:kern w:val="0"/>
          <w:szCs w:val="21"/>
        </w:rPr>
        <w:t>1.</w:t>
      </w:r>
      <w:r>
        <w:rPr>
          <w:rFonts w:hint="eastAsia" w:ascii="Times New Roman" w:hAnsi="Times New Roman"/>
          <w:kern w:val="0"/>
          <w:szCs w:val="21"/>
        </w:rPr>
        <w:t>9</w:t>
      </w:r>
      <w:r>
        <w:rPr>
          <w:rFonts w:ascii="Times New Roman" w:hAnsi="Times New Roman"/>
          <w:kern w:val="0"/>
          <w:szCs w:val="21"/>
        </w:rPr>
        <w:t xml:space="preserve"> 配备相应的检测分析功能的软件操作系统，内置相关的运算方程，可实时在线显示整</w:t>
      </w:r>
      <w:r>
        <w:rPr>
          <w:rFonts w:hint="eastAsia" w:ascii="Times New Roman" w:hAnsi="Times New Roman"/>
          <w:kern w:val="0"/>
          <w:szCs w:val="21"/>
        </w:rPr>
        <w:t>板</w:t>
      </w:r>
      <w:r>
        <w:rPr>
          <w:rFonts w:ascii="Times New Roman" w:hAnsi="Times New Roman"/>
          <w:kern w:val="0"/>
          <w:szCs w:val="21"/>
        </w:rPr>
        <w:t>的检测过程</w:t>
      </w:r>
    </w:p>
    <w:p>
      <w:pPr>
        <w:adjustRightInd w:val="0"/>
        <w:snapToGrid w:val="0"/>
        <w:spacing w:line="360" w:lineRule="auto"/>
        <w:rPr>
          <w:rFonts w:ascii="Times New Roman" w:hAnsi="Times New Roman"/>
          <w:b/>
          <w:bCs/>
          <w:kern w:val="0"/>
          <w:szCs w:val="21"/>
        </w:rPr>
      </w:pPr>
      <w:r>
        <w:rPr>
          <w:rFonts w:ascii="Times New Roman" w:hAnsi="Times New Roman"/>
          <w:b/>
          <w:bCs/>
          <w:kern w:val="0"/>
          <w:szCs w:val="21"/>
        </w:rPr>
        <w:t>2.配置</w:t>
      </w:r>
    </w:p>
    <w:p>
      <w:pPr>
        <w:adjustRightInd w:val="0"/>
        <w:snapToGrid w:val="0"/>
        <w:spacing w:line="360" w:lineRule="auto"/>
        <w:rPr>
          <w:rFonts w:ascii="Times New Roman" w:hAnsi="Times New Roman"/>
          <w:bCs/>
          <w:kern w:val="0"/>
          <w:szCs w:val="21"/>
        </w:rPr>
      </w:pPr>
      <w:r>
        <w:rPr>
          <w:rFonts w:ascii="Times New Roman" w:hAnsi="Times New Roman"/>
          <w:bCs/>
          <w:kern w:val="0"/>
          <w:szCs w:val="21"/>
        </w:rPr>
        <w:t>2.1 酶标仪（化学发光仪）</w:t>
      </w:r>
      <w:r>
        <w:rPr>
          <w:rFonts w:hint="eastAsia" w:ascii="Times New Roman" w:hAnsi="Times New Roman"/>
          <w:bCs/>
          <w:kern w:val="0"/>
          <w:szCs w:val="21"/>
        </w:rPr>
        <w:t>1台</w:t>
      </w:r>
    </w:p>
    <w:p>
      <w:pPr>
        <w:adjustRightInd w:val="0"/>
        <w:snapToGrid w:val="0"/>
        <w:spacing w:line="360" w:lineRule="auto"/>
        <w:rPr>
          <w:rFonts w:ascii="Times New Roman" w:hAnsi="Times New Roman"/>
          <w:kern w:val="0"/>
          <w:szCs w:val="21"/>
        </w:rPr>
      </w:pPr>
      <w:r>
        <w:rPr>
          <w:rFonts w:ascii="Times New Roman" w:hAnsi="Times New Roman"/>
          <w:bCs/>
          <w:kern w:val="0"/>
          <w:szCs w:val="21"/>
        </w:rPr>
        <w:t>2.2 配</w:t>
      </w:r>
      <w:r>
        <w:rPr>
          <w:rFonts w:ascii="Times New Roman" w:hAnsi="Times New Roman"/>
          <w:kern w:val="0"/>
          <w:szCs w:val="21"/>
        </w:rPr>
        <w:t>2个</w:t>
      </w:r>
      <w:r>
        <w:rPr>
          <w:rFonts w:hint="eastAsia" w:ascii="Times New Roman" w:hAnsi="Times New Roman"/>
          <w:kern w:val="0"/>
          <w:szCs w:val="21"/>
        </w:rPr>
        <w:t>或</w:t>
      </w:r>
      <w:r>
        <w:rPr>
          <w:rFonts w:ascii="Times New Roman" w:hAnsi="Times New Roman"/>
          <w:kern w:val="0"/>
          <w:szCs w:val="21"/>
        </w:rPr>
        <w:t>2个以上自动加样器</w:t>
      </w:r>
    </w:p>
    <w:p>
      <w:pPr>
        <w:adjustRightInd w:val="0"/>
        <w:snapToGrid w:val="0"/>
        <w:spacing w:line="360" w:lineRule="auto"/>
        <w:rPr>
          <w:rFonts w:ascii="宋体" w:hAnsi="宋体" w:cs="宋体"/>
          <w:spacing w:val="-8"/>
          <w:kern w:val="0"/>
          <w:szCs w:val="21"/>
        </w:rPr>
      </w:pPr>
      <w:r>
        <w:rPr>
          <w:rFonts w:hint="eastAsia" w:ascii="Times New Roman" w:hAnsi="Times New Roman"/>
          <w:kern w:val="0"/>
          <w:szCs w:val="21"/>
        </w:rPr>
        <w:t>2</w:t>
      </w:r>
      <w:r>
        <w:rPr>
          <w:rFonts w:ascii="Times New Roman" w:hAnsi="Times New Roman"/>
          <w:kern w:val="0"/>
          <w:szCs w:val="21"/>
        </w:rPr>
        <w:t xml:space="preserve">.3 </w:t>
      </w:r>
      <w:r>
        <w:rPr>
          <w:rFonts w:ascii="宋体" w:hAnsi="宋体" w:cs="宋体"/>
          <w:spacing w:val="-8"/>
          <w:kern w:val="0"/>
          <w:szCs w:val="21"/>
        </w:rPr>
        <w:t>数据处理设备</w:t>
      </w:r>
      <w:r>
        <w:rPr>
          <w:rFonts w:hint="eastAsia" w:ascii="宋体" w:hAnsi="宋体" w:cs="宋体"/>
          <w:spacing w:val="-8"/>
          <w:kern w:val="0"/>
          <w:szCs w:val="21"/>
        </w:rPr>
        <w:t>1台：第十代</w:t>
      </w:r>
      <w:r>
        <w:rPr>
          <w:rFonts w:ascii="宋体" w:hAnsi="宋体" w:cs="宋体"/>
          <w:spacing w:val="-8"/>
          <w:kern w:val="0"/>
          <w:szCs w:val="21"/>
        </w:rPr>
        <w:t>i7，256G固态+1T，显存4G，运存8G,24寸显示器，配正版的操作系统</w:t>
      </w:r>
      <w:r>
        <w:rPr>
          <w:rFonts w:hint="eastAsia" w:ascii="宋体" w:hAnsi="宋体" w:cs="宋体"/>
          <w:spacing w:val="-8"/>
          <w:kern w:val="0"/>
          <w:szCs w:val="21"/>
        </w:rPr>
        <w:t>及</w:t>
      </w:r>
      <w:r>
        <w:rPr>
          <w:rFonts w:ascii="宋体" w:hAnsi="宋体" w:cs="宋体"/>
          <w:spacing w:val="-8"/>
          <w:kern w:val="0"/>
          <w:szCs w:val="21"/>
        </w:rPr>
        <w:t>办公软件</w:t>
      </w:r>
    </w:p>
    <w:p>
      <w:pPr>
        <w:adjustRightInd w:val="0"/>
        <w:snapToGrid w:val="0"/>
        <w:spacing w:line="360" w:lineRule="auto"/>
        <w:rPr>
          <w:rFonts w:ascii="Times New Roman" w:hAnsi="Times New Roman"/>
          <w:kern w:val="0"/>
          <w:szCs w:val="21"/>
        </w:rPr>
      </w:pPr>
      <w:r>
        <w:rPr>
          <w:rFonts w:hint="eastAsia" w:ascii="宋体" w:hAnsi="宋体" w:cs="宋体"/>
          <w:spacing w:val="-8"/>
          <w:kern w:val="0"/>
          <w:szCs w:val="21"/>
        </w:rPr>
        <w:t>2</w:t>
      </w:r>
      <w:r>
        <w:rPr>
          <w:rFonts w:ascii="宋体" w:hAnsi="宋体" w:cs="宋体"/>
          <w:spacing w:val="-8"/>
          <w:kern w:val="0"/>
          <w:szCs w:val="21"/>
        </w:rPr>
        <w:t xml:space="preserve">.4 </w:t>
      </w:r>
      <w:r>
        <w:rPr>
          <w:rFonts w:ascii="宋体" w:hAnsi="宋体"/>
          <w:szCs w:val="21"/>
        </w:rPr>
        <w:t>激光输出图形设备1</w:t>
      </w:r>
      <w:r>
        <w:rPr>
          <w:rFonts w:hint="eastAsia" w:ascii="宋体" w:hAnsi="宋体"/>
          <w:szCs w:val="21"/>
        </w:rPr>
        <w:t>台</w:t>
      </w:r>
      <w:r>
        <w:rPr>
          <w:rFonts w:hint="eastAsia" w:ascii="宋体" w:hAnsi="宋体" w:cs="宋体"/>
          <w:spacing w:val="-8"/>
          <w:kern w:val="0"/>
          <w:szCs w:val="21"/>
        </w:rPr>
        <w:t>：具有自动双面彩色输出功能</w:t>
      </w:r>
    </w:p>
    <w:p>
      <w:pPr>
        <w:adjustRightInd w:val="0"/>
        <w:snapToGrid w:val="0"/>
        <w:spacing w:line="360" w:lineRule="auto"/>
        <w:rPr>
          <w:rFonts w:ascii="Times New Roman" w:hAnsi="Times New Roman"/>
          <w:b/>
          <w:kern w:val="0"/>
          <w:szCs w:val="21"/>
        </w:rPr>
      </w:pPr>
      <w:r>
        <w:rPr>
          <w:rFonts w:ascii="Times New Roman" w:hAnsi="Times New Roman"/>
          <w:b/>
          <w:kern w:val="0"/>
          <w:szCs w:val="21"/>
        </w:rPr>
        <w:t>3验收指标：</w:t>
      </w:r>
    </w:p>
    <w:p>
      <w:pPr>
        <w:adjustRightInd w:val="0"/>
        <w:snapToGrid w:val="0"/>
        <w:spacing w:line="360" w:lineRule="auto"/>
        <w:rPr>
          <w:rFonts w:ascii="Times New Roman" w:hAnsi="Times New Roman"/>
          <w:kern w:val="0"/>
          <w:szCs w:val="21"/>
        </w:rPr>
      </w:pPr>
      <w:r>
        <w:rPr>
          <w:rFonts w:ascii="Times New Roman" w:hAnsi="Times New Roman"/>
          <w:bCs/>
          <w:kern w:val="0"/>
          <w:szCs w:val="21"/>
        </w:rPr>
        <w:t xml:space="preserve">3.1 </w:t>
      </w:r>
      <w:r>
        <w:rPr>
          <w:rFonts w:ascii="Times New Roman" w:hAnsi="Times New Roman"/>
          <w:kern w:val="0"/>
          <w:szCs w:val="21"/>
        </w:rPr>
        <w:t>孔板类型：96</w:t>
      </w:r>
      <w:r>
        <w:rPr>
          <w:rFonts w:hint="eastAsia" w:ascii="Times New Roman" w:hAnsi="Times New Roman"/>
          <w:kern w:val="0"/>
          <w:szCs w:val="21"/>
        </w:rPr>
        <w:t>孔板</w:t>
      </w:r>
    </w:p>
    <w:p>
      <w:pPr>
        <w:adjustRightInd w:val="0"/>
        <w:snapToGrid w:val="0"/>
        <w:spacing w:line="360" w:lineRule="auto"/>
        <w:rPr>
          <w:rFonts w:ascii="Times New Roman" w:hAnsi="Times New Roman"/>
          <w:kern w:val="0"/>
          <w:szCs w:val="21"/>
        </w:rPr>
      </w:pPr>
      <w:r>
        <w:rPr>
          <w:rFonts w:ascii="Times New Roman" w:hAnsi="Times New Roman"/>
          <w:kern w:val="0"/>
          <w:szCs w:val="21"/>
        </w:rPr>
        <w:t xml:space="preserve">3.2 </w:t>
      </w:r>
      <w:r>
        <w:rPr>
          <w:rFonts w:ascii="Times New Roman" w:hAnsi="Times New Roman"/>
          <w:bCs/>
          <w:kern w:val="0"/>
          <w:szCs w:val="21"/>
        </w:rPr>
        <w:t>灵敏度：</w:t>
      </w:r>
      <w:r>
        <w:rPr>
          <w:rFonts w:ascii="Times New Roman" w:hAnsi="Times New Roman"/>
          <w:kern w:val="0"/>
          <w:szCs w:val="21"/>
        </w:rPr>
        <w:t xml:space="preserve">≤10 </w:t>
      </w:r>
      <w:r>
        <w:rPr>
          <w:rFonts w:hint="eastAsia" w:ascii="Times New Roman" w:hAnsi="Times New Roman"/>
          <w:kern w:val="0"/>
          <w:szCs w:val="21"/>
        </w:rPr>
        <w:t>a</w:t>
      </w:r>
      <w:r>
        <w:rPr>
          <w:rFonts w:ascii="Times New Roman" w:hAnsi="Times New Roman"/>
          <w:kern w:val="0"/>
          <w:szCs w:val="21"/>
        </w:rPr>
        <w:t>mol</w:t>
      </w:r>
      <w:r>
        <w:rPr>
          <w:rFonts w:hint="eastAsia" w:ascii="Times New Roman" w:hAnsi="Times New Roman"/>
          <w:kern w:val="0"/>
          <w:szCs w:val="21"/>
        </w:rPr>
        <w:t>A</w:t>
      </w:r>
      <w:r>
        <w:rPr>
          <w:rFonts w:ascii="Times New Roman" w:hAnsi="Times New Roman"/>
          <w:kern w:val="0"/>
          <w:szCs w:val="21"/>
        </w:rPr>
        <w:t>TP/</w:t>
      </w:r>
      <w:r>
        <w:rPr>
          <w:rFonts w:hint="eastAsia" w:ascii="Times New Roman" w:hAnsi="Times New Roman"/>
          <w:kern w:val="0"/>
          <w:szCs w:val="21"/>
        </w:rPr>
        <w:t>孔</w:t>
      </w:r>
    </w:p>
    <w:p>
      <w:pPr>
        <w:adjustRightInd w:val="0"/>
        <w:snapToGrid w:val="0"/>
        <w:spacing w:line="360" w:lineRule="auto"/>
        <w:rPr>
          <w:rFonts w:ascii="Times New Roman" w:hAnsi="Times New Roman"/>
          <w:kern w:val="0"/>
          <w:szCs w:val="21"/>
        </w:rPr>
      </w:pPr>
      <w:r>
        <w:rPr>
          <w:rFonts w:hint="eastAsia" w:ascii="Times New Roman" w:hAnsi="Times New Roman"/>
          <w:kern w:val="0"/>
          <w:szCs w:val="21"/>
        </w:rPr>
        <w:t>3</w:t>
      </w:r>
      <w:r>
        <w:rPr>
          <w:rFonts w:ascii="Times New Roman" w:hAnsi="Times New Roman"/>
          <w:kern w:val="0"/>
          <w:szCs w:val="21"/>
        </w:rPr>
        <w:t>.3 线性范围：</w:t>
      </w:r>
      <w:r>
        <w:rPr>
          <w:rFonts w:hint="eastAsia" w:ascii="Times New Roman" w:hAnsi="Times New Roman"/>
          <w:kern w:val="0"/>
          <w:szCs w:val="21"/>
        </w:rPr>
        <w:t>≥</w:t>
      </w:r>
      <w:r>
        <w:rPr>
          <w:rFonts w:ascii="Times New Roman" w:hAnsi="Times New Roman"/>
          <w:kern w:val="0"/>
          <w:szCs w:val="21"/>
        </w:rPr>
        <w:t>7个数量级</w:t>
      </w:r>
    </w:p>
    <w:p>
      <w:pPr>
        <w:adjustRightInd w:val="0"/>
        <w:snapToGrid w:val="0"/>
        <w:spacing w:line="360" w:lineRule="auto"/>
        <w:rPr>
          <w:rFonts w:ascii="Times New Roman" w:hAnsi="Times New Roman"/>
          <w:b/>
          <w:bCs/>
          <w:kern w:val="0"/>
          <w:szCs w:val="21"/>
        </w:rPr>
      </w:pPr>
      <w:r>
        <w:rPr>
          <w:rFonts w:ascii="Times New Roman" w:hAnsi="Times New Roman"/>
          <w:b/>
          <w:bCs/>
          <w:kern w:val="0"/>
          <w:szCs w:val="21"/>
        </w:rPr>
        <w:t>4．培训要求</w:t>
      </w:r>
    </w:p>
    <w:p>
      <w:pPr>
        <w:adjustRightInd w:val="0"/>
        <w:snapToGrid w:val="0"/>
        <w:spacing w:line="360" w:lineRule="auto"/>
        <w:rPr>
          <w:rFonts w:ascii="Times New Roman" w:hAnsi="Times New Roman"/>
          <w:kern w:val="0"/>
          <w:szCs w:val="21"/>
        </w:rPr>
      </w:pPr>
      <w:r>
        <w:rPr>
          <w:rFonts w:ascii="Times New Roman" w:hAnsi="Times New Roman"/>
          <w:kern w:val="0"/>
          <w:szCs w:val="21"/>
        </w:rPr>
        <w:t>4.1 免费安装调试至仪器可正常运行，提供不少于5人免费培训。</w:t>
      </w:r>
    </w:p>
    <w:p>
      <w:pPr>
        <w:adjustRightInd w:val="0"/>
        <w:snapToGrid w:val="0"/>
        <w:rPr>
          <w:rFonts w:asciiTheme="minorEastAsia" w:hAnsiTheme="minorEastAsia" w:eastAsiaTheme="minorEastAsia" w:cstheme="minorEastAsia"/>
          <w:b/>
          <w:bCs/>
          <w:spacing w:val="-8"/>
          <w:kern w:val="0"/>
          <w:sz w:val="24"/>
          <w:szCs w:val="24"/>
        </w:rPr>
      </w:pPr>
    </w:p>
    <w:bookmarkEnd w:id="0"/>
    <w:p>
      <w:pPr>
        <w:snapToGrid w:val="0"/>
        <w:spacing w:line="360" w:lineRule="auto"/>
        <w:rPr>
          <w:rFonts w:asciiTheme="minorEastAsia" w:hAnsiTheme="minorEastAsia" w:eastAsiaTheme="minorEastAsia" w:cstheme="minorEastAsia"/>
          <w:szCs w:val="21"/>
        </w:rPr>
      </w:pPr>
    </w:p>
    <w:p>
      <w:pPr>
        <w:spacing w:line="360" w:lineRule="auto"/>
        <w:ind w:firstLine="560" w:firstLineChars="200"/>
        <w:jc w:val="center"/>
        <w:rPr>
          <w:rFonts w:ascii="黑体" w:hAnsi="黑体" w:eastAsia="黑体" w:cs="黑体"/>
          <w:bCs/>
          <w:sz w:val="28"/>
          <w:szCs w:val="28"/>
        </w:rPr>
      </w:pPr>
      <w:bookmarkStart w:id="1" w:name="_Toc529615558"/>
      <w:r>
        <w:rPr>
          <w:rFonts w:hint="eastAsia" w:ascii="黑体" w:hAnsi="黑体" w:eastAsia="黑体" w:cs="黑体"/>
          <w:bCs/>
          <w:sz w:val="28"/>
          <w:szCs w:val="28"/>
        </w:rPr>
        <w:t>第二部分</w:t>
      </w:r>
      <w:r>
        <w:rPr>
          <w:rFonts w:ascii="黑体" w:hAnsi="黑体" w:eastAsia="黑体" w:cs="黑体"/>
          <w:bCs/>
          <w:sz w:val="28"/>
          <w:szCs w:val="28"/>
        </w:rPr>
        <w:t xml:space="preserve"> </w:t>
      </w:r>
      <w:r>
        <w:rPr>
          <w:rFonts w:hint="eastAsia" w:ascii="黑体" w:hAnsi="黑体" w:eastAsia="黑体" w:cs="黑体"/>
          <w:bCs/>
          <w:sz w:val="28"/>
          <w:szCs w:val="28"/>
        </w:rPr>
        <w:t>实施要求</w:t>
      </w:r>
      <w:bookmarkEnd w:id="1"/>
    </w:p>
    <w:p>
      <w:pPr>
        <w:spacing w:line="360" w:lineRule="auto"/>
        <w:ind w:left="420"/>
        <w:rPr>
          <w:rFonts w:ascii="宋体" w:hAnsi="宋体"/>
          <w:b/>
          <w:szCs w:val="21"/>
        </w:rPr>
      </w:pPr>
      <w:r>
        <w:rPr>
          <w:rFonts w:ascii="宋体" w:hAnsi="宋体"/>
          <w:b/>
          <w:szCs w:val="21"/>
        </w:rPr>
        <w:t>1、项目团队要求</w:t>
      </w:r>
    </w:p>
    <w:p>
      <w:pPr>
        <w:spacing w:line="360" w:lineRule="auto"/>
        <w:ind w:firstLine="420" w:firstLineChars="200"/>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为保障项目的实施质量，要求中标人在实施服务期内，须配置服务人员不少于</w:t>
      </w:r>
      <w:r>
        <w:rPr>
          <w:rFonts w:ascii="宋体" w:hAnsi="宋体"/>
          <w:szCs w:val="21"/>
        </w:rPr>
        <w:t>2</w:t>
      </w:r>
      <w:r>
        <w:rPr>
          <w:rFonts w:hint="eastAsia" w:ascii="宋体" w:hAnsi="宋体"/>
          <w:szCs w:val="21"/>
        </w:rPr>
        <w:t>名专职工作人员驻点在广东省环境监测中心，开展仪器设备安装、调试等工作。专职工作人员应具备丰富的设备安装等相关经验，同时应遵守相关规章制度，并接受广东省环境监测中心的管理。</w:t>
      </w:r>
    </w:p>
    <w:p>
      <w:pPr>
        <w:numPr>
          <w:ilvl w:val="255"/>
          <w:numId w:val="0"/>
        </w:numPr>
        <w:spacing w:line="360" w:lineRule="auto"/>
        <w:ind w:firstLine="420" w:firstLineChars="200"/>
        <w:rPr>
          <w:b/>
          <w:szCs w:val="21"/>
        </w:rPr>
      </w:pPr>
      <w:r>
        <w:rPr>
          <w:rFonts w:hint="eastAsia"/>
          <w:szCs w:val="21"/>
        </w:rPr>
        <w:t>（</w:t>
      </w:r>
      <w:r>
        <w:rPr>
          <w:szCs w:val="21"/>
        </w:rPr>
        <w:t>2</w:t>
      </w:r>
      <w:r>
        <w:rPr>
          <w:rFonts w:hint="eastAsia"/>
          <w:szCs w:val="21"/>
        </w:rPr>
        <w:t>）在采购合同签订前，如中标结果被质疑或业主有要求，业主有权提出预中标方提供相同的型号仪器，验证仪器性能。预中标商需至中标结果自公示期起</w:t>
      </w:r>
      <w:r>
        <w:rPr>
          <w:szCs w:val="21"/>
        </w:rPr>
        <w:t>3</w:t>
      </w:r>
      <w:r>
        <w:rPr>
          <w:rFonts w:hint="eastAsia"/>
          <w:szCs w:val="21"/>
        </w:rPr>
        <w:t>个工作日内，在广东地区提供相同型号的仪器完成仪器相关性能验证。不能提供样机或不能通过招标文件技术指标测试，或测试结果与投标文件不符的视为虚假投标，由此引发的所有损失由投标人负责。测试过程必须在业主指派的人员参与下进行，测试的过程和结果必须如实详细记录。</w:t>
      </w:r>
      <w:r>
        <w:rPr>
          <w:b/>
          <w:szCs w:val="21"/>
        </w:rPr>
        <w:t xml:space="preserve">   </w:t>
      </w:r>
    </w:p>
    <w:p>
      <w:pPr>
        <w:numPr>
          <w:ilvl w:val="255"/>
          <w:numId w:val="0"/>
        </w:numPr>
        <w:spacing w:line="360" w:lineRule="auto"/>
        <w:ind w:firstLine="420" w:firstLineChars="200"/>
        <w:rPr>
          <w:rFonts w:ascii="宋体" w:hAnsi="宋体"/>
          <w:szCs w:val="21"/>
        </w:rPr>
      </w:pPr>
      <w:r>
        <w:rPr>
          <w:rFonts w:hint="eastAsia"/>
          <w:szCs w:val="21"/>
        </w:rPr>
        <w:t>如果由于仪器本身原因而在十五天内调试没有通过，业主有权要求供应商必须更换一套新的相同型号或符合技术性能的仪器设备。</w:t>
      </w:r>
    </w:p>
    <w:p>
      <w:pPr>
        <w:spacing w:line="360" w:lineRule="auto"/>
        <w:ind w:left="420"/>
        <w:rPr>
          <w:rFonts w:ascii="宋体" w:hAnsi="宋体"/>
          <w:b/>
          <w:szCs w:val="21"/>
        </w:rPr>
      </w:pPr>
      <w:r>
        <w:rPr>
          <w:rFonts w:ascii="宋体" w:hAnsi="宋体"/>
          <w:b/>
          <w:szCs w:val="21"/>
        </w:rPr>
        <w:t>2、工期（交货期）要求</w:t>
      </w:r>
    </w:p>
    <w:p>
      <w:pPr>
        <w:spacing w:line="360" w:lineRule="auto"/>
        <w:ind w:firstLine="422" w:firstLineChars="200"/>
        <w:rPr>
          <w:rFonts w:ascii="宋体" w:hAnsi="宋体"/>
          <w:b/>
          <w:szCs w:val="21"/>
          <w:highlight w:val="yellow"/>
        </w:rPr>
      </w:pPr>
      <w:r>
        <w:rPr>
          <w:rFonts w:hint="eastAsia" w:ascii="宋体" w:hAnsi="宋体"/>
          <w:b/>
          <w:szCs w:val="21"/>
        </w:rPr>
        <w:t>采购货物在合同签订后</w:t>
      </w:r>
      <w:r>
        <w:rPr>
          <w:rFonts w:ascii="宋体" w:hAnsi="宋体"/>
          <w:b/>
          <w:szCs w:val="21"/>
        </w:rPr>
        <w:t>35</w:t>
      </w:r>
      <w:r>
        <w:rPr>
          <w:rFonts w:hint="eastAsia" w:ascii="宋体" w:hAnsi="宋体"/>
          <w:b/>
          <w:szCs w:val="21"/>
        </w:rPr>
        <w:t>日内交付。交付后</w:t>
      </w:r>
      <w:r>
        <w:rPr>
          <w:rFonts w:ascii="宋体" w:hAnsi="宋体"/>
          <w:b/>
          <w:szCs w:val="21"/>
        </w:rPr>
        <w:t>25</w:t>
      </w:r>
      <w:r>
        <w:rPr>
          <w:rFonts w:hint="eastAsia" w:ascii="宋体" w:hAnsi="宋体"/>
          <w:b/>
          <w:szCs w:val="21"/>
        </w:rPr>
        <w:t>天内，完成仪器设备安装调试、试运行、验收。逾期未交付或未完成验收的，每延期一个日历天，业主按照总合同金额</w:t>
      </w:r>
      <w:r>
        <w:rPr>
          <w:rFonts w:ascii="宋体" w:hAnsi="宋体"/>
          <w:b/>
          <w:szCs w:val="21"/>
        </w:rPr>
        <w:t>1‰对中标方进行扣款。</w:t>
      </w:r>
    </w:p>
    <w:p>
      <w:pPr>
        <w:spacing w:line="360" w:lineRule="auto"/>
        <w:ind w:left="420"/>
        <w:rPr>
          <w:rFonts w:ascii="宋体" w:hAnsi="宋体"/>
          <w:b/>
          <w:szCs w:val="21"/>
        </w:rPr>
      </w:pPr>
      <w:r>
        <w:rPr>
          <w:rFonts w:ascii="宋体" w:hAnsi="宋体"/>
          <w:b/>
          <w:szCs w:val="21"/>
        </w:rPr>
        <w:t>3、质量控制要求</w:t>
      </w:r>
    </w:p>
    <w:p>
      <w:pPr>
        <w:spacing w:line="360" w:lineRule="auto"/>
        <w:ind w:firstLine="420" w:firstLineChars="200"/>
        <w:rPr>
          <w:rFonts w:ascii="宋体" w:hAnsi="宋体"/>
          <w:szCs w:val="21"/>
        </w:rPr>
      </w:pPr>
      <w:r>
        <w:rPr>
          <w:rFonts w:ascii="宋体" w:hAnsi="宋体"/>
          <w:szCs w:val="21"/>
        </w:rPr>
        <w:t>1.投标人必须承诺提供生产厂商原装、全新的、符合国家及用户提出的有关质量标准的产品，并按招标文件要求附带相关的合法生产厂商证明文件。</w:t>
      </w:r>
    </w:p>
    <w:p>
      <w:pPr>
        <w:spacing w:line="360" w:lineRule="auto"/>
        <w:ind w:firstLine="420" w:firstLineChars="200"/>
        <w:rPr>
          <w:rFonts w:ascii="宋体" w:hAnsi="宋体"/>
          <w:szCs w:val="21"/>
        </w:rPr>
      </w:pPr>
      <w:r>
        <w:rPr>
          <w:rFonts w:ascii="宋体" w:hAnsi="宋体"/>
          <w:szCs w:val="21"/>
        </w:rPr>
        <w:t>2.投标人必须承诺所提供产品符合国家或行业标准，以及采购人提出的有关应用需求，且不存在第三方侵权行为。</w:t>
      </w:r>
    </w:p>
    <w:p>
      <w:pPr>
        <w:spacing w:line="360" w:lineRule="auto"/>
        <w:ind w:firstLine="420" w:firstLineChars="200"/>
        <w:rPr>
          <w:rFonts w:ascii="宋体" w:hAnsi="宋体"/>
          <w:szCs w:val="21"/>
        </w:rPr>
      </w:pPr>
      <w:r>
        <w:rPr>
          <w:rFonts w:ascii="宋体" w:hAnsi="宋体"/>
          <w:szCs w:val="21"/>
        </w:rPr>
        <w:t xml:space="preserve">3. </w:t>
      </w:r>
      <w:r>
        <w:rPr>
          <w:rFonts w:hint="eastAsia" w:ascii="宋体" w:hAnsi="宋体"/>
          <w:szCs w:val="21"/>
        </w:rPr>
        <w:t>投标人</w:t>
      </w:r>
      <w:r>
        <w:rPr>
          <w:rFonts w:ascii="宋体" w:hAnsi="宋体"/>
          <w:szCs w:val="21"/>
        </w:rPr>
        <w:t>应在十年内保证易损件和备件在项目区内的正常供应。</w:t>
      </w:r>
    </w:p>
    <w:p>
      <w:pPr>
        <w:spacing w:line="360" w:lineRule="auto"/>
        <w:ind w:left="420"/>
        <w:rPr>
          <w:rFonts w:ascii="宋体" w:hAnsi="宋体"/>
          <w:b/>
          <w:szCs w:val="21"/>
        </w:rPr>
      </w:pPr>
      <w:r>
        <w:rPr>
          <w:rFonts w:ascii="宋体" w:hAnsi="宋体"/>
          <w:b/>
          <w:szCs w:val="21"/>
        </w:rPr>
        <w:t>4、培训要求</w:t>
      </w:r>
    </w:p>
    <w:p>
      <w:pPr>
        <w:spacing w:line="360" w:lineRule="auto"/>
        <w:ind w:firstLine="420" w:firstLineChars="200"/>
        <w:rPr>
          <w:rFonts w:ascii="宋体" w:hAnsi="宋体"/>
          <w:szCs w:val="21"/>
        </w:rPr>
      </w:pPr>
      <w:r>
        <w:rPr>
          <w:rFonts w:ascii="宋体" w:hAnsi="宋体"/>
          <w:szCs w:val="21"/>
        </w:rPr>
        <w:t>1.中标供应商应为采购人现场免费培训，免费培训直至能完全独立操作。</w:t>
      </w:r>
    </w:p>
    <w:p>
      <w:pPr>
        <w:spacing w:line="360" w:lineRule="auto"/>
        <w:ind w:firstLine="420" w:firstLineChars="200"/>
        <w:rPr>
          <w:rFonts w:ascii="宋体" w:hAnsi="宋体"/>
          <w:szCs w:val="21"/>
        </w:rPr>
      </w:pPr>
      <w:r>
        <w:rPr>
          <w:rFonts w:ascii="宋体" w:hAnsi="宋体"/>
          <w:szCs w:val="21"/>
        </w:rPr>
        <w:t>2.中标供应提供完整的培训计划和方案，列明培训人员数量、达到的水平等，培训内容包括设备的操作、日常维修、简单故障的识别及排除等。培训所需全部费用均由中标供应商支付。</w:t>
      </w:r>
    </w:p>
    <w:p>
      <w:pPr>
        <w:spacing w:line="360" w:lineRule="auto"/>
        <w:ind w:left="420"/>
        <w:rPr>
          <w:rFonts w:ascii="宋体" w:hAnsi="宋体"/>
          <w:b/>
          <w:szCs w:val="21"/>
        </w:rPr>
      </w:pPr>
      <w:r>
        <w:rPr>
          <w:rFonts w:ascii="宋体" w:hAnsi="宋体"/>
          <w:b/>
          <w:szCs w:val="21"/>
        </w:rPr>
        <w:t>5、验收要求</w:t>
      </w:r>
    </w:p>
    <w:p>
      <w:pPr>
        <w:spacing w:line="360" w:lineRule="auto"/>
        <w:ind w:firstLine="420" w:firstLineChars="200"/>
        <w:rPr>
          <w:rFonts w:ascii="宋体" w:hAnsi="宋体"/>
          <w:szCs w:val="21"/>
        </w:rPr>
      </w:pPr>
      <w:r>
        <w:rPr>
          <w:rFonts w:ascii="宋体" w:hAnsi="宋体"/>
          <w:szCs w:val="21"/>
        </w:rPr>
        <w:t>1.验收时间：产品安装、调试完毕，产品试用后，由中标方提出验收申请，采购人应于收到验收申请后组织验收。采购人验收合格后应当出具验收报告，需要其他管理机构验收的由验收机构出具验收报告。</w:t>
      </w:r>
    </w:p>
    <w:p>
      <w:pPr>
        <w:spacing w:line="360" w:lineRule="auto"/>
        <w:ind w:firstLine="420" w:firstLineChars="200"/>
        <w:rPr>
          <w:rFonts w:ascii="宋体" w:hAnsi="宋体"/>
          <w:szCs w:val="21"/>
        </w:rPr>
      </w:pPr>
      <w:r>
        <w:rPr>
          <w:rFonts w:ascii="宋体" w:hAnsi="宋体"/>
          <w:szCs w:val="21"/>
        </w:rPr>
        <w:t>2.验收标准：</w:t>
      </w:r>
    </w:p>
    <w:p>
      <w:pPr>
        <w:spacing w:line="360" w:lineRule="auto"/>
        <w:ind w:firstLine="420" w:firstLineChars="200"/>
        <w:rPr>
          <w:rFonts w:ascii="宋体" w:hAnsi="宋体"/>
          <w:szCs w:val="21"/>
        </w:rPr>
      </w:pPr>
      <w:r>
        <w:rPr>
          <w:rFonts w:hint="eastAsia" w:ascii="宋体" w:hAnsi="宋体"/>
          <w:szCs w:val="21"/>
        </w:rPr>
        <w:t>①单证齐全：应有产品合格证（或质量证明）、使用说明、保修证明、发票和其它应具有的单证；若中标方所提供的产品是进口产品，必须提供合法的原生地证明、进口报关单证、商检证明等完整资料给买方审计和采购部门核查。</w:t>
      </w:r>
    </w:p>
    <w:p>
      <w:pPr>
        <w:spacing w:line="360" w:lineRule="auto"/>
        <w:ind w:firstLine="420" w:firstLineChars="200"/>
        <w:rPr>
          <w:rFonts w:ascii="宋体" w:hAnsi="宋体"/>
          <w:szCs w:val="21"/>
        </w:rPr>
      </w:pPr>
      <w:r>
        <w:rPr>
          <w:rFonts w:hint="eastAsia" w:ascii="宋体" w:hAnsi="宋体"/>
          <w:szCs w:val="21"/>
        </w:rPr>
        <w:t>②产品质量：应符合中华人民共和国国家安全质量标准、环保标准、行业标准或货物来源国官方标准。</w:t>
      </w:r>
    </w:p>
    <w:p>
      <w:pPr>
        <w:spacing w:line="360" w:lineRule="auto"/>
        <w:ind w:firstLine="420" w:firstLineChars="200"/>
        <w:rPr>
          <w:rFonts w:ascii="宋体" w:hAnsi="宋体"/>
          <w:szCs w:val="21"/>
        </w:rPr>
      </w:pPr>
      <w:r>
        <w:rPr>
          <w:rFonts w:hint="eastAsia" w:ascii="宋体" w:hAnsi="宋体"/>
          <w:szCs w:val="21"/>
        </w:rPr>
        <w:t>③产品所有技术性能规格及参数：应符合招标文件和中标方投标文件所要求的技术标准及生产厂商公开的宣传资料和生产厂商官方网站宣传内容的标准要求。</w:t>
      </w:r>
    </w:p>
    <w:p>
      <w:pPr>
        <w:spacing w:line="360" w:lineRule="auto"/>
        <w:ind w:firstLine="420" w:firstLineChars="200"/>
        <w:rPr>
          <w:rFonts w:ascii="宋体" w:hAnsi="宋体"/>
          <w:szCs w:val="21"/>
        </w:rPr>
      </w:pPr>
      <w:r>
        <w:rPr>
          <w:rFonts w:hint="eastAsia" w:ascii="宋体" w:hAnsi="宋体"/>
          <w:szCs w:val="21"/>
        </w:rPr>
        <w:t>④产品是全新未使用过的原厂合格正品（包括零部件），表面无划损、无任何缺陷隐患。</w:t>
      </w:r>
    </w:p>
    <w:p>
      <w:pPr>
        <w:spacing w:line="360" w:lineRule="auto"/>
        <w:ind w:left="420"/>
        <w:rPr>
          <w:rFonts w:ascii="宋体" w:hAnsi="宋体"/>
          <w:b/>
          <w:szCs w:val="21"/>
        </w:rPr>
      </w:pPr>
      <w:r>
        <w:rPr>
          <w:rFonts w:ascii="宋体" w:hAnsi="宋体"/>
          <w:b/>
          <w:szCs w:val="21"/>
        </w:rPr>
        <w:t>6、项目售后服务要求</w:t>
      </w:r>
    </w:p>
    <w:p>
      <w:pPr>
        <w:spacing w:line="360" w:lineRule="auto"/>
        <w:ind w:firstLine="420" w:firstLineChars="200"/>
        <w:rPr>
          <w:rFonts w:ascii="宋体" w:hAnsi="宋体"/>
          <w:szCs w:val="21"/>
        </w:rPr>
      </w:pPr>
      <w:r>
        <w:rPr>
          <w:rFonts w:ascii="宋体" w:hAnsi="宋体"/>
          <w:szCs w:val="21"/>
        </w:rPr>
        <w:t>1.具有良好的售后服务体制。</w:t>
      </w:r>
    </w:p>
    <w:p>
      <w:pPr>
        <w:spacing w:line="360" w:lineRule="auto"/>
        <w:ind w:firstLine="420" w:firstLineChars="200"/>
        <w:rPr>
          <w:rFonts w:ascii="宋体" w:hAnsi="宋体"/>
          <w:szCs w:val="21"/>
        </w:rPr>
      </w:pPr>
      <w:r>
        <w:rPr>
          <w:rFonts w:ascii="宋体" w:hAnsi="宋体"/>
          <w:szCs w:val="21"/>
        </w:rPr>
        <w:t>2.质保期：产品验收合格后，在质量保证（修）期内，凡属产品本身引起的故障，中标方负责免费保修，所有费用由中标方承担；非使用者人为或自然力因素下，仪器设备核心部件损坏，则通过验收即日起3个月内退款退货，2年之内免费换新，</w:t>
      </w:r>
      <w:r>
        <w:rPr>
          <w:rFonts w:hint="eastAsia" w:ascii="宋体" w:hAnsi="宋体"/>
          <w:b/>
          <w:bCs/>
          <w:szCs w:val="21"/>
        </w:rPr>
        <w:t>5</w:t>
      </w:r>
      <w:r>
        <w:rPr>
          <w:rFonts w:ascii="宋体" w:hAnsi="宋体"/>
          <w:b/>
          <w:bCs/>
          <w:szCs w:val="21"/>
        </w:rPr>
        <w:t>年之内免费保修</w:t>
      </w:r>
      <w:r>
        <w:rPr>
          <w:rFonts w:hint="eastAsia" w:ascii="宋体" w:hAnsi="宋体"/>
          <w:szCs w:val="21"/>
        </w:rPr>
        <w:t>，产品质量保证（修）期限从产品验收合格之日起计算（若仪器技术指标上有更严要求，按最严要求执行）。</w:t>
      </w:r>
    </w:p>
    <w:p>
      <w:pPr>
        <w:spacing w:line="360" w:lineRule="auto"/>
        <w:ind w:firstLine="420" w:firstLineChars="200"/>
        <w:rPr>
          <w:rFonts w:ascii="宋体" w:hAnsi="宋体"/>
          <w:szCs w:val="21"/>
        </w:rPr>
      </w:pPr>
      <w:r>
        <w:rPr>
          <w:rFonts w:ascii="宋体" w:hAnsi="宋体"/>
          <w:szCs w:val="21"/>
        </w:rPr>
        <w:t>3.设备故障报修的响应时间：维修服务响应时间不高于8小时。若电话中无法解决，72小时内到达现场进行维护。</w:t>
      </w:r>
    </w:p>
    <w:p>
      <w:pPr>
        <w:spacing w:line="360" w:lineRule="auto"/>
        <w:ind w:firstLine="420" w:firstLineChars="200"/>
        <w:rPr>
          <w:rFonts w:ascii="宋体" w:hAnsi="宋体"/>
          <w:b/>
          <w:bCs/>
          <w:sz w:val="32"/>
          <w:szCs w:val="32"/>
        </w:rPr>
      </w:pPr>
      <w:r>
        <w:rPr>
          <w:rFonts w:ascii="宋体" w:hAnsi="宋体"/>
          <w:szCs w:val="21"/>
        </w:rPr>
        <w:t>4.提供操作流程、注意事项的培训，并提供相应的书面材料。</w:t>
      </w:r>
      <w:bookmarkStart w:id="2" w:name="_Toc368513813"/>
      <w:bookmarkStart w:id="3" w:name="_Toc2238419"/>
      <w:r>
        <w:rPr>
          <w:rFonts w:ascii="宋体" w:hAnsi="宋体"/>
          <w:b/>
          <w:bCs/>
          <w:sz w:val="32"/>
          <w:szCs w:val="32"/>
        </w:rPr>
        <w:br w:type="page"/>
      </w:r>
    </w:p>
    <w:bookmarkEnd w:id="2"/>
    <w:p>
      <w:pPr>
        <w:pStyle w:val="3"/>
        <w:numPr>
          <w:ilvl w:val="0"/>
          <w:numId w:val="3"/>
        </w:numPr>
        <w:snapToGrid w:val="0"/>
        <w:spacing w:before="0" w:after="0" w:line="360" w:lineRule="auto"/>
        <w:jc w:val="center"/>
        <w:rPr>
          <w:rFonts w:ascii="黑体" w:hAnsi="黑体" w:eastAsia="黑体" w:cs="黑体"/>
          <w:b w:val="0"/>
          <w:bCs w:val="0"/>
          <w:sz w:val="32"/>
          <w:szCs w:val="32"/>
        </w:rPr>
      </w:pPr>
      <w:bookmarkStart w:id="4" w:name="_Toc368513814"/>
      <w:r>
        <w:rPr>
          <w:rFonts w:ascii="黑体" w:hAnsi="黑体" w:eastAsia="黑体" w:cs="黑体"/>
          <w:b w:val="0"/>
          <w:bCs w:val="0"/>
          <w:sz w:val="32"/>
          <w:szCs w:val="32"/>
        </w:rPr>
        <w:t xml:space="preserve"> </w:t>
      </w:r>
      <w:bookmarkStart w:id="5" w:name="_Toc35336350"/>
      <w:r>
        <w:rPr>
          <w:rFonts w:ascii="黑体" w:hAnsi="黑体" w:eastAsia="黑体" w:cs="黑体"/>
          <w:b w:val="0"/>
          <w:bCs w:val="0"/>
          <w:sz w:val="32"/>
          <w:szCs w:val="32"/>
        </w:rPr>
        <w:t>评标办法</w:t>
      </w:r>
      <w:bookmarkEnd w:id="3"/>
      <w:bookmarkEnd w:id="4"/>
      <w:bookmarkEnd w:id="5"/>
    </w:p>
    <w:p>
      <w:pPr>
        <w:pStyle w:val="3"/>
        <w:numPr>
          <w:ilvl w:val="255"/>
          <w:numId w:val="0"/>
        </w:numPr>
        <w:snapToGrid w:val="0"/>
        <w:spacing w:before="0" w:after="0" w:line="360" w:lineRule="auto"/>
        <w:rPr>
          <w:rFonts w:ascii="黑体" w:hAnsi="黑体" w:eastAsia="黑体" w:cs="黑体"/>
          <w:b w:val="0"/>
          <w:bCs w:val="0"/>
          <w:sz w:val="32"/>
          <w:szCs w:val="32"/>
        </w:rPr>
      </w:pPr>
    </w:p>
    <w:p>
      <w:pPr>
        <w:numPr>
          <w:ilvl w:val="255"/>
          <w:numId w:val="0"/>
        </w:numPr>
        <w:snapToGrid w:val="0"/>
        <w:spacing w:line="360" w:lineRule="auto"/>
        <w:ind w:firstLine="420" w:firstLineChars="200"/>
        <w:rPr>
          <w:rFonts w:ascii="宋体" w:hAnsi="宋体"/>
          <w:b/>
          <w:szCs w:val="21"/>
        </w:rPr>
      </w:pPr>
      <w:r>
        <w:rPr>
          <w:rFonts w:hint="eastAsia" w:ascii="宋体" w:hAnsi="宋体"/>
          <w:szCs w:val="21"/>
        </w:rPr>
        <w:t>评标委员会按招标文件中规定的评标方法和标准，对资格审查和符合性审查合格的投标文件进行商务和技术评估，综合比较与评价。技术、商务、价格部分分值分配如下：</w:t>
      </w:r>
    </w:p>
    <w:tbl>
      <w:tblPr>
        <w:tblStyle w:val="19"/>
        <w:tblW w:w="84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889"/>
        <w:gridCol w:w="1701"/>
        <w:gridCol w:w="1701"/>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1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评分项目</w:t>
            </w:r>
          </w:p>
        </w:tc>
        <w:tc>
          <w:tcPr>
            <w:tcW w:w="1889"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技术评分</w:t>
            </w:r>
          </w:p>
        </w:tc>
        <w:tc>
          <w:tcPr>
            <w:tcW w:w="1701"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商务评分</w:t>
            </w:r>
          </w:p>
        </w:tc>
        <w:tc>
          <w:tcPr>
            <w:tcW w:w="1701" w:type="dxa"/>
            <w:vAlign w:val="center"/>
          </w:tcPr>
          <w:p>
            <w:pPr>
              <w:autoSpaceDE w:val="0"/>
              <w:autoSpaceDN w:val="0"/>
              <w:adjustRightInd w:val="0"/>
              <w:spacing w:line="360" w:lineRule="auto"/>
              <w:ind w:left="1" w:leftChars="-51" w:hanging="108" w:hangingChars="51"/>
              <w:jc w:val="center"/>
              <w:rPr>
                <w:rFonts w:ascii="宋体" w:hAnsi="宋体" w:cs="宋体"/>
                <w:b/>
                <w:kern w:val="0"/>
                <w:szCs w:val="21"/>
              </w:rPr>
            </w:pPr>
            <w:r>
              <w:rPr>
                <w:rFonts w:hint="eastAsia" w:ascii="宋体" w:hAnsi="宋体" w:cs="宋体"/>
                <w:b/>
                <w:kern w:val="0"/>
                <w:szCs w:val="21"/>
              </w:rPr>
              <w:t>价格评分</w:t>
            </w:r>
          </w:p>
        </w:tc>
        <w:tc>
          <w:tcPr>
            <w:tcW w:w="1609" w:type="dxa"/>
            <w:vAlign w:val="center"/>
          </w:tcPr>
          <w:p>
            <w:pPr>
              <w:spacing w:line="360" w:lineRule="auto"/>
              <w:jc w:val="center"/>
              <w:rPr>
                <w:rFonts w:ascii="宋体" w:hAnsi="宋体"/>
                <w:b/>
                <w:szCs w:val="21"/>
              </w:rPr>
            </w:pPr>
            <w:r>
              <w:rPr>
                <w:rFonts w:hint="eastAsia" w:ascii="宋体" w:hAnsi="宋体"/>
                <w:b/>
                <w:szCs w:val="21"/>
              </w:rPr>
              <w:t>合</w:t>
            </w:r>
            <w:r>
              <w:rPr>
                <w:rFonts w:ascii="宋体" w:hAnsi="宋体"/>
                <w:b/>
                <w:szCs w:val="21"/>
              </w:rPr>
              <w:t xml:space="preserve">  </w:t>
            </w:r>
            <w:r>
              <w:rPr>
                <w:rFonts w:hint="eastAsia" w:ascii="宋体" w:hAnsi="宋体"/>
                <w:b/>
                <w:szCs w:val="21"/>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1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权重</w:t>
            </w:r>
          </w:p>
        </w:tc>
        <w:tc>
          <w:tcPr>
            <w:tcW w:w="1889" w:type="dxa"/>
            <w:vAlign w:val="center"/>
          </w:tcPr>
          <w:p>
            <w:pPr>
              <w:autoSpaceDE w:val="0"/>
              <w:autoSpaceDN w:val="0"/>
              <w:adjustRightInd w:val="0"/>
              <w:spacing w:line="360" w:lineRule="auto"/>
              <w:jc w:val="center"/>
              <w:rPr>
                <w:rFonts w:ascii="宋体" w:hAnsi="宋体" w:cs="宋体"/>
                <w:b/>
                <w:kern w:val="0"/>
                <w:szCs w:val="21"/>
              </w:rPr>
            </w:pPr>
            <w:r>
              <w:rPr>
                <w:rFonts w:ascii="宋体" w:hAnsi="宋体" w:cs="宋体"/>
                <w:b/>
                <w:kern w:val="0"/>
                <w:szCs w:val="21"/>
              </w:rPr>
              <w:t>50%</w:t>
            </w:r>
          </w:p>
        </w:tc>
        <w:tc>
          <w:tcPr>
            <w:tcW w:w="1701" w:type="dxa"/>
            <w:vAlign w:val="center"/>
          </w:tcPr>
          <w:p>
            <w:pPr>
              <w:autoSpaceDE w:val="0"/>
              <w:autoSpaceDN w:val="0"/>
              <w:adjustRightInd w:val="0"/>
              <w:spacing w:line="360" w:lineRule="auto"/>
              <w:jc w:val="center"/>
              <w:rPr>
                <w:rFonts w:ascii="宋体" w:hAnsi="宋体" w:cs="宋体"/>
                <w:b/>
                <w:kern w:val="0"/>
                <w:szCs w:val="21"/>
              </w:rPr>
            </w:pPr>
            <w:r>
              <w:rPr>
                <w:rFonts w:ascii="宋体" w:hAnsi="宋体" w:cs="宋体"/>
                <w:b/>
                <w:kern w:val="0"/>
                <w:szCs w:val="21"/>
              </w:rPr>
              <w:t>20%</w:t>
            </w:r>
          </w:p>
        </w:tc>
        <w:tc>
          <w:tcPr>
            <w:tcW w:w="1701" w:type="dxa"/>
            <w:vAlign w:val="center"/>
          </w:tcPr>
          <w:p>
            <w:pPr>
              <w:autoSpaceDE w:val="0"/>
              <w:autoSpaceDN w:val="0"/>
              <w:adjustRightInd w:val="0"/>
              <w:spacing w:line="360" w:lineRule="auto"/>
              <w:ind w:left="1" w:leftChars="-51" w:hanging="108" w:hangingChars="51"/>
              <w:jc w:val="center"/>
              <w:rPr>
                <w:rFonts w:ascii="宋体" w:hAnsi="宋体" w:cs="宋体"/>
                <w:b/>
                <w:kern w:val="0"/>
                <w:szCs w:val="21"/>
              </w:rPr>
            </w:pPr>
            <w:r>
              <w:rPr>
                <w:rFonts w:ascii="宋体" w:hAnsi="宋体" w:cs="宋体"/>
                <w:b/>
                <w:kern w:val="0"/>
                <w:szCs w:val="21"/>
              </w:rPr>
              <w:t>30%</w:t>
            </w:r>
          </w:p>
        </w:tc>
        <w:tc>
          <w:tcPr>
            <w:tcW w:w="1609" w:type="dxa"/>
            <w:vAlign w:val="center"/>
          </w:tcPr>
          <w:p>
            <w:pPr>
              <w:spacing w:line="360" w:lineRule="auto"/>
              <w:jc w:val="center"/>
              <w:rPr>
                <w:rFonts w:ascii="宋体" w:hAnsi="宋体"/>
                <w:b/>
                <w:szCs w:val="21"/>
              </w:rPr>
            </w:pPr>
            <w:r>
              <w:rPr>
                <w:rFonts w:ascii="宋体" w:hAnsi="宋体"/>
                <w:b/>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516" w:type="dxa"/>
            <w:vAlign w:val="center"/>
          </w:tcPr>
          <w:p>
            <w:pPr>
              <w:autoSpaceDE w:val="0"/>
              <w:autoSpaceDN w:val="0"/>
              <w:adjustRightInd w:val="0"/>
              <w:spacing w:line="360" w:lineRule="auto"/>
              <w:jc w:val="center"/>
              <w:rPr>
                <w:rFonts w:ascii="宋体" w:hAnsi="宋体" w:cs="宋体"/>
                <w:b/>
                <w:kern w:val="0"/>
                <w:szCs w:val="21"/>
              </w:rPr>
            </w:pPr>
            <w:r>
              <w:rPr>
                <w:rFonts w:hint="eastAsia" w:ascii="宋体" w:hAnsi="宋体" w:cs="宋体"/>
                <w:b/>
                <w:kern w:val="0"/>
                <w:szCs w:val="21"/>
              </w:rPr>
              <w:t>分值</w:t>
            </w:r>
          </w:p>
        </w:tc>
        <w:tc>
          <w:tcPr>
            <w:tcW w:w="1889" w:type="dxa"/>
            <w:vAlign w:val="center"/>
          </w:tcPr>
          <w:p>
            <w:pPr>
              <w:autoSpaceDE w:val="0"/>
              <w:autoSpaceDN w:val="0"/>
              <w:adjustRightInd w:val="0"/>
              <w:spacing w:line="360" w:lineRule="auto"/>
              <w:jc w:val="center"/>
              <w:rPr>
                <w:rFonts w:ascii="宋体" w:hAnsi="宋体" w:cs="宋体"/>
                <w:b/>
                <w:kern w:val="0"/>
                <w:szCs w:val="21"/>
              </w:rPr>
            </w:pPr>
            <w:r>
              <w:rPr>
                <w:rFonts w:ascii="宋体" w:hAnsi="宋体" w:cs="宋体"/>
                <w:b/>
                <w:kern w:val="0"/>
                <w:szCs w:val="21"/>
              </w:rPr>
              <w:t>50分</w:t>
            </w:r>
          </w:p>
        </w:tc>
        <w:tc>
          <w:tcPr>
            <w:tcW w:w="1701" w:type="dxa"/>
            <w:vAlign w:val="center"/>
          </w:tcPr>
          <w:p>
            <w:pPr>
              <w:autoSpaceDE w:val="0"/>
              <w:autoSpaceDN w:val="0"/>
              <w:adjustRightInd w:val="0"/>
              <w:spacing w:line="360" w:lineRule="auto"/>
              <w:jc w:val="center"/>
              <w:rPr>
                <w:rFonts w:ascii="宋体" w:hAnsi="宋体" w:cs="宋体"/>
                <w:b/>
                <w:kern w:val="0"/>
                <w:szCs w:val="21"/>
              </w:rPr>
            </w:pPr>
            <w:r>
              <w:rPr>
                <w:rFonts w:ascii="宋体" w:hAnsi="宋体" w:cs="宋体"/>
                <w:b/>
                <w:kern w:val="0"/>
                <w:szCs w:val="21"/>
              </w:rPr>
              <w:t>20分</w:t>
            </w:r>
          </w:p>
        </w:tc>
        <w:tc>
          <w:tcPr>
            <w:tcW w:w="1701" w:type="dxa"/>
            <w:vAlign w:val="center"/>
          </w:tcPr>
          <w:p>
            <w:pPr>
              <w:autoSpaceDE w:val="0"/>
              <w:autoSpaceDN w:val="0"/>
              <w:adjustRightInd w:val="0"/>
              <w:spacing w:line="360" w:lineRule="auto"/>
              <w:ind w:left="1" w:leftChars="-51" w:hanging="108" w:hangingChars="51"/>
              <w:jc w:val="center"/>
              <w:rPr>
                <w:rFonts w:ascii="宋体" w:hAnsi="宋体" w:cs="宋体"/>
                <w:b/>
                <w:kern w:val="0"/>
                <w:szCs w:val="21"/>
              </w:rPr>
            </w:pPr>
            <w:r>
              <w:rPr>
                <w:rFonts w:ascii="宋体" w:hAnsi="宋体" w:cs="宋体"/>
                <w:b/>
                <w:kern w:val="0"/>
                <w:szCs w:val="21"/>
              </w:rPr>
              <w:t>30分</w:t>
            </w:r>
          </w:p>
        </w:tc>
        <w:tc>
          <w:tcPr>
            <w:tcW w:w="1609" w:type="dxa"/>
            <w:vAlign w:val="center"/>
          </w:tcPr>
          <w:p>
            <w:pPr>
              <w:spacing w:line="360" w:lineRule="auto"/>
              <w:jc w:val="center"/>
              <w:rPr>
                <w:rFonts w:ascii="宋体" w:hAnsi="宋体" w:cs="宋体"/>
                <w:b/>
                <w:kern w:val="0"/>
                <w:szCs w:val="21"/>
              </w:rPr>
            </w:pPr>
            <w:r>
              <w:rPr>
                <w:rFonts w:ascii="宋体" w:hAnsi="宋体" w:cs="宋体"/>
                <w:b/>
                <w:kern w:val="0"/>
                <w:szCs w:val="21"/>
              </w:rPr>
              <w:t>100分</w:t>
            </w:r>
          </w:p>
        </w:tc>
      </w:tr>
    </w:tbl>
    <w:p>
      <w:pPr>
        <w:snapToGrid w:val="0"/>
        <w:spacing w:line="360" w:lineRule="auto"/>
        <w:ind w:firstLine="420" w:firstLineChars="200"/>
        <w:rPr>
          <w:rFonts w:ascii="宋体" w:hAnsi="宋体"/>
          <w:szCs w:val="21"/>
        </w:rPr>
      </w:pPr>
    </w:p>
    <w:p>
      <w:pPr>
        <w:snapToGrid w:val="0"/>
        <w:spacing w:line="360" w:lineRule="auto"/>
        <w:ind w:firstLine="420" w:firstLineChars="200"/>
        <w:rPr>
          <w:rFonts w:ascii="宋体" w:hAnsi="宋体"/>
          <w:szCs w:val="21"/>
        </w:rPr>
      </w:pPr>
      <w:r>
        <w:rPr>
          <w:rFonts w:hint="eastAsia" w:ascii="宋体" w:hAnsi="宋体"/>
          <w:szCs w:val="21"/>
        </w:rPr>
        <w:t>具体量化打分标准如下：</w:t>
      </w:r>
    </w:p>
    <w:p>
      <w:pPr>
        <w:numPr>
          <w:ilvl w:val="0"/>
          <w:numId w:val="4"/>
        </w:numPr>
        <w:snapToGrid w:val="0"/>
        <w:spacing w:line="360" w:lineRule="auto"/>
        <w:rPr>
          <w:rFonts w:ascii="宋体" w:hAnsi="宋体"/>
          <w:b/>
          <w:szCs w:val="21"/>
        </w:rPr>
      </w:pPr>
      <w:r>
        <w:rPr>
          <w:rFonts w:hint="eastAsia" w:ascii="宋体" w:hAnsi="宋体"/>
          <w:b/>
          <w:szCs w:val="21"/>
        </w:rPr>
        <w:t>技术、商务评分：</w:t>
      </w:r>
    </w:p>
    <w:p>
      <w:pPr>
        <w:snapToGrid w:val="0"/>
        <w:spacing w:line="360" w:lineRule="auto"/>
        <w:ind w:left="420"/>
        <w:rPr>
          <w:rFonts w:ascii="宋体" w:hAnsi="宋体"/>
          <w:szCs w:val="21"/>
        </w:rPr>
      </w:pPr>
      <w:r>
        <w:rPr>
          <w:rFonts w:hint="eastAsia" w:ascii="宋体" w:hAnsi="宋体"/>
          <w:szCs w:val="21"/>
        </w:rPr>
        <w:t>评标委员会分别对各投标的技术、商务响应文件中的各项内容进行评审比较，详细对比其技术、商务方案等各种因素方面是否满足招标文件的要求。在技术、商务评审表的相应项各自记名打分。</w:t>
      </w:r>
    </w:p>
    <w:p>
      <w:pPr>
        <w:numPr>
          <w:ilvl w:val="0"/>
          <w:numId w:val="4"/>
        </w:numPr>
        <w:snapToGrid w:val="0"/>
        <w:spacing w:line="360" w:lineRule="auto"/>
        <w:rPr>
          <w:rFonts w:ascii="宋体" w:hAnsi="宋体"/>
          <w:b/>
          <w:szCs w:val="21"/>
        </w:rPr>
      </w:pPr>
      <w:r>
        <w:rPr>
          <w:rFonts w:hint="eastAsia" w:ascii="宋体" w:hAnsi="宋体"/>
          <w:b/>
          <w:szCs w:val="21"/>
        </w:rPr>
        <w:t>技术商务得分统计</w:t>
      </w:r>
    </w:p>
    <w:p>
      <w:pPr>
        <w:numPr>
          <w:ilvl w:val="1"/>
          <w:numId w:val="5"/>
        </w:numPr>
        <w:spacing w:line="360" w:lineRule="auto"/>
        <w:rPr>
          <w:rFonts w:ascii="宋体" w:hAnsi="宋体"/>
          <w:szCs w:val="21"/>
        </w:rPr>
      </w:pPr>
      <w:r>
        <w:rPr>
          <w:rFonts w:hint="eastAsia" w:ascii="宋体" w:hAnsi="宋体"/>
          <w:szCs w:val="21"/>
        </w:rPr>
        <w:t>将所有评委的技术评分的算术平均值即为每个有效投标人的技术得分（四舍五入后，精确到</w:t>
      </w:r>
      <w:r>
        <w:rPr>
          <w:rFonts w:ascii="宋体" w:hAnsi="宋体"/>
          <w:szCs w:val="21"/>
        </w:rPr>
        <w:t>0.01）。</w:t>
      </w:r>
    </w:p>
    <w:p>
      <w:pPr>
        <w:numPr>
          <w:ilvl w:val="1"/>
          <w:numId w:val="5"/>
        </w:numPr>
        <w:spacing w:line="360" w:lineRule="auto"/>
        <w:rPr>
          <w:rFonts w:ascii="宋体" w:hAnsi="宋体"/>
          <w:szCs w:val="21"/>
        </w:rPr>
      </w:pPr>
      <w:r>
        <w:rPr>
          <w:rFonts w:hint="eastAsia" w:ascii="宋体" w:hAnsi="宋体"/>
          <w:szCs w:val="21"/>
        </w:rPr>
        <w:t>将所有评委的商务评分的算术平均值即为每个有效投标人的商务得分（四舍五入后，精确到</w:t>
      </w:r>
      <w:r>
        <w:rPr>
          <w:rFonts w:ascii="宋体" w:hAnsi="宋体"/>
          <w:szCs w:val="21"/>
        </w:rPr>
        <w:t>0.01）。</w:t>
      </w:r>
    </w:p>
    <w:p>
      <w:pPr>
        <w:numPr>
          <w:ilvl w:val="1"/>
          <w:numId w:val="5"/>
        </w:numPr>
        <w:spacing w:line="360" w:lineRule="auto"/>
        <w:rPr>
          <w:rFonts w:ascii="宋体" w:hAnsi="宋体"/>
          <w:szCs w:val="21"/>
        </w:rPr>
      </w:pPr>
      <w:r>
        <w:rPr>
          <w:rFonts w:hint="eastAsia" w:ascii="宋体" w:hAnsi="宋体"/>
          <w:szCs w:val="21"/>
        </w:rPr>
        <w:t>将技术得分、商务得分相加得出商务技术得分。</w:t>
      </w:r>
    </w:p>
    <w:p>
      <w:pPr>
        <w:numPr>
          <w:ilvl w:val="0"/>
          <w:numId w:val="4"/>
        </w:numPr>
        <w:snapToGrid w:val="0"/>
        <w:spacing w:line="360" w:lineRule="auto"/>
        <w:rPr>
          <w:rFonts w:ascii="宋体" w:hAnsi="宋体"/>
          <w:b/>
          <w:szCs w:val="21"/>
        </w:rPr>
      </w:pPr>
      <w:r>
        <w:rPr>
          <w:rFonts w:hint="eastAsia" w:ascii="宋体" w:hAnsi="宋体"/>
          <w:b/>
          <w:szCs w:val="21"/>
        </w:rPr>
        <w:t>价格核准和评分</w:t>
      </w:r>
    </w:p>
    <w:p>
      <w:pPr>
        <w:spacing w:line="360" w:lineRule="auto"/>
        <w:ind w:firstLine="411" w:firstLineChars="196"/>
        <w:rPr>
          <w:rFonts w:ascii="宋体" w:hAnsi="宋体"/>
          <w:b/>
          <w:szCs w:val="21"/>
        </w:rPr>
      </w:pPr>
      <w:r>
        <w:rPr>
          <w:rFonts w:hint="eastAsia" w:ascii="宋体" w:hAnsi="宋体"/>
          <w:szCs w:val="21"/>
        </w:rPr>
        <w:t>采购人根据价格测算情况，设定本项目的最高限价为</w:t>
      </w:r>
      <w:r>
        <w:rPr>
          <w:rFonts w:hint="eastAsia" w:ascii="宋体" w:hAnsi="宋体" w:cs="宋体"/>
          <w:szCs w:val="21"/>
        </w:rPr>
        <w:t>人民币</w:t>
      </w:r>
      <w:r>
        <w:rPr>
          <w:rFonts w:ascii="宋体" w:hAnsi="宋体" w:cs="宋体"/>
          <w:szCs w:val="21"/>
        </w:rPr>
        <w:t>**</w:t>
      </w:r>
      <w:r>
        <w:rPr>
          <w:rFonts w:hint="eastAsia" w:ascii="宋体" w:hAnsi="宋体" w:cs="宋体"/>
          <w:szCs w:val="21"/>
        </w:rPr>
        <w:t>万元</w:t>
      </w:r>
      <w:r>
        <w:rPr>
          <w:rFonts w:hint="eastAsia" w:ascii="宋体" w:hAnsi="宋体"/>
          <w:szCs w:val="21"/>
        </w:rPr>
        <w:t>，本项目不设定最低限价，但评标委员会认为投标人的报价明显低于其他通过符合性审查投标人的报价，有可能影响产品质量或者不能诚信履约的，将要求其在评标现场在评委规定的时间内提供书面说明，必要时提交相关证明材料；投标人不能证明其报价合理性的，评标委员会将其作为无效投标处理。</w:t>
      </w:r>
    </w:p>
    <w:p>
      <w:pPr>
        <w:spacing w:line="360" w:lineRule="auto"/>
        <w:ind w:firstLine="413" w:firstLineChars="196"/>
        <w:rPr>
          <w:rFonts w:ascii="宋体" w:hAnsi="宋体"/>
          <w:szCs w:val="21"/>
        </w:rPr>
      </w:pPr>
      <w:r>
        <w:rPr>
          <w:rFonts w:hint="eastAsia" w:ascii="宋体" w:hAnsi="宋体"/>
          <w:b/>
          <w:szCs w:val="21"/>
        </w:rPr>
        <w:t>价格的核准：</w:t>
      </w:r>
    </w:p>
    <w:p>
      <w:pPr>
        <w:spacing w:line="360" w:lineRule="auto"/>
        <w:ind w:firstLine="420" w:firstLineChars="200"/>
        <w:rPr>
          <w:rFonts w:ascii="宋体" w:hAnsi="宋体"/>
          <w:szCs w:val="21"/>
        </w:rPr>
      </w:pPr>
      <w:r>
        <w:rPr>
          <w:rFonts w:hint="eastAsia" w:ascii="宋体" w:hAnsi="宋体"/>
          <w:szCs w:val="21"/>
        </w:rPr>
        <w:t>评标委员会先对入围投标人的投标报价进行复核，投标文件报价出现前后不一致的，按照下列规定修正：</w:t>
      </w:r>
    </w:p>
    <w:p>
      <w:pPr>
        <w:spacing w:line="360" w:lineRule="auto"/>
        <w:ind w:firstLine="420" w:firstLineChars="200"/>
        <w:rPr>
          <w:rFonts w:ascii="宋体" w:hAnsi="宋体"/>
          <w:szCs w:val="21"/>
        </w:rPr>
      </w:pPr>
      <w:r>
        <w:rPr>
          <w:rFonts w:ascii="宋体" w:hAnsi="宋体"/>
          <w:szCs w:val="21"/>
        </w:rPr>
        <w:t>a.投标文件中开标一览表内容与投标文件中相应内容不一致的，以开标一览表为准；</w:t>
      </w:r>
    </w:p>
    <w:p>
      <w:pPr>
        <w:spacing w:line="360" w:lineRule="auto"/>
        <w:ind w:firstLine="420" w:firstLineChars="200"/>
        <w:rPr>
          <w:rFonts w:ascii="宋体" w:hAnsi="宋体"/>
          <w:szCs w:val="21"/>
        </w:rPr>
      </w:pPr>
      <w:r>
        <w:rPr>
          <w:rFonts w:ascii="宋体" w:hAnsi="宋体"/>
          <w:szCs w:val="21"/>
        </w:rPr>
        <w:t>b.大写金额和小写金额不一致的，以大写金额为准；</w:t>
      </w:r>
    </w:p>
    <w:p>
      <w:pPr>
        <w:spacing w:line="360" w:lineRule="auto"/>
        <w:ind w:firstLine="420" w:firstLineChars="200"/>
        <w:rPr>
          <w:rFonts w:ascii="宋体" w:hAnsi="宋体"/>
          <w:szCs w:val="21"/>
        </w:rPr>
      </w:pPr>
      <w:r>
        <w:rPr>
          <w:rFonts w:ascii="宋体" w:hAnsi="宋体"/>
          <w:szCs w:val="21"/>
        </w:rPr>
        <w:t>c.单价金额小数点或者百分比有明显错位的，以开标一览表的总价为准，并修改单价；</w:t>
      </w:r>
    </w:p>
    <w:p>
      <w:pPr>
        <w:spacing w:line="360" w:lineRule="auto"/>
        <w:ind w:firstLine="420" w:firstLineChars="200"/>
        <w:rPr>
          <w:rFonts w:ascii="宋体" w:hAnsi="宋体"/>
          <w:szCs w:val="21"/>
        </w:rPr>
      </w:pPr>
      <w:r>
        <w:rPr>
          <w:rFonts w:ascii="宋体" w:hAnsi="宋体"/>
          <w:szCs w:val="21"/>
        </w:rPr>
        <w:t>d.总价金额与按单价汇总金额不一致的，以单价金额计算结果为准。</w:t>
      </w:r>
    </w:p>
    <w:p>
      <w:pPr>
        <w:spacing w:line="360" w:lineRule="auto"/>
        <w:ind w:firstLine="411" w:firstLineChars="196"/>
        <w:rPr>
          <w:rFonts w:ascii="宋体" w:hAnsi="宋体"/>
          <w:szCs w:val="21"/>
        </w:rPr>
      </w:pPr>
      <w:r>
        <w:rPr>
          <w:rFonts w:hint="eastAsia" w:ascii="宋体" w:hAnsi="宋体"/>
          <w:szCs w:val="21"/>
        </w:rPr>
        <w:t>同时出现两种以上不一致的，按照前款规定的顺序修正。对不同文字文本投标文件的解释发生异议的，以中文文本为准。</w:t>
      </w:r>
    </w:p>
    <w:p>
      <w:pPr>
        <w:spacing w:line="360" w:lineRule="auto"/>
        <w:ind w:firstLine="420" w:firstLineChars="200"/>
        <w:rPr>
          <w:rFonts w:ascii="宋体" w:hAnsi="宋体"/>
          <w:szCs w:val="21"/>
        </w:rPr>
      </w:pPr>
      <w:r>
        <w:rPr>
          <w:rFonts w:hint="eastAsia" w:ascii="宋体" w:hAnsi="宋体"/>
          <w:szCs w:val="21"/>
        </w:rPr>
        <w:t>对投标货物</w:t>
      </w:r>
      <w:r>
        <w:rPr>
          <w:rFonts w:ascii="宋体" w:hAnsi="宋体"/>
          <w:szCs w:val="21"/>
        </w:rPr>
        <w:t>/服务的关键、主要内容，投标供应商报价漏项的，作非实质性响应投标处理。</w:t>
      </w:r>
    </w:p>
    <w:p>
      <w:pPr>
        <w:spacing w:line="360" w:lineRule="auto"/>
        <w:ind w:firstLine="420" w:firstLineChars="200"/>
        <w:rPr>
          <w:rFonts w:ascii="宋体" w:hAnsi="宋体"/>
          <w:szCs w:val="21"/>
        </w:rPr>
      </w:pPr>
      <w:r>
        <w:rPr>
          <w:rFonts w:hint="eastAsia" w:ascii="宋体" w:hAnsi="宋体"/>
          <w:szCs w:val="21"/>
        </w:rPr>
        <w:t>对投标货物</w:t>
      </w:r>
      <w:r>
        <w:rPr>
          <w:rFonts w:ascii="宋体" w:hAnsi="宋体"/>
          <w:szCs w:val="21"/>
        </w:rPr>
        <w:t>/服务的非关键、非主要内容的费用，如果投标供应商是另行单独报价的，评标时也相应另行计入其评标价。对投标货物/服务的非关键、非主要内容，投标供应商报价漏项的，评标委员会将以其它投标供应商对应项的最高投标报价补充计入其评标价，若其获得中标资格，该项目的中标价为其原来的</w:t>
      </w:r>
      <w:r>
        <w:rPr>
          <w:rFonts w:hint="eastAsia" w:ascii="宋体" w:hAnsi="宋体"/>
          <w:szCs w:val="21"/>
        </w:rPr>
        <w:t>开标</w:t>
      </w:r>
      <w:r>
        <w:rPr>
          <w:rFonts w:ascii="宋体" w:hAnsi="宋体"/>
          <w:szCs w:val="21"/>
        </w:rPr>
        <w:t>一览表价格，其漏项部分风险自担，视作已含在</w:t>
      </w:r>
      <w:r>
        <w:rPr>
          <w:rFonts w:hint="eastAsia" w:ascii="宋体" w:hAnsi="宋体"/>
          <w:szCs w:val="21"/>
        </w:rPr>
        <w:t>投标</w:t>
      </w:r>
      <w:r>
        <w:rPr>
          <w:rFonts w:ascii="宋体" w:hAnsi="宋体"/>
          <w:szCs w:val="21"/>
        </w:rPr>
        <w:t>报价中，并</w:t>
      </w:r>
      <w:r>
        <w:rPr>
          <w:rFonts w:hint="eastAsia" w:ascii="宋体" w:hAnsi="宋体"/>
          <w:szCs w:val="21"/>
        </w:rPr>
        <w:t>以开标</w:t>
      </w:r>
      <w:r>
        <w:rPr>
          <w:rFonts w:ascii="宋体" w:hAnsi="宋体"/>
          <w:szCs w:val="21"/>
        </w:rPr>
        <w:t>一览表价格签订合同。</w:t>
      </w:r>
    </w:p>
    <w:p>
      <w:pPr>
        <w:spacing w:line="360" w:lineRule="auto"/>
        <w:ind w:firstLine="420" w:firstLineChars="200"/>
        <w:rPr>
          <w:rFonts w:ascii="宋体" w:hAnsi="宋体"/>
          <w:szCs w:val="21"/>
        </w:rPr>
      </w:pPr>
      <w:r>
        <w:rPr>
          <w:rFonts w:hint="eastAsia" w:ascii="宋体" w:hAnsi="宋体"/>
          <w:szCs w:val="21"/>
        </w:rPr>
        <w:t>对数量的评审，以《招标需求》所明示数量为准；《招标需求》未明示的，由评标委员会以其专业知识判断，必要时参考投标供应商的澄清文件决定。</w:t>
      </w:r>
    </w:p>
    <w:p>
      <w:pPr>
        <w:spacing w:line="360" w:lineRule="auto"/>
        <w:ind w:firstLine="411" w:firstLineChars="196"/>
        <w:rPr>
          <w:rFonts w:ascii="宋体" w:hAnsi="宋体"/>
          <w:b/>
          <w:szCs w:val="21"/>
        </w:rPr>
      </w:pPr>
      <w:r>
        <w:rPr>
          <w:rFonts w:hint="eastAsia" w:ascii="宋体" w:hAnsi="宋体"/>
          <w:szCs w:val="21"/>
        </w:rPr>
        <w:t>对出现以上情况或因明显笔误而需修正任何内容时，均以评委会审定通过方为有效。按上述修正错误的方法调整后的投标报价，需由投标人加盖公章或者由法定代表人或其授权的代表签字确认。投标报价经投标人确认后产生约束力，投标人不确认的，其投标无效。</w:t>
      </w:r>
    </w:p>
    <w:p>
      <w:pPr>
        <w:snapToGrid w:val="0"/>
        <w:spacing w:line="360" w:lineRule="auto"/>
        <w:ind w:firstLine="482" w:firstLineChars="200"/>
        <w:jc w:val="center"/>
        <w:rPr>
          <w:rFonts w:ascii="宋体" w:hAnsi="宋体"/>
          <w:sz w:val="24"/>
          <w:szCs w:val="24"/>
        </w:rPr>
      </w:pPr>
      <w:r>
        <w:rPr>
          <w:rFonts w:hint="eastAsia" w:ascii="宋体" w:hAnsi="宋体"/>
          <w:b/>
          <w:sz w:val="24"/>
          <w:szCs w:val="24"/>
        </w:rPr>
        <w:t>一、价格评审表</w:t>
      </w:r>
    </w:p>
    <w:tbl>
      <w:tblPr>
        <w:tblStyle w:val="19"/>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24"/>
        <w:gridCol w:w="568"/>
        <w:gridCol w:w="7426"/>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535" w:hRule="atLeast"/>
          <w:jc w:val="center"/>
        </w:trPr>
        <w:tc>
          <w:tcPr>
            <w:tcW w:w="624" w:type="dxa"/>
            <w:vAlign w:val="center"/>
          </w:tcPr>
          <w:p>
            <w:pPr>
              <w:autoSpaceDE w:val="0"/>
              <w:autoSpaceDN w:val="0"/>
              <w:adjustRightInd w:val="0"/>
              <w:spacing w:line="276" w:lineRule="auto"/>
              <w:jc w:val="center"/>
              <w:rPr>
                <w:rFonts w:ascii="宋体" w:hAnsi="宋体" w:cs="宋体"/>
                <w:b/>
                <w:kern w:val="0"/>
                <w:szCs w:val="21"/>
              </w:rPr>
            </w:pPr>
            <w:r>
              <w:rPr>
                <w:rFonts w:hint="eastAsia" w:ascii="宋体" w:hAnsi="宋体" w:cs="宋体"/>
                <w:b/>
                <w:kern w:val="0"/>
                <w:szCs w:val="21"/>
              </w:rPr>
              <w:t>序号</w:t>
            </w:r>
          </w:p>
        </w:tc>
        <w:tc>
          <w:tcPr>
            <w:tcW w:w="568" w:type="dxa"/>
            <w:vAlign w:val="center"/>
          </w:tcPr>
          <w:p>
            <w:pPr>
              <w:autoSpaceDE w:val="0"/>
              <w:autoSpaceDN w:val="0"/>
              <w:adjustRightInd w:val="0"/>
              <w:spacing w:line="276" w:lineRule="auto"/>
              <w:jc w:val="center"/>
              <w:rPr>
                <w:rFonts w:ascii="宋体" w:hAnsi="宋体" w:cs="宋体"/>
                <w:b/>
                <w:kern w:val="0"/>
                <w:szCs w:val="21"/>
              </w:rPr>
            </w:pPr>
            <w:r>
              <w:rPr>
                <w:rFonts w:hint="eastAsia" w:ascii="宋体" w:hAnsi="宋体" w:cs="宋体"/>
                <w:b/>
                <w:kern w:val="0"/>
                <w:szCs w:val="21"/>
              </w:rPr>
              <w:t>评审项目</w:t>
            </w:r>
          </w:p>
        </w:tc>
        <w:tc>
          <w:tcPr>
            <w:tcW w:w="7426" w:type="dxa"/>
            <w:vAlign w:val="center"/>
          </w:tcPr>
          <w:p>
            <w:pPr>
              <w:autoSpaceDE w:val="0"/>
              <w:autoSpaceDN w:val="0"/>
              <w:adjustRightInd w:val="0"/>
              <w:spacing w:line="276" w:lineRule="auto"/>
              <w:jc w:val="center"/>
              <w:rPr>
                <w:rFonts w:ascii="宋体" w:hAnsi="宋体" w:cs="宋体"/>
                <w:b/>
                <w:kern w:val="0"/>
                <w:szCs w:val="21"/>
              </w:rPr>
            </w:pPr>
            <w:r>
              <w:rPr>
                <w:rFonts w:ascii="宋体" w:hAnsi="宋体"/>
                <w:b/>
                <w:szCs w:val="21"/>
              </w:rPr>
              <w:t>详细评审内容</w:t>
            </w:r>
          </w:p>
        </w:tc>
        <w:tc>
          <w:tcPr>
            <w:tcW w:w="566" w:type="dxa"/>
            <w:vAlign w:val="center"/>
          </w:tcPr>
          <w:p>
            <w:pPr>
              <w:autoSpaceDE w:val="0"/>
              <w:autoSpaceDN w:val="0"/>
              <w:adjustRightInd w:val="0"/>
              <w:spacing w:line="276" w:lineRule="auto"/>
              <w:jc w:val="center"/>
              <w:rPr>
                <w:rFonts w:ascii="宋体" w:hAnsi="宋体"/>
                <w:b/>
                <w:szCs w:val="21"/>
              </w:rPr>
            </w:pPr>
            <w:r>
              <w:rPr>
                <w:rFonts w:hint="eastAsia" w:ascii="宋体" w:hAnsi="宋体"/>
                <w:b/>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416" w:hRule="atLeast"/>
          <w:jc w:val="center"/>
        </w:trPr>
        <w:tc>
          <w:tcPr>
            <w:tcW w:w="624" w:type="dxa"/>
            <w:vAlign w:val="center"/>
          </w:tcPr>
          <w:p>
            <w:pPr>
              <w:autoSpaceDE w:val="0"/>
              <w:autoSpaceDN w:val="0"/>
              <w:adjustRightInd w:val="0"/>
              <w:spacing w:line="276" w:lineRule="auto"/>
              <w:jc w:val="center"/>
              <w:rPr>
                <w:rFonts w:ascii="宋体" w:hAnsi="宋体" w:cs="宋体"/>
                <w:kern w:val="0"/>
                <w:szCs w:val="21"/>
              </w:rPr>
            </w:pPr>
            <w:r>
              <w:rPr>
                <w:rFonts w:ascii="宋体" w:hAnsi="宋体" w:cs="宋体"/>
                <w:kern w:val="0"/>
                <w:szCs w:val="21"/>
              </w:rPr>
              <w:t>1</w:t>
            </w:r>
          </w:p>
        </w:tc>
        <w:tc>
          <w:tcPr>
            <w:tcW w:w="568" w:type="dxa"/>
            <w:vAlign w:val="center"/>
          </w:tcPr>
          <w:p>
            <w:pPr>
              <w:autoSpaceDE w:val="0"/>
              <w:autoSpaceDN w:val="0"/>
              <w:adjustRightInd w:val="0"/>
              <w:spacing w:line="276" w:lineRule="auto"/>
              <w:jc w:val="center"/>
              <w:rPr>
                <w:rFonts w:ascii="宋体" w:hAnsi="宋体" w:cs="宋体"/>
                <w:kern w:val="0"/>
                <w:szCs w:val="21"/>
              </w:rPr>
            </w:pPr>
            <w:r>
              <w:rPr>
                <w:rFonts w:hint="eastAsia" w:ascii="宋体" w:hAnsi="宋体" w:cs="宋体"/>
                <w:kern w:val="0"/>
                <w:szCs w:val="21"/>
              </w:rPr>
              <w:t>价格</w:t>
            </w:r>
          </w:p>
        </w:tc>
        <w:tc>
          <w:tcPr>
            <w:tcW w:w="7426" w:type="dxa"/>
            <w:vAlign w:val="center"/>
          </w:tcPr>
          <w:p>
            <w:pPr>
              <w:snapToGrid w:val="0"/>
              <w:spacing w:line="276" w:lineRule="auto"/>
              <w:rPr>
                <w:rFonts w:ascii="宋体" w:hAnsi="宋体"/>
                <w:b/>
                <w:szCs w:val="21"/>
              </w:rPr>
            </w:pPr>
            <w:r>
              <w:rPr>
                <w:rFonts w:hint="eastAsia" w:ascii="宋体" w:hAnsi="宋体"/>
                <w:szCs w:val="21"/>
              </w:rPr>
              <w:t>评标委员会对入围的投标人的投标价格进行修正核实得出评标价。综合评分法中的价格分统一采用低价优先法计算，即满足招标文件要求（通过</w:t>
            </w:r>
            <w:r>
              <w:rPr>
                <w:rFonts w:hint="eastAsia" w:hAnsi="宋体"/>
                <w:bCs/>
              </w:rPr>
              <w:t>资格、</w:t>
            </w:r>
            <w:r>
              <w:rPr>
                <w:rFonts w:hAnsi="宋体"/>
                <w:bCs/>
              </w:rPr>
              <w:t>符合性审查</w:t>
            </w:r>
            <w:r>
              <w:rPr>
                <w:rFonts w:hint="eastAsia" w:ascii="宋体" w:hAnsi="宋体"/>
                <w:szCs w:val="21"/>
              </w:rPr>
              <w:t>）且价格最低的有效投标报价（指修正核实后的价格，下同）为评标基准价，其价格分为满分。其他投标人的价格分统一按照下列公式计算：</w:t>
            </w:r>
          </w:p>
          <w:p>
            <w:pPr>
              <w:autoSpaceDE w:val="0"/>
              <w:autoSpaceDN w:val="0"/>
              <w:adjustRightInd w:val="0"/>
              <w:spacing w:line="276" w:lineRule="auto"/>
              <w:jc w:val="left"/>
              <w:rPr>
                <w:rFonts w:ascii="宋体" w:hAnsi="宋体"/>
                <w:szCs w:val="21"/>
              </w:rPr>
            </w:pPr>
            <w:r>
              <w:rPr>
                <w:rFonts w:hint="eastAsia" w:ascii="宋体" w:hAnsi="宋体"/>
                <w:szCs w:val="21"/>
              </w:rPr>
              <w:t>投标报价得分</w:t>
            </w:r>
            <w:r>
              <w:rPr>
                <w:rFonts w:ascii="宋体" w:hAnsi="宋体"/>
                <w:szCs w:val="21"/>
              </w:rPr>
              <w:t>=</w:t>
            </w:r>
            <w:r>
              <w:rPr>
                <w:rFonts w:hint="eastAsia" w:ascii="宋体" w:hAnsi="宋体"/>
                <w:szCs w:val="21"/>
              </w:rPr>
              <w:t>（评标基准价</w:t>
            </w:r>
            <w:r>
              <w:rPr>
                <w:rFonts w:ascii="宋体" w:hAnsi="宋体"/>
                <w:szCs w:val="21"/>
              </w:rPr>
              <w:t>/</w:t>
            </w:r>
            <w:r>
              <w:rPr>
                <w:rFonts w:hint="eastAsia" w:ascii="宋体" w:hAnsi="宋体"/>
                <w:szCs w:val="21"/>
              </w:rPr>
              <w:t>投标报价）</w:t>
            </w:r>
            <w:r>
              <w:rPr>
                <w:rFonts w:ascii="Arial" w:hAnsi="Arial" w:cs="Arial"/>
                <w:szCs w:val="21"/>
              </w:rPr>
              <w:t>×</w:t>
            </w:r>
            <w:r>
              <w:rPr>
                <w:rFonts w:hint="eastAsia" w:ascii="宋体" w:hAnsi="宋体"/>
                <w:szCs w:val="21"/>
              </w:rPr>
              <w:t>价格权重</w:t>
            </w:r>
            <w:r>
              <w:rPr>
                <w:rFonts w:ascii="Arial" w:hAnsi="Arial" w:cs="Arial"/>
                <w:szCs w:val="21"/>
              </w:rPr>
              <w:t>×</w:t>
            </w:r>
            <w:r>
              <w:rPr>
                <w:rFonts w:ascii="宋体" w:hAnsi="宋体"/>
                <w:szCs w:val="21"/>
              </w:rPr>
              <w:t>100。（精确到0.01）</w:t>
            </w:r>
            <w:r>
              <w:rPr>
                <w:rFonts w:hint="eastAsia" w:ascii="宋体" w:hAnsi="宋体"/>
                <w:szCs w:val="21"/>
              </w:rPr>
              <w:t>。</w:t>
            </w:r>
          </w:p>
          <w:p>
            <w:pPr>
              <w:autoSpaceDE w:val="0"/>
              <w:autoSpaceDN w:val="0"/>
              <w:adjustRightInd w:val="0"/>
              <w:spacing w:line="276" w:lineRule="auto"/>
              <w:ind w:firstLine="441" w:firstLineChars="210"/>
              <w:jc w:val="left"/>
              <w:rPr>
                <w:rFonts w:ascii="宋体" w:hAnsi="宋体"/>
                <w:szCs w:val="21"/>
              </w:rPr>
            </w:pPr>
            <w:r>
              <w:rPr>
                <w:rFonts w:hint="eastAsia" w:ascii="宋体" w:hAnsi="宋体"/>
                <w:szCs w:val="21"/>
              </w:rPr>
              <w:t>如符合“小型和微型企业产品价格扣除”规定的，则按扣除之后的价格作为评标价。</w:t>
            </w:r>
          </w:p>
        </w:tc>
        <w:tc>
          <w:tcPr>
            <w:tcW w:w="566" w:type="dxa"/>
            <w:vAlign w:val="center"/>
          </w:tcPr>
          <w:p>
            <w:pPr>
              <w:snapToGrid w:val="0"/>
              <w:spacing w:line="276" w:lineRule="auto"/>
              <w:jc w:val="center"/>
              <w:rPr>
                <w:rFonts w:ascii="宋体" w:hAnsi="宋体"/>
                <w:szCs w:val="21"/>
              </w:rPr>
            </w:pPr>
            <w:r>
              <w:rPr>
                <w:rFonts w:ascii="宋体" w:hAnsi="宋体"/>
                <w:b/>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Ex>
        <w:trPr>
          <w:trHeight w:val="608" w:hRule="atLeast"/>
          <w:jc w:val="center"/>
        </w:trPr>
        <w:tc>
          <w:tcPr>
            <w:tcW w:w="8618" w:type="dxa"/>
            <w:gridSpan w:val="3"/>
            <w:vAlign w:val="center"/>
          </w:tcPr>
          <w:p>
            <w:pPr>
              <w:snapToGrid w:val="0"/>
              <w:spacing w:line="276" w:lineRule="auto"/>
              <w:ind w:firstLine="443" w:firstLineChars="210"/>
              <w:jc w:val="center"/>
              <w:rPr>
                <w:rFonts w:ascii="宋体" w:hAnsi="宋体"/>
                <w:b/>
                <w:szCs w:val="21"/>
              </w:rPr>
            </w:pPr>
            <w:r>
              <w:rPr>
                <w:rFonts w:hint="eastAsia" w:ascii="宋体" w:hAnsi="宋体"/>
                <w:b/>
                <w:szCs w:val="21"/>
              </w:rPr>
              <w:t>合计</w:t>
            </w:r>
          </w:p>
        </w:tc>
        <w:tc>
          <w:tcPr>
            <w:tcW w:w="566" w:type="dxa"/>
            <w:vAlign w:val="center"/>
          </w:tcPr>
          <w:p>
            <w:pPr>
              <w:snapToGrid w:val="0"/>
              <w:spacing w:line="276" w:lineRule="auto"/>
              <w:jc w:val="center"/>
              <w:rPr>
                <w:rFonts w:ascii="宋体" w:hAnsi="宋体"/>
                <w:b/>
                <w:szCs w:val="21"/>
              </w:rPr>
            </w:pPr>
            <w:r>
              <w:rPr>
                <w:rFonts w:ascii="宋体" w:hAnsi="宋体"/>
                <w:b/>
                <w:szCs w:val="21"/>
              </w:rPr>
              <w:t>30分</w:t>
            </w:r>
          </w:p>
        </w:tc>
      </w:tr>
    </w:tbl>
    <w:p>
      <w:pPr>
        <w:numPr>
          <w:ilvl w:val="0"/>
          <w:numId w:val="6"/>
        </w:numPr>
        <w:tabs>
          <w:tab w:val="left" w:pos="540"/>
        </w:tabs>
        <w:spacing w:line="400" w:lineRule="exact"/>
        <w:ind w:left="540" w:hanging="360"/>
        <w:rPr>
          <w:rFonts w:ascii="宋体" w:hAnsi="宋体"/>
          <w:szCs w:val="21"/>
        </w:rPr>
      </w:pPr>
      <w:r>
        <w:br w:type="page"/>
      </w:r>
    </w:p>
    <w:p>
      <w:pPr>
        <w:pStyle w:val="2"/>
        <w:numPr>
          <w:ilvl w:val="255"/>
          <w:numId w:val="0"/>
        </w:numPr>
        <w:spacing w:before="62" w:after="62"/>
        <w:jc w:val="center"/>
        <w:rPr>
          <w:rFonts w:eastAsia="宋体"/>
          <w:color w:val="auto"/>
          <w:kern w:val="2"/>
          <w:sz w:val="24"/>
          <w:szCs w:val="24"/>
        </w:rPr>
      </w:pPr>
      <w:bookmarkStart w:id="6" w:name="_Toc2238427"/>
      <w:r>
        <w:rPr>
          <w:rFonts w:hint="eastAsia" w:eastAsia="宋体"/>
          <w:color w:val="auto"/>
          <w:kern w:val="2"/>
          <w:sz w:val="24"/>
          <w:szCs w:val="24"/>
        </w:rPr>
        <w:t>二、技术评审表</w:t>
      </w:r>
      <w:bookmarkEnd w:id="6"/>
    </w:p>
    <w:tbl>
      <w:tblPr>
        <w:tblStyle w:val="19"/>
        <w:tblW w:w="906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4"/>
        <w:gridCol w:w="992"/>
        <w:gridCol w:w="6853"/>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9" w:hRule="atLeast"/>
          <w:jc w:val="center"/>
        </w:trPr>
        <w:tc>
          <w:tcPr>
            <w:tcW w:w="514" w:type="dxa"/>
            <w:vAlign w:val="center"/>
          </w:tcPr>
          <w:p>
            <w:pPr>
              <w:snapToGrid w:val="0"/>
              <w:spacing w:line="276" w:lineRule="auto"/>
              <w:jc w:val="center"/>
              <w:rPr>
                <w:rFonts w:ascii="宋体" w:hAnsi="宋体"/>
                <w:szCs w:val="21"/>
              </w:rPr>
            </w:pPr>
            <w:r>
              <w:rPr>
                <w:rFonts w:hint="eastAsia" w:ascii="宋体" w:hAnsi="宋体"/>
                <w:szCs w:val="21"/>
              </w:rPr>
              <w:t>序号</w:t>
            </w:r>
          </w:p>
        </w:tc>
        <w:tc>
          <w:tcPr>
            <w:tcW w:w="992" w:type="dxa"/>
            <w:vAlign w:val="center"/>
          </w:tcPr>
          <w:p>
            <w:pPr>
              <w:snapToGrid w:val="0"/>
              <w:spacing w:line="276" w:lineRule="auto"/>
              <w:jc w:val="center"/>
              <w:rPr>
                <w:rFonts w:ascii="宋体" w:hAnsi="宋体"/>
                <w:szCs w:val="21"/>
              </w:rPr>
            </w:pPr>
            <w:r>
              <w:rPr>
                <w:rFonts w:hint="eastAsia" w:ascii="宋体" w:hAnsi="宋体"/>
                <w:szCs w:val="21"/>
              </w:rPr>
              <w:t>评审项目</w:t>
            </w:r>
          </w:p>
        </w:tc>
        <w:tc>
          <w:tcPr>
            <w:tcW w:w="6853" w:type="dxa"/>
            <w:vAlign w:val="center"/>
          </w:tcPr>
          <w:p>
            <w:pPr>
              <w:snapToGrid w:val="0"/>
              <w:spacing w:line="276" w:lineRule="auto"/>
              <w:jc w:val="center"/>
              <w:rPr>
                <w:rFonts w:ascii="宋体" w:hAnsi="宋体"/>
                <w:szCs w:val="21"/>
              </w:rPr>
            </w:pPr>
            <w:r>
              <w:rPr>
                <w:rFonts w:hint="eastAsia" w:ascii="宋体" w:hAnsi="宋体"/>
                <w:szCs w:val="21"/>
              </w:rPr>
              <w:t>评分细则</w:t>
            </w:r>
          </w:p>
        </w:tc>
        <w:tc>
          <w:tcPr>
            <w:tcW w:w="708" w:type="dxa"/>
            <w:vAlign w:val="center"/>
          </w:tcPr>
          <w:p>
            <w:pPr>
              <w:snapToGrid w:val="0"/>
              <w:spacing w:line="276" w:lineRule="auto"/>
              <w:jc w:val="center"/>
              <w:rPr>
                <w:rFonts w:ascii="宋体" w:hAnsi="宋体"/>
                <w:szCs w:val="21"/>
              </w:rPr>
            </w:pPr>
            <w:r>
              <w:rPr>
                <w:rFonts w:hint="eastAsia" w:ascii="宋体" w:hAnsi="宋体"/>
                <w:szCs w:val="21"/>
              </w:rPr>
              <w:t>单项分数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1" w:hRule="atLeast"/>
          <w:jc w:val="center"/>
        </w:trPr>
        <w:tc>
          <w:tcPr>
            <w:tcW w:w="514" w:type="dxa"/>
            <w:vAlign w:val="center"/>
          </w:tcPr>
          <w:p>
            <w:pPr>
              <w:snapToGrid w:val="0"/>
              <w:spacing w:line="276" w:lineRule="auto"/>
              <w:jc w:val="center"/>
              <w:rPr>
                <w:rFonts w:ascii="宋体" w:hAnsi="宋体"/>
                <w:szCs w:val="21"/>
              </w:rPr>
            </w:pPr>
            <w:r>
              <w:rPr>
                <w:rFonts w:ascii="宋体" w:hAnsi="宋体"/>
                <w:szCs w:val="21"/>
              </w:rPr>
              <w:t>1</w:t>
            </w:r>
          </w:p>
        </w:tc>
        <w:tc>
          <w:tcPr>
            <w:tcW w:w="992" w:type="dxa"/>
            <w:vAlign w:val="center"/>
          </w:tcPr>
          <w:p>
            <w:pPr>
              <w:snapToGrid w:val="0"/>
              <w:spacing w:line="276" w:lineRule="auto"/>
              <w:jc w:val="center"/>
              <w:rPr>
                <w:rFonts w:ascii="宋体" w:hAnsi="宋体" w:cs="宋体"/>
                <w:szCs w:val="21"/>
              </w:rPr>
            </w:pPr>
            <w:r>
              <w:rPr>
                <w:rFonts w:hint="eastAsia" w:ascii="宋体" w:hAnsi="宋体"/>
                <w:szCs w:val="21"/>
              </w:rPr>
              <w:t>技术响应程度</w:t>
            </w:r>
          </w:p>
        </w:tc>
        <w:tc>
          <w:tcPr>
            <w:tcW w:w="6853" w:type="dxa"/>
            <w:vAlign w:val="center"/>
          </w:tcPr>
          <w:p>
            <w:pPr>
              <w:snapToGrid w:val="0"/>
              <w:spacing w:line="276" w:lineRule="auto"/>
              <w:jc w:val="left"/>
              <w:rPr>
                <w:rFonts w:ascii="宋体" w:hAnsi="宋体"/>
                <w:szCs w:val="21"/>
              </w:rPr>
            </w:pPr>
            <w:r>
              <w:rPr>
                <w:rFonts w:hint="eastAsia" w:ascii="宋体" w:hAnsi="宋体"/>
                <w:szCs w:val="21"/>
              </w:rPr>
              <w:t>完全响应或优于技术参数要求的得</w:t>
            </w:r>
            <w:r>
              <w:rPr>
                <w:rFonts w:ascii="宋体" w:hAnsi="宋体"/>
                <w:szCs w:val="21"/>
              </w:rPr>
              <w:t>3</w:t>
            </w:r>
            <w:r>
              <w:rPr>
                <w:rFonts w:hint="eastAsia" w:ascii="宋体" w:hAnsi="宋体"/>
                <w:szCs w:val="21"/>
              </w:rPr>
              <w:t>6分；每有</w:t>
            </w:r>
            <w:r>
              <w:rPr>
                <w:rFonts w:hint="eastAsia" w:ascii="宋体" w:hAnsi="宋体" w:cs="Arial"/>
                <w:kern w:val="0"/>
                <w:szCs w:val="21"/>
              </w:rPr>
              <w:t>一项▲号</w:t>
            </w:r>
            <w:r>
              <w:rPr>
                <w:rFonts w:hint="eastAsia" w:ascii="宋体" w:hAnsi="宋体" w:cs="宋体"/>
                <w:szCs w:val="21"/>
              </w:rPr>
              <w:t>要求</w:t>
            </w:r>
            <w:r>
              <w:rPr>
                <w:rFonts w:hint="eastAsia" w:ascii="宋体" w:hAnsi="宋体" w:cs="Arial"/>
                <w:kern w:val="0"/>
                <w:szCs w:val="21"/>
              </w:rPr>
              <w:t>不满足扣</w:t>
            </w:r>
            <w:r>
              <w:rPr>
                <w:rFonts w:ascii="宋体" w:hAnsi="宋体" w:cs="Arial"/>
                <w:kern w:val="0"/>
                <w:szCs w:val="21"/>
              </w:rPr>
              <w:t>3</w:t>
            </w:r>
            <w:r>
              <w:rPr>
                <w:rFonts w:hint="eastAsia" w:ascii="宋体" w:hAnsi="宋体" w:cs="Arial"/>
                <w:kern w:val="0"/>
                <w:szCs w:val="21"/>
              </w:rPr>
              <w:t>分，每有一项其他要求不满足扣</w:t>
            </w:r>
            <w:r>
              <w:rPr>
                <w:rFonts w:ascii="宋体" w:hAnsi="宋体" w:cs="Arial"/>
                <w:kern w:val="0"/>
                <w:szCs w:val="21"/>
              </w:rPr>
              <w:t>2</w:t>
            </w:r>
            <w:r>
              <w:rPr>
                <w:rFonts w:hint="eastAsia" w:ascii="宋体" w:hAnsi="宋体" w:cs="Arial"/>
                <w:kern w:val="0"/>
                <w:szCs w:val="21"/>
              </w:rPr>
              <w:t>分，扣完为止。</w:t>
            </w:r>
          </w:p>
          <w:p>
            <w:pPr>
              <w:snapToGrid w:val="0"/>
              <w:spacing w:line="276" w:lineRule="auto"/>
              <w:jc w:val="left"/>
              <w:rPr>
                <w:rFonts w:ascii="宋体" w:hAnsi="宋体"/>
                <w:szCs w:val="21"/>
              </w:rPr>
            </w:pPr>
            <w:r>
              <w:rPr>
                <w:rFonts w:hint="eastAsia" w:ascii="宋体" w:hAnsi="宋体"/>
                <w:szCs w:val="21"/>
              </w:rPr>
              <w:t>注：</w:t>
            </w:r>
          </w:p>
          <w:p>
            <w:pPr>
              <w:snapToGrid w:val="0"/>
              <w:spacing w:line="276" w:lineRule="auto"/>
              <w:jc w:val="left"/>
              <w:rPr>
                <w:rFonts w:ascii="宋体" w:hAnsi="宋体"/>
                <w:szCs w:val="21"/>
              </w:rPr>
            </w:pPr>
            <w:r>
              <w:rPr>
                <w:rFonts w:hint="eastAsia" w:ascii="宋体" w:hAnsi="宋体"/>
                <w:szCs w:val="21"/>
              </w:rPr>
              <w:t>需提供制造商公开发布的印刷资料或检测机构出具的检测报告证明材料，如招标文件中有其他要求的则从其要求；不响应不得分。</w:t>
            </w:r>
          </w:p>
        </w:tc>
        <w:tc>
          <w:tcPr>
            <w:tcW w:w="708" w:type="dxa"/>
            <w:vAlign w:val="center"/>
          </w:tcPr>
          <w:p>
            <w:pPr>
              <w:snapToGrid w:val="0"/>
              <w:spacing w:line="276" w:lineRule="auto"/>
              <w:jc w:val="center"/>
              <w:rPr>
                <w:rFonts w:ascii="宋体" w:hAnsi="宋体" w:cs="宋体"/>
                <w:szCs w:val="21"/>
              </w:rPr>
            </w:pPr>
            <w:r>
              <w:rPr>
                <w:rFonts w:ascii="宋体" w:hAnsi="宋体" w:cs="宋体"/>
                <w:szCs w:val="21"/>
              </w:rPr>
              <w:t>3</w:t>
            </w:r>
            <w:r>
              <w:rPr>
                <w:rFonts w:hint="eastAsia" w:ascii="宋体" w:hAnsi="宋体" w:cs="宋体"/>
                <w:szCs w:val="21"/>
              </w:rPr>
              <w:t>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88" w:hRule="atLeast"/>
          <w:jc w:val="center"/>
        </w:trPr>
        <w:tc>
          <w:tcPr>
            <w:tcW w:w="514" w:type="dxa"/>
            <w:vAlign w:val="center"/>
          </w:tcPr>
          <w:p>
            <w:pPr>
              <w:snapToGrid w:val="0"/>
              <w:spacing w:line="276" w:lineRule="auto"/>
              <w:jc w:val="center"/>
              <w:rPr>
                <w:rFonts w:ascii="宋体" w:hAnsi="宋体"/>
                <w:szCs w:val="21"/>
              </w:rPr>
            </w:pPr>
            <w:r>
              <w:rPr>
                <w:rFonts w:ascii="宋体" w:hAnsi="宋体"/>
                <w:szCs w:val="21"/>
              </w:rPr>
              <w:t>2</w:t>
            </w:r>
          </w:p>
        </w:tc>
        <w:tc>
          <w:tcPr>
            <w:tcW w:w="992" w:type="dxa"/>
            <w:vAlign w:val="center"/>
          </w:tcPr>
          <w:p>
            <w:pPr>
              <w:snapToGrid w:val="0"/>
              <w:spacing w:line="276" w:lineRule="auto"/>
              <w:jc w:val="center"/>
              <w:rPr>
                <w:rFonts w:ascii="宋体" w:hAnsi="宋体" w:cs="宋体"/>
                <w:szCs w:val="21"/>
              </w:rPr>
            </w:pPr>
            <w:r>
              <w:rPr>
                <w:rFonts w:hint="eastAsia" w:ascii="宋体" w:hAnsi="宋体"/>
                <w:szCs w:val="21"/>
              </w:rPr>
              <w:t>实施技术方案</w:t>
            </w:r>
          </w:p>
        </w:tc>
        <w:tc>
          <w:tcPr>
            <w:tcW w:w="6853" w:type="dxa"/>
            <w:vAlign w:val="center"/>
          </w:tcPr>
          <w:p>
            <w:pPr>
              <w:snapToGrid w:val="0"/>
              <w:spacing w:line="276" w:lineRule="auto"/>
              <w:jc w:val="left"/>
              <w:rPr>
                <w:rFonts w:ascii="宋体" w:hAnsi="宋体"/>
                <w:szCs w:val="21"/>
              </w:rPr>
            </w:pPr>
            <w:r>
              <w:rPr>
                <w:rFonts w:hint="eastAsia" w:ascii="宋体" w:hAnsi="宋体"/>
                <w:szCs w:val="21"/>
              </w:rPr>
              <w:t>根据各投标人制定的方案（包括但不限于组织计划、时间进度、质量保障、验收方案等）进行综合评审：</w:t>
            </w:r>
          </w:p>
          <w:p>
            <w:pPr>
              <w:snapToGrid w:val="0"/>
              <w:spacing w:line="276" w:lineRule="auto"/>
              <w:jc w:val="left"/>
              <w:rPr>
                <w:rFonts w:ascii="宋体" w:hAnsi="宋体"/>
                <w:szCs w:val="21"/>
              </w:rPr>
            </w:pPr>
            <w:r>
              <w:rPr>
                <w:rFonts w:ascii="宋体" w:hAnsi="宋体"/>
                <w:szCs w:val="21"/>
              </w:rPr>
              <w:t>1.方案详细完善，时间进度快，可行性高，得</w:t>
            </w:r>
            <w:r>
              <w:rPr>
                <w:rFonts w:hint="eastAsia" w:ascii="宋体" w:hAnsi="宋体"/>
                <w:szCs w:val="21"/>
              </w:rPr>
              <w:t>5分；</w:t>
            </w:r>
          </w:p>
          <w:p>
            <w:pPr>
              <w:snapToGrid w:val="0"/>
              <w:spacing w:line="276" w:lineRule="auto"/>
              <w:jc w:val="left"/>
              <w:rPr>
                <w:rFonts w:ascii="宋体" w:hAnsi="宋体"/>
                <w:szCs w:val="21"/>
              </w:rPr>
            </w:pPr>
            <w:r>
              <w:rPr>
                <w:rFonts w:ascii="宋体" w:hAnsi="宋体"/>
                <w:szCs w:val="21"/>
              </w:rPr>
              <w:t>2.方案详细，相对完善，基本可行，得</w:t>
            </w:r>
            <w:r>
              <w:rPr>
                <w:rFonts w:hint="eastAsia" w:ascii="宋体" w:hAnsi="宋体"/>
                <w:szCs w:val="21"/>
              </w:rPr>
              <w:t>3分；</w:t>
            </w:r>
          </w:p>
          <w:p>
            <w:pPr>
              <w:snapToGrid w:val="0"/>
              <w:spacing w:line="276" w:lineRule="auto"/>
              <w:jc w:val="left"/>
              <w:rPr>
                <w:rFonts w:ascii="宋体" w:hAnsi="宋体"/>
                <w:szCs w:val="21"/>
              </w:rPr>
            </w:pPr>
            <w:r>
              <w:rPr>
                <w:rFonts w:ascii="宋体" w:hAnsi="宋体"/>
                <w:szCs w:val="21"/>
              </w:rPr>
              <w:t>3.方案</w:t>
            </w:r>
            <w:r>
              <w:rPr>
                <w:rFonts w:hint="eastAsia" w:ascii="宋体" w:hAnsi="宋体"/>
                <w:szCs w:val="21"/>
              </w:rPr>
              <w:t>较详细</w:t>
            </w:r>
            <w:r>
              <w:rPr>
                <w:rFonts w:ascii="宋体" w:hAnsi="宋体"/>
                <w:szCs w:val="21"/>
              </w:rPr>
              <w:t>，基本可行，得</w:t>
            </w:r>
            <w:r>
              <w:rPr>
                <w:rFonts w:hint="eastAsia" w:ascii="宋体" w:hAnsi="宋体"/>
                <w:szCs w:val="21"/>
              </w:rPr>
              <w:t>2分；</w:t>
            </w:r>
          </w:p>
          <w:p>
            <w:pPr>
              <w:snapToGrid w:val="0"/>
              <w:spacing w:line="276" w:lineRule="auto"/>
              <w:jc w:val="left"/>
              <w:rPr>
                <w:rFonts w:ascii="宋体" w:hAnsi="宋体"/>
                <w:szCs w:val="21"/>
              </w:rPr>
            </w:pPr>
            <w:r>
              <w:rPr>
                <w:rFonts w:ascii="宋体" w:hAnsi="宋体"/>
                <w:szCs w:val="21"/>
              </w:rPr>
              <w:t>4.方案简单不完善，得1分。</w:t>
            </w:r>
          </w:p>
          <w:p>
            <w:pPr>
              <w:snapToGrid w:val="0"/>
              <w:spacing w:line="276" w:lineRule="auto"/>
              <w:jc w:val="left"/>
              <w:rPr>
                <w:rFonts w:ascii="宋体" w:hAnsi="宋体"/>
                <w:szCs w:val="21"/>
              </w:rPr>
            </w:pPr>
            <w:r>
              <w:rPr>
                <w:rFonts w:hint="eastAsia" w:ascii="宋体" w:hAnsi="宋体"/>
                <w:szCs w:val="21"/>
              </w:rPr>
              <w:t>不提供不得分。</w:t>
            </w:r>
          </w:p>
        </w:tc>
        <w:tc>
          <w:tcPr>
            <w:tcW w:w="708" w:type="dxa"/>
            <w:vAlign w:val="center"/>
          </w:tcPr>
          <w:p>
            <w:pPr>
              <w:snapToGrid w:val="0"/>
              <w:spacing w:line="276" w:lineRule="auto"/>
              <w:jc w:val="center"/>
              <w:rPr>
                <w:rFonts w:ascii="宋体" w:hAnsi="宋体" w:cs="宋体"/>
                <w:szCs w:val="21"/>
              </w:rPr>
            </w:pPr>
            <w:r>
              <w:rPr>
                <w:rFonts w:hint="eastAsia" w:ascii="宋体" w:hAnsi="宋体" w:cs="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jc w:val="center"/>
        </w:trPr>
        <w:tc>
          <w:tcPr>
            <w:tcW w:w="514" w:type="dxa"/>
            <w:vAlign w:val="center"/>
          </w:tcPr>
          <w:p>
            <w:pPr>
              <w:snapToGrid w:val="0"/>
              <w:spacing w:line="276" w:lineRule="auto"/>
              <w:jc w:val="center"/>
              <w:rPr>
                <w:rFonts w:ascii="宋体" w:hAnsi="宋体"/>
                <w:szCs w:val="21"/>
              </w:rPr>
            </w:pPr>
            <w:r>
              <w:rPr>
                <w:rFonts w:ascii="宋体" w:hAnsi="宋体"/>
                <w:szCs w:val="21"/>
              </w:rPr>
              <w:t>3</w:t>
            </w:r>
          </w:p>
        </w:tc>
        <w:tc>
          <w:tcPr>
            <w:tcW w:w="992" w:type="dxa"/>
            <w:vAlign w:val="center"/>
          </w:tcPr>
          <w:p>
            <w:pPr>
              <w:snapToGrid w:val="0"/>
              <w:spacing w:line="276" w:lineRule="auto"/>
              <w:jc w:val="center"/>
              <w:rPr>
                <w:rFonts w:ascii="宋体" w:hAnsi="宋体" w:cs="宋体"/>
                <w:szCs w:val="21"/>
              </w:rPr>
            </w:pPr>
            <w:r>
              <w:rPr>
                <w:rFonts w:hint="eastAsia" w:ascii="宋体" w:hAnsi="宋体"/>
                <w:szCs w:val="21"/>
              </w:rPr>
              <w:t>技术先进性</w:t>
            </w:r>
          </w:p>
        </w:tc>
        <w:tc>
          <w:tcPr>
            <w:tcW w:w="6853" w:type="dxa"/>
            <w:vAlign w:val="center"/>
          </w:tcPr>
          <w:p>
            <w:pPr>
              <w:snapToGrid w:val="0"/>
              <w:spacing w:line="276" w:lineRule="auto"/>
              <w:jc w:val="left"/>
              <w:rPr>
                <w:rFonts w:ascii="宋体" w:hAnsi="宋体"/>
                <w:szCs w:val="21"/>
              </w:rPr>
            </w:pPr>
            <w:r>
              <w:rPr>
                <w:rFonts w:hint="eastAsia" w:ascii="宋体" w:hAnsi="宋体"/>
                <w:szCs w:val="21"/>
              </w:rPr>
              <w:t>对各投标人所投产品的技术水平、技术性能、配置先进性、稳定性、可维护性等进行综合评审：</w:t>
            </w:r>
          </w:p>
          <w:p>
            <w:pPr>
              <w:snapToGrid w:val="0"/>
              <w:spacing w:line="276" w:lineRule="auto"/>
              <w:jc w:val="left"/>
              <w:rPr>
                <w:rFonts w:ascii="宋体" w:hAnsi="宋体"/>
                <w:szCs w:val="21"/>
              </w:rPr>
            </w:pPr>
            <w:r>
              <w:rPr>
                <w:rFonts w:ascii="宋体" w:hAnsi="宋体"/>
                <w:szCs w:val="21"/>
              </w:rPr>
              <w:t>1.技术性能良好，所投产品整机工艺精良，关键部件匹配性高，得</w:t>
            </w:r>
            <w:r>
              <w:rPr>
                <w:rFonts w:hint="eastAsia" w:ascii="宋体" w:hAnsi="宋体"/>
                <w:szCs w:val="21"/>
              </w:rPr>
              <w:t>5分；</w:t>
            </w:r>
          </w:p>
          <w:p>
            <w:pPr>
              <w:snapToGrid w:val="0"/>
              <w:spacing w:line="276" w:lineRule="auto"/>
              <w:jc w:val="left"/>
              <w:rPr>
                <w:rFonts w:ascii="宋体" w:hAnsi="宋体"/>
                <w:szCs w:val="21"/>
              </w:rPr>
            </w:pPr>
            <w:r>
              <w:rPr>
                <w:rFonts w:ascii="宋体" w:hAnsi="宋体"/>
                <w:szCs w:val="21"/>
              </w:rPr>
              <w:t>2.性能良好，所投产品整机工艺良好，关键部件匹配性良好，得</w:t>
            </w:r>
            <w:r>
              <w:rPr>
                <w:rFonts w:hint="eastAsia" w:ascii="宋体" w:hAnsi="宋体"/>
                <w:szCs w:val="21"/>
              </w:rPr>
              <w:t>3分；</w:t>
            </w:r>
          </w:p>
          <w:p>
            <w:pPr>
              <w:snapToGrid w:val="0"/>
              <w:spacing w:line="276" w:lineRule="auto"/>
              <w:jc w:val="left"/>
              <w:rPr>
                <w:rFonts w:ascii="宋体" w:hAnsi="宋体"/>
                <w:szCs w:val="21"/>
              </w:rPr>
            </w:pPr>
            <w:r>
              <w:rPr>
                <w:rFonts w:ascii="宋体" w:hAnsi="宋体"/>
                <w:szCs w:val="21"/>
              </w:rPr>
              <w:t>3.性能一般，所投产品整机工艺一般，关键部件匹配性一般，得2分；</w:t>
            </w:r>
          </w:p>
          <w:p>
            <w:pPr>
              <w:snapToGrid w:val="0"/>
              <w:spacing w:line="276" w:lineRule="auto"/>
              <w:jc w:val="left"/>
              <w:rPr>
                <w:rFonts w:ascii="宋体" w:hAnsi="宋体"/>
                <w:szCs w:val="21"/>
              </w:rPr>
            </w:pPr>
            <w:r>
              <w:rPr>
                <w:rFonts w:ascii="宋体" w:hAnsi="宋体"/>
                <w:szCs w:val="21"/>
              </w:rPr>
              <w:t>4.性能较差，所投产品整机工艺粗糙，关键部件基本不匹配，得1分。</w:t>
            </w:r>
          </w:p>
          <w:p>
            <w:pPr>
              <w:snapToGrid w:val="0"/>
              <w:spacing w:line="276" w:lineRule="auto"/>
              <w:jc w:val="left"/>
              <w:rPr>
                <w:rFonts w:ascii="宋体" w:hAnsi="宋体"/>
                <w:szCs w:val="21"/>
              </w:rPr>
            </w:pPr>
            <w:r>
              <w:rPr>
                <w:rFonts w:hint="eastAsia" w:ascii="宋体" w:hAnsi="宋体"/>
                <w:szCs w:val="21"/>
              </w:rPr>
              <w:t>不提供不得分。</w:t>
            </w:r>
          </w:p>
        </w:tc>
        <w:tc>
          <w:tcPr>
            <w:tcW w:w="708" w:type="dxa"/>
            <w:vAlign w:val="center"/>
          </w:tcPr>
          <w:p>
            <w:pPr>
              <w:snapToGrid w:val="0"/>
              <w:spacing w:line="276" w:lineRule="auto"/>
              <w:jc w:val="center"/>
              <w:rPr>
                <w:rFonts w:ascii="宋体" w:hAnsi="宋体" w:cs="宋体"/>
                <w:szCs w:val="21"/>
              </w:rPr>
            </w:pPr>
            <w:r>
              <w:rPr>
                <w:rFonts w:hint="eastAsia" w:ascii="宋体" w:hAnsi="宋体" w:cs="宋体"/>
                <w:szCs w:val="21"/>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4" w:hRule="atLeast"/>
          <w:jc w:val="center"/>
        </w:trPr>
        <w:tc>
          <w:tcPr>
            <w:tcW w:w="514" w:type="dxa"/>
            <w:vAlign w:val="center"/>
          </w:tcPr>
          <w:p>
            <w:pPr>
              <w:snapToGrid w:val="0"/>
              <w:spacing w:line="276" w:lineRule="auto"/>
              <w:jc w:val="center"/>
              <w:rPr>
                <w:rFonts w:ascii="宋体" w:hAnsi="宋体"/>
                <w:szCs w:val="21"/>
              </w:rPr>
            </w:pPr>
            <w:r>
              <w:rPr>
                <w:rFonts w:ascii="宋体" w:hAnsi="宋体"/>
                <w:szCs w:val="21"/>
              </w:rPr>
              <w:t>4</w:t>
            </w:r>
          </w:p>
        </w:tc>
        <w:tc>
          <w:tcPr>
            <w:tcW w:w="992" w:type="dxa"/>
            <w:vAlign w:val="center"/>
          </w:tcPr>
          <w:p>
            <w:pPr>
              <w:snapToGrid w:val="0"/>
              <w:spacing w:line="276" w:lineRule="auto"/>
              <w:jc w:val="center"/>
              <w:rPr>
                <w:rFonts w:ascii="宋体" w:hAnsi="宋体"/>
                <w:szCs w:val="21"/>
              </w:rPr>
            </w:pPr>
            <w:r>
              <w:rPr>
                <w:rFonts w:hint="eastAsia" w:ascii="宋体" w:hAnsi="宋体"/>
                <w:szCs w:val="21"/>
              </w:rPr>
              <w:t>技术支持服务</w:t>
            </w:r>
          </w:p>
        </w:tc>
        <w:tc>
          <w:tcPr>
            <w:tcW w:w="6853" w:type="dxa"/>
            <w:vAlign w:val="center"/>
          </w:tcPr>
          <w:p>
            <w:pPr>
              <w:snapToGrid w:val="0"/>
              <w:spacing w:line="276" w:lineRule="auto"/>
              <w:jc w:val="left"/>
              <w:rPr>
                <w:rFonts w:ascii="宋体" w:hAnsi="宋体"/>
                <w:szCs w:val="21"/>
              </w:rPr>
            </w:pPr>
            <w:r>
              <w:rPr>
                <w:rFonts w:hint="eastAsia" w:ascii="宋体" w:hAnsi="宋体"/>
                <w:szCs w:val="21"/>
              </w:rPr>
              <w:t>对各投标人提供的服务人员的资质、备件响应、维修响应时间及到达现场解决故障时间应急方案等进行综合评审：</w:t>
            </w:r>
          </w:p>
          <w:p>
            <w:pPr>
              <w:snapToGrid w:val="0"/>
              <w:spacing w:line="276" w:lineRule="auto"/>
              <w:jc w:val="left"/>
              <w:rPr>
                <w:rFonts w:ascii="宋体" w:hAnsi="宋体"/>
                <w:szCs w:val="21"/>
              </w:rPr>
            </w:pPr>
            <w:r>
              <w:rPr>
                <w:rFonts w:ascii="宋体" w:hAnsi="宋体"/>
                <w:szCs w:val="21"/>
              </w:rPr>
              <w:t>1.服务人员的资质、备件响应、维修响应时间及到达现场解决故障时间应急方案</w:t>
            </w:r>
            <w:r>
              <w:rPr>
                <w:rFonts w:hint="eastAsia" w:ascii="宋体" w:hAnsi="宋体"/>
                <w:szCs w:val="21"/>
              </w:rPr>
              <w:t>详细</w:t>
            </w:r>
            <w:r>
              <w:rPr>
                <w:rFonts w:ascii="宋体" w:hAnsi="宋体"/>
                <w:szCs w:val="21"/>
              </w:rPr>
              <w:t>完善，与项目实际情况相符，得</w:t>
            </w:r>
            <w:r>
              <w:rPr>
                <w:rFonts w:hint="eastAsia" w:ascii="宋体" w:hAnsi="宋体"/>
                <w:szCs w:val="21"/>
              </w:rPr>
              <w:t>4分；</w:t>
            </w:r>
          </w:p>
          <w:p>
            <w:pPr>
              <w:snapToGrid w:val="0"/>
              <w:spacing w:line="276" w:lineRule="auto"/>
              <w:jc w:val="left"/>
              <w:rPr>
                <w:rFonts w:ascii="宋体" w:hAnsi="宋体"/>
                <w:szCs w:val="21"/>
              </w:rPr>
            </w:pPr>
            <w:r>
              <w:rPr>
                <w:rFonts w:ascii="宋体" w:hAnsi="宋体"/>
                <w:szCs w:val="21"/>
              </w:rPr>
              <w:t>2.服务人员的资质、备件响应、维修响应时间及到达现场解决故障时间应急方案</w:t>
            </w:r>
            <w:r>
              <w:rPr>
                <w:rFonts w:hint="eastAsia" w:ascii="宋体" w:hAnsi="宋体"/>
                <w:szCs w:val="21"/>
              </w:rPr>
              <w:t>较</w:t>
            </w:r>
            <w:r>
              <w:rPr>
                <w:rFonts w:ascii="宋体" w:hAnsi="宋体"/>
                <w:szCs w:val="21"/>
              </w:rPr>
              <w:t>详细完善，与本项目实际情况基本相符，得3</w:t>
            </w:r>
            <w:r>
              <w:rPr>
                <w:rFonts w:hint="eastAsia" w:ascii="宋体" w:hAnsi="宋体"/>
                <w:szCs w:val="21"/>
              </w:rPr>
              <w:t>分；</w:t>
            </w:r>
          </w:p>
          <w:p>
            <w:pPr>
              <w:snapToGrid w:val="0"/>
              <w:spacing w:line="276" w:lineRule="auto"/>
              <w:jc w:val="left"/>
              <w:rPr>
                <w:rFonts w:ascii="宋体" w:hAnsi="宋体"/>
                <w:szCs w:val="21"/>
              </w:rPr>
            </w:pPr>
            <w:r>
              <w:rPr>
                <w:rFonts w:ascii="宋体" w:hAnsi="宋体"/>
                <w:szCs w:val="21"/>
              </w:rPr>
              <w:t>3.服务人员的资质、备件响应、维修响应时间及到达现场解决故障时间应急方案一般与本项目实际情况不太相符，得1分。</w:t>
            </w:r>
          </w:p>
          <w:p>
            <w:pPr>
              <w:snapToGrid w:val="0"/>
              <w:spacing w:line="276" w:lineRule="auto"/>
              <w:jc w:val="left"/>
              <w:rPr>
                <w:rFonts w:ascii="宋体" w:hAnsi="宋体"/>
                <w:szCs w:val="21"/>
              </w:rPr>
            </w:pPr>
            <w:r>
              <w:rPr>
                <w:rFonts w:hint="eastAsia" w:ascii="宋体" w:hAnsi="宋体"/>
                <w:szCs w:val="21"/>
              </w:rPr>
              <w:t>不提供不得分。</w:t>
            </w:r>
          </w:p>
        </w:tc>
        <w:tc>
          <w:tcPr>
            <w:tcW w:w="708" w:type="dxa"/>
            <w:vAlign w:val="center"/>
          </w:tcPr>
          <w:p>
            <w:pPr>
              <w:snapToGrid w:val="0"/>
              <w:spacing w:line="276" w:lineRule="auto"/>
              <w:jc w:val="center"/>
              <w:rPr>
                <w:rFonts w:ascii="宋体" w:hAnsi="宋体"/>
                <w:szCs w:val="21"/>
              </w:rPr>
            </w:pPr>
            <w:r>
              <w:rPr>
                <w:rFonts w:hint="eastAsia" w:ascii="宋体" w:hAnsi="宋体"/>
                <w:szCs w:val="21"/>
              </w:rPr>
              <w:t>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jc w:val="center"/>
        </w:trPr>
        <w:tc>
          <w:tcPr>
            <w:tcW w:w="8359" w:type="dxa"/>
            <w:gridSpan w:val="3"/>
            <w:vAlign w:val="center"/>
          </w:tcPr>
          <w:p>
            <w:pPr>
              <w:snapToGrid w:val="0"/>
              <w:spacing w:line="276" w:lineRule="auto"/>
              <w:jc w:val="center"/>
              <w:rPr>
                <w:rFonts w:ascii="宋体" w:hAnsi="宋体"/>
                <w:szCs w:val="21"/>
              </w:rPr>
            </w:pPr>
            <w:r>
              <w:rPr>
                <w:rFonts w:hint="eastAsia" w:ascii="宋体" w:hAnsi="宋体"/>
                <w:szCs w:val="21"/>
              </w:rPr>
              <w:t>合计</w:t>
            </w:r>
          </w:p>
        </w:tc>
        <w:tc>
          <w:tcPr>
            <w:tcW w:w="708" w:type="dxa"/>
            <w:vAlign w:val="center"/>
          </w:tcPr>
          <w:p>
            <w:pPr>
              <w:snapToGrid w:val="0"/>
              <w:spacing w:line="276" w:lineRule="auto"/>
              <w:jc w:val="center"/>
              <w:rPr>
                <w:rFonts w:ascii="宋体" w:hAnsi="宋体"/>
                <w:szCs w:val="21"/>
              </w:rPr>
            </w:pPr>
            <w:r>
              <w:rPr>
                <w:rFonts w:ascii="宋体" w:hAnsi="宋体"/>
                <w:szCs w:val="21"/>
              </w:rPr>
              <w:t>50</w:t>
            </w:r>
            <w:r>
              <w:rPr>
                <w:rFonts w:hint="eastAsia" w:ascii="宋体" w:hAnsi="宋体"/>
                <w:szCs w:val="21"/>
              </w:rPr>
              <w:t>分</w:t>
            </w:r>
          </w:p>
        </w:tc>
      </w:tr>
    </w:tbl>
    <w:p>
      <w:pPr>
        <w:pStyle w:val="2"/>
        <w:numPr>
          <w:ilvl w:val="255"/>
          <w:numId w:val="0"/>
        </w:numPr>
        <w:spacing w:before="62" w:after="62"/>
        <w:jc w:val="center"/>
        <w:rPr>
          <w:rFonts w:asciiTheme="minorEastAsia" w:hAnsiTheme="minorEastAsia" w:eastAsiaTheme="minorEastAsia" w:cstheme="minorEastAsia"/>
          <w:b w:val="0"/>
          <w:bCs/>
          <w:color w:val="auto"/>
        </w:rPr>
      </w:pPr>
      <w:bookmarkStart w:id="7" w:name="_Toc2238428"/>
    </w:p>
    <w:p>
      <w:pPr>
        <w:pStyle w:val="2"/>
        <w:spacing w:before="62" w:after="62"/>
        <w:rPr>
          <w:color w:val="auto"/>
        </w:rPr>
      </w:pPr>
      <w:r>
        <w:rPr>
          <w:color w:val="auto"/>
        </w:rPr>
        <w:br w:type="page"/>
      </w:r>
    </w:p>
    <w:p>
      <w:pPr>
        <w:pStyle w:val="2"/>
        <w:numPr>
          <w:ilvl w:val="255"/>
          <w:numId w:val="0"/>
        </w:numPr>
        <w:spacing w:before="62" w:after="62"/>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b w:val="0"/>
          <w:bCs/>
          <w:color w:val="auto"/>
        </w:rPr>
        <w:t>三、</w:t>
      </w:r>
      <w:r>
        <w:rPr>
          <w:rFonts w:hint="eastAsia" w:asciiTheme="minorEastAsia" w:hAnsiTheme="minorEastAsia" w:eastAsiaTheme="minorEastAsia" w:cstheme="minorEastAsia"/>
          <w:color w:val="auto"/>
        </w:rPr>
        <w:t>商务评审表</w:t>
      </w:r>
      <w:bookmarkEnd w:id="7"/>
    </w:p>
    <w:tbl>
      <w:tblPr>
        <w:tblStyle w:val="19"/>
        <w:tblW w:w="7749"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228"/>
        <w:gridCol w:w="513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6" w:hRule="atLeast"/>
        </w:trPr>
        <w:tc>
          <w:tcPr>
            <w:tcW w:w="539" w:type="dxa"/>
          </w:tcPr>
          <w:p>
            <w:pPr>
              <w:snapToGrid w:val="0"/>
              <w:spacing w:line="360" w:lineRule="auto"/>
              <w:jc w:val="center"/>
              <w:rPr>
                <w:rFonts w:ascii="宋体" w:hAnsi="宋体"/>
                <w:szCs w:val="21"/>
              </w:rPr>
            </w:pPr>
            <w:r>
              <w:rPr>
                <w:rFonts w:hint="eastAsia" w:ascii="宋体" w:hAnsi="宋体"/>
                <w:szCs w:val="21"/>
              </w:rPr>
              <w:t>序号</w:t>
            </w:r>
          </w:p>
        </w:tc>
        <w:tc>
          <w:tcPr>
            <w:tcW w:w="1228" w:type="dxa"/>
            <w:vAlign w:val="center"/>
          </w:tcPr>
          <w:p>
            <w:pPr>
              <w:snapToGrid w:val="0"/>
              <w:spacing w:line="360" w:lineRule="auto"/>
              <w:jc w:val="center"/>
              <w:rPr>
                <w:rFonts w:ascii="宋体" w:hAnsi="宋体"/>
                <w:szCs w:val="21"/>
              </w:rPr>
            </w:pPr>
            <w:r>
              <w:rPr>
                <w:rFonts w:hint="eastAsia" w:ascii="宋体" w:hAnsi="宋体"/>
                <w:szCs w:val="21"/>
              </w:rPr>
              <w:t>评分项目</w:t>
            </w:r>
          </w:p>
        </w:tc>
        <w:tc>
          <w:tcPr>
            <w:tcW w:w="5131" w:type="dxa"/>
            <w:vAlign w:val="center"/>
          </w:tcPr>
          <w:p>
            <w:pPr>
              <w:snapToGrid w:val="0"/>
              <w:spacing w:line="360" w:lineRule="auto"/>
              <w:jc w:val="center"/>
              <w:rPr>
                <w:rFonts w:ascii="宋体" w:hAnsi="宋体"/>
                <w:szCs w:val="21"/>
              </w:rPr>
            </w:pPr>
            <w:r>
              <w:rPr>
                <w:rFonts w:hint="eastAsia" w:ascii="宋体" w:hAnsi="宋体"/>
                <w:szCs w:val="21"/>
              </w:rPr>
              <w:t>评分细则</w:t>
            </w:r>
          </w:p>
        </w:tc>
        <w:tc>
          <w:tcPr>
            <w:tcW w:w="851" w:type="dxa"/>
            <w:vAlign w:val="center"/>
          </w:tcPr>
          <w:p>
            <w:pPr>
              <w:snapToGrid w:val="0"/>
              <w:spacing w:line="360" w:lineRule="auto"/>
              <w:jc w:val="center"/>
              <w:rPr>
                <w:rFonts w:ascii="宋体" w:hAnsi="宋体"/>
                <w:szCs w:val="21"/>
              </w:rPr>
            </w:pPr>
            <w:r>
              <w:rPr>
                <w:rFonts w:hint="eastAsia" w:ascii="宋体" w:hAnsi="宋体"/>
                <w:szCs w:val="21"/>
              </w:rPr>
              <w:t>单项</w:t>
            </w:r>
          </w:p>
          <w:p>
            <w:pPr>
              <w:snapToGrid w:val="0"/>
              <w:spacing w:line="360" w:lineRule="auto"/>
              <w:jc w:val="center"/>
              <w:rPr>
                <w:rFonts w:ascii="宋体" w:hAnsi="宋体"/>
                <w:szCs w:val="21"/>
              </w:rPr>
            </w:pPr>
            <w:r>
              <w:rPr>
                <w:rFonts w:hint="eastAsia" w:ascii="宋体" w:hAnsi="宋体"/>
                <w:szCs w:val="21"/>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539" w:type="dxa"/>
            <w:vAlign w:val="center"/>
          </w:tcPr>
          <w:p>
            <w:pPr>
              <w:snapToGrid w:val="0"/>
              <w:spacing w:line="360" w:lineRule="auto"/>
              <w:jc w:val="center"/>
              <w:rPr>
                <w:rFonts w:ascii="宋体" w:hAnsi="宋体" w:cs="宋体"/>
                <w:szCs w:val="21"/>
              </w:rPr>
            </w:pPr>
            <w:r>
              <w:rPr>
                <w:rFonts w:ascii="宋体" w:hAnsi="宋体"/>
                <w:szCs w:val="21"/>
              </w:rPr>
              <w:t>1</w:t>
            </w:r>
          </w:p>
        </w:tc>
        <w:tc>
          <w:tcPr>
            <w:tcW w:w="1228" w:type="dxa"/>
            <w:vAlign w:val="center"/>
          </w:tcPr>
          <w:p>
            <w:pPr>
              <w:snapToGrid w:val="0"/>
              <w:spacing w:line="360" w:lineRule="auto"/>
              <w:jc w:val="center"/>
              <w:rPr>
                <w:rFonts w:ascii="宋体" w:hAnsi="宋体" w:cs="宋体"/>
                <w:szCs w:val="21"/>
              </w:rPr>
            </w:pPr>
            <w:r>
              <w:rPr>
                <w:rFonts w:hint="eastAsia" w:ascii="宋体" w:hAnsi="宋体"/>
                <w:szCs w:val="21"/>
              </w:rPr>
              <w:t>商务响应程度</w:t>
            </w:r>
          </w:p>
        </w:tc>
        <w:tc>
          <w:tcPr>
            <w:tcW w:w="5131" w:type="dxa"/>
            <w:vAlign w:val="center"/>
          </w:tcPr>
          <w:p>
            <w:pPr>
              <w:snapToGrid w:val="0"/>
              <w:spacing w:line="360" w:lineRule="auto"/>
              <w:jc w:val="left"/>
              <w:rPr>
                <w:rFonts w:ascii="宋体" w:hAnsi="宋体"/>
                <w:szCs w:val="21"/>
              </w:rPr>
            </w:pPr>
            <w:r>
              <w:rPr>
                <w:rFonts w:hint="eastAsia" w:ascii="宋体" w:hAnsi="宋体"/>
                <w:szCs w:val="21"/>
              </w:rPr>
              <w:t>完全满足且有优于招标文件要求，得</w:t>
            </w:r>
            <w:r>
              <w:rPr>
                <w:rFonts w:ascii="宋体" w:hAnsi="宋体"/>
                <w:szCs w:val="21"/>
              </w:rPr>
              <w:t>8分；</w:t>
            </w:r>
          </w:p>
          <w:p>
            <w:pPr>
              <w:snapToGrid w:val="0"/>
              <w:spacing w:line="360" w:lineRule="auto"/>
              <w:jc w:val="left"/>
              <w:rPr>
                <w:rFonts w:ascii="宋体" w:hAnsi="宋体"/>
                <w:szCs w:val="21"/>
              </w:rPr>
            </w:pPr>
            <w:r>
              <w:rPr>
                <w:rFonts w:hint="eastAsia" w:ascii="宋体" w:hAnsi="宋体"/>
                <w:szCs w:val="21"/>
              </w:rPr>
              <w:t>完全满足招标文件要求，得</w:t>
            </w:r>
            <w:r>
              <w:rPr>
                <w:rFonts w:ascii="宋体" w:hAnsi="宋体"/>
                <w:szCs w:val="21"/>
              </w:rPr>
              <w:t>6分；</w:t>
            </w:r>
          </w:p>
          <w:p>
            <w:pPr>
              <w:snapToGrid w:val="0"/>
              <w:spacing w:line="360" w:lineRule="auto"/>
              <w:jc w:val="left"/>
              <w:rPr>
                <w:rFonts w:ascii="宋体" w:hAnsi="宋体"/>
                <w:szCs w:val="21"/>
              </w:rPr>
            </w:pPr>
            <w:r>
              <w:rPr>
                <w:rFonts w:hint="eastAsia" w:ascii="宋体" w:hAnsi="宋体"/>
                <w:szCs w:val="21"/>
              </w:rPr>
              <w:t>不能完全满足招标文件要求，得</w:t>
            </w:r>
            <w:r>
              <w:rPr>
                <w:rFonts w:ascii="宋体" w:hAnsi="宋体"/>
                <w:szCs w:val="21"/>
              </w:rPr>
              <w:t>0分。</w:t>
            </w:r>
          </w:p>
        </w:tc>
        <w:tc>
          <w:tcPr>
            <w:tcW w:w="851" w:type="dxa"/>
            <w:vAlign w:val="center"/>
          </w:tcPr>
          <w:p>
            <w:pPr>
              <w:snapToGrid w:val="0"/>
              <w:spacing w:line="360" w:lineRule="auto"/>
              <w:jc w:val="center"/>
              <w:rPr>
                <w:rFonts w:ascii="宋体" w:hAnsi="宋体" w:cs="宋体"/>
                <w:szCs w:val="21"/>
              </w:rPr>
            </w:pPr>
            <w:r>
              <w:rPr>
                <w:rFonts w:ascii="宋体" w:hAnsi="宋体"/>
                <w:szCs w:val="21"/>
              </w:rPr>
              <w:t>8</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539" w:type="dxa"/>
            <w:vAlign w:val="center"/>
          </w:tcPr>
          <w:p>
            <w:pPr>
              <w:snapToGrid w:val="0"/>
              <w:spacing w:line="360" w:lineRule="auto"/>
              <w:jc w:val="center"/>
              <w:rPr>
                <w:rFonts w:ascii="宋体" w:hAnsi="宋体"/>
                <w:szCs w:val="21"/>
              </w:rPr>
            </w:pPr>
            <w:r>
              <w:rPr>
                <w:rFonts w:ascii="宋体" w:hAnsi="宋体"/>
                <w:szCs w:val="21"/>
              </w:rPr>
              <w:t>2</w:t>
            </w:r>
          </w:p>
        </w:tc>
        <w:tc>
          <w:tcPr>
            <w:tcW w:w="1228" w:type="dxa"/>
            <w:vAlign w:val="center"/>
          </w:tcPr>
          <w:p>
            <w:pPr>
              <w:snapToGrid w:val="0"/>
              <w:spacing w:line="360" w:lineRule="auto"/>
              <w:jc w:val="center"/>
              <w:rPr>
                <w:rFonts w:ascii="宋体" w:hAnsi="宋体"/>
                <w:szCs w:val="21"/>
              </w:rPr>
            </w:pPr>
            <w:r>
              <w:rPr>
                <w:rFonts w:hint="eastAsia" w:ascii="宋体" w:hAnsi="宋体"/>
                <w:szCs w:val="21"/>
              </w:rPr>
              <w:t>经验与业绩情况</w:t>
            </w:r>
          </w:p>
        </w:tc>
        <w:tc>
          <w:tcPr>
            <w:tcW w:w="5131" w:type="dxa"/>
            <w:vAlign w:val="center"/>
          </w:tcPr>
          <w:p>
            <w:pPr>
              <w:snapToGrid w:val="0"/>
              <w:spacing w:line="360" w:lineRule="auto"/>
              <w:jc w:val="left"/>
              <w:rPr>
                <w:rFonts w:ascii="宋体" w:hAnsi="宋体"/>
                <w:szCs w:val="21"/>
              </w:rPr>
            </w:pPr>
            <w:r>
              <w:rPr>
                <w:rFonts w:hint="eastAsia" w:ascii="宋体" w:hAnsi="宋体"/>
                <w:szCs w:val="21"/>
              </w:rPr>
              <w:t>投标人或投标产品</w:t>
            </w:r>
            <w:r>
              <w:rPr>
                <w:rFonts w:ascii="宋体" w:hAnsi="宋体"/>
                <w:szCs w:val="21"/>
              </w:rPr>
              <w:t>2016</w:t>
            </w:r>
            <w:r>
              <w:rPr>
                <w:rFonts w:hint="eastAsia" w:ascii="宋体" w:hAnsi="宋体"/>
                <w:szCs w:val="21"/>
              </w:rPr>
              <w:t>年（以合同生效时间为准）至今的同类项目案例，每提供一个业绩得</w:t>
            </w:r>
            <w:r>
              <w:rPr>
                <w:rFonts w:ascii="宋体" w:hAnsi="宋体"/>
                <w:szCs w:val="21"/>
              </w:rPr>
              <w:t>0.5分</w:t>
            </w:r>
            <w:r>
              <w:rPr>
                <w:rFonts w:hint="eastAsia" w:ascii="宋体" w:hAnsi="宋体"/>
                <w:szCs w:val="21"/>
              </w:rPr>
              <w:t>，</w:t>
            </w:r>
            <w:r>
              <w:rPr>
                <w:rFonts w:ascii="宋体" w:hAnsi="宋体"/>
                <w:szCs w:val="21"/>
              </w:rPr>
              <w:t>最高得6</w:t>
            </w:r>
            <w:r>
              <w:rPr>
                <w:rFonts w:hint="eastAsia" w:ascii="宋体" w:hAnsi="宋体"/>
                <w:szCs w:val="21"/>
              </w:rPr>
              <w:t>分。</w:t>
            </w:r>
          </w:p>
          <w:p>
            <w:pPr>
              <w:snapToGrid w:val="0"/>
              <w:spacing w:line="360" w:lineRule="auto"/>
              <w:jc w:val="left"/>
              <w:rPr>
                <w:rFonts w:ascii="宋体" w:hAnsi="宋体"/>
                <w:szCs w:val="21"/>
              </w:rPr>
            </w:pPr>
            <w:r>
              <w:rPr>
                <w:rFonts w:hint="eastAsia" w:ascii="宋体" w:hAnsi="宋体"/>
                <w:szCs w:val="21"/>
              </w:rPr>
              <w:t>每个业绩需同时提供合同及验收证明（验收意见），不提供不得分。合同需提供包括但不限于合同首页、主要内容页、金额页、签字盖章页、合同发票的复印件。</w:t>
            </w:r>
          </w:p>
        </w:tc>
        <w:tc>
          <w:tcPr>
            <w:tcW w:w="851" w:type="dxa"/>
            <w:vAlign w:val="center"/>
          </w:tcPr>
          <w:p>
            <w:pPr>
              <w:snapToGrid w:val="0"/>
              <w:spacing w:line="360" w:lineRule="auto"/>
              <w:jc w:val="center"/>
              <w:rPr>
                <w:rFonts w:ascii="宋体" w:hAnsi="宋体"/>
                <w:szCs w:val="21"/>
              </w:rPr>
            </w:pPr>
            <w:r>
              <w:rPr>
                <w:rFonts w:ascii="宋体" w:hAnsi="宋体"/>
                <w:szCs w:val="21"/>
              </w:rPr>
              <w:t>6</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8" w:hRule="atLeast"/>
        </w:trPr>
        <w:tc>
          <w:tcPr>
            <w:tcW w:w="539" w:type="dxa"/>
            <w:vAlign w:val="center"/>
          </w:tcPr>
          <w:p>
            <w:pPr>
              <w:snapToGrid w:val="0"/>
              <w:spacing w:line="360" w:lineRule="auto"/>
              <w:jc w:val="center"/>
              <w:rPr>
                <w:rFonts w:ascii="宋体" w:hAnsi="宋体"/>
                <w:szCs w:val="21"/>
              </w:rPr>
            </w:pPr>
            <w:r>
              <w:rPr>
                <w:rFonts w:hint="eastAsia" w:ascii="宋体" w:hAnsi="宋体"/>
                <w:szCs w:val="21"/>
              </w:rPr>
              <w:t>3</w:t>
            </w:r>
          </w:p>
        </w:tc>
        <w:tc>
          <w:tcPr>
            <w:tcW w:w="1228" w:type="dxa"/>
            <w:vAlign w:val="center"/>
          </w:tcPr>
          <w:p>
            <w:pPr>
              <w:snapToGrid w:val="0"/>
              <w:spacing w:line="360" w:lineRule="auto"/>
              <w:jc w:val="center"/>
              <w:rPr>
                <w:rFonts w:ascii="宋体" w:hAnsi="宋体"/>
                <w:szCs w:val="21"/>
              </w:rPr>
            </w:pPr>
            <w:r>
              <w:rPr>
                <w:rFonts w:hint="eastAsia" w:ascii="宋体" w:hAnsi="宋体"/>
                <w:szCs w:val="21"/>
              </w:rPr>
              <w:t>培训方案</w:t>
            </w:r>
          </w:p>
        </w:tc>
        <w:tc>
          <w:tcPr>
            <w:tcW w:w="5131" w:type="dxa"/>
            <w:vAlign w:val="center"/>
          </w:tcPr>
          <w:p>
            <w:pPr>
              <w:spacing w:line="360" w:lineRule="auto"/>
              <w:rPr>
                <w:rFonts w:ascii="宋体" w:hAnsi="宋体"/>
                <w:szCs w:val="21"/>
              </w:rPr>
            </w:pPr>
            <w:r>
              <w:rPr>
                <w:rFonts w:hint="eastAsia" w:ascii="宋体" w:hAnsi="宋体"/>
                <w:szCs w:val="21"/>
              </w:rPr>
              <w:t>1.投标人提供的技术培训方案充足、周全、合理、可靠的，能保障工作人员独立操作和基本故障排查，得6分；</w:t>
            </w:r>
          </w:p>
          <w:p>
            <w:pPr>
              <w:spacing w:line="360" w:lineRule="auto"/>
              <w:rPr>
                <w:rFonts w:ascii="宋体" w:hAnsi="宋体"/>
                <w:szCs w:val="21"/>
              </w:rPr>
            </w:pPr>
            <w:r>
              <w:rPr>
                <w:rFonts w:hint="eastAsia" w:ascii="宋体" w:hAnsi="宋体"/>
                <w:szCs w:val="21"/>
              </w:rPr>
              <w:t>2.投标人提供的技术培训方案较合理、有一定理解性的，能保障工作人员独立操作，得3分；</w:t>
            </w:r>
          </w:p>
          <w:p>
            <w:pPr>
              <w:spacing w:line="360" w:lineRule="auto"/>
              <w:rPr>
                <w:rFonts w:ascii="宋体" w:hAnsi="宋体"/>
                <w:szCs w:val="21"/>
              </w:rPr>
            </w:pPr>
            <w:r>
              <w:rPr>
                <w:rFonts w:hint="eastAsia" w:ascii="宋体" w:hAnsi="宋体"/>
                <w:szCs w:val="21"/>
              </w:rPr>
              <w:t>3.投标人提供的技术培训方案一般的、不完整的，得1分。</w:t>
            </w:r>
          </w:p>
          <w:p>
            <w:pPr>
              <w:snapToGrid w:val="0"/>
              <w:spacing w:line="360" w:lineRule="auto"/>
              <w:jc w:val="left"/>
              <w:rPr>
                <w:rFonts w:ascii="宋体" w:hAnsi="宋体"/>
                <w:szCs w:val="21"/>
              </w:rPr>
            </w:pPr>
            <w:r>
              <w:rPr>
                <w:rFonts w:hint="eastAsia" w:ascii="宋体" w:hAnsi="宋体"/>
                <w:szCs w:val="21"/>
              </w:rPr>
              <w:t>4.不提供不得分。</w:t>
            </w:r>
          </w:p>
        </w:tc>
        <w:tc>
          <w:tcPr>
            <w:tcW w:w="851" w:type="dxa"/>
            <w:vAlign w:val="center"/>
          </w:tcPr>
          <w:p>
            <w:pPr>
              <w:snapToGrid w:val="0"/>
              <w:spacing w:line="360" w:lineRule="auto"/>
              <w:jc w:val="center"/>
              <w:rPr>
                <w:rFonts w:ascii="宋体" w:hAnsi="宋体"/>
                <w:szCs w:val="21"/>
              </w:rPr>
            </w:pPr>
            <w:r>
              <w:rPr>
                <w:rFonts w:hint="eastAsia" w:ascii="宋体" w:hAnsi="宋体"/>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8" w:hRule="atLeast"/>
        </w:trPr>
        <w:tc>
          <w:tcPr>
            <w:tcW w:w="6898" w:type="dxa"/>
            <w:gridSpan w:val="3"/>
            <w:vAlign w:val="center"/>
          </w:tcPr>
          <w:p>
            <w:pPr>
              <w:snapToGrid w:val="0"/>
              <w:spacing w:line="360" w:lineRule="auto"/>
              <w:jc w:val="center"/>
              <w:rPr>
                <w:rFonts w:ascii="宋体" w:hAnsi="宋体"/>
                <w:szCs w:val="21"/>
              </w:rPr>
            </w:pPr>
            <w:r>
              <w:rPr>
                <w:rFonts w:hint="eastAsia" w:ascii="宋体" w:hAnsi="宋体"/>
                <w:szCs w:val="21"/>
              </w:rPr>
              <w:t>合计</w:t>
            </w:r>
          </w:p>
        </w:tc>
        <w:tc>
          <w:tcPr>
            <w:tcW w:w="851" w:type="dxa"/>
            <w:vAlign w:val="center"/>
          </w:tcPr>
          <w:p>
            <w:pPr>
              <w:snapToGrid w:val="0"/>
              <w:spacing w:line="360" w:lineRule="auto"/>
              <w:jc w:val="center"/>
              <w:rPr>
                <w:rFonts w:ascii="宋体" w:hAnsi="宋体"/>
                <w:szCs w:val="21"/>
              </w:rPr>
            </w:pPr>
            <w:r>
              <w:rPr>
                <w:rFonts w:ascii="宋体" w:hAnsi="宋体"/>
                <w:szCs w:val="21"/>
              </w:rPr>
              <w:t>20分</w:t>
            </w:r>
          </w:p>
        </w:tc>
      </w:tr>
    </w:tbl>
    <w:p>
      <w:pPr>
        <w:snapToGrid w:val="0"/>
        <w:spacing w:line="288" w:lineRule="auto"/>
        <w:jc w:val="left"/>
        <w:outlineLvl w:val="0"/>
        <w:rPr>
          <w:rFonts w:asciiTheme="minorEastAsia" w:hAnsiTheme="minorEastAsia" w:eastAsiaTheme="minorEastAsia" w:cstheme="minorEastAsia"/>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16A34E"/>
    <w:multiLevelType w:val="multilevel"/>
    <w:tmpl w:val="EC16A34E"/>
    <w:lvl w:ilvl="0" w:tentative="0">
      <w:start w:val="1"/>
      <w:numFmt w:val="decimal"/>
      <w:suff w:val="space"/>
      <w:lvlText w:val="第 %1 章"/>
      <w:lvlJc w:val="left"/>
      <w:pPr>
        <w:ind w:left="2772" w:hanging="432"/>
      </w:pPr>
      <w:rPr>
        <w:rFonts w:hint="eastAsia"/>
      </w:rPr>
    </w:lvl>
    <w:lvl w:ilvl="1" w:tentative="0">
      <w:start w:val="1"/>
      <w:numFmt w:val="decimal"/>
      <w:pStyle w:val="2"/>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b/>
        <w:i w:val="0"/>
      </w:rPr>
    </w:lvl>
    <w:lvl w:ilvl="3" w:tentative="0">
      <w:start w:val="1"/>
      <w:numFmt w:val="decimal"/>
      <w:lvlText w:val="%1.%2.%3.%4"/>
      <w:lvlJc w:val="left"/>
      <w:pPr>
        <w:tabs>
          <w:tab w:val="left" w:pos="0"/>
        </w:tabs>
        <w:ind w:left="0" w:firstLine="0"/>
      </w:p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00000014"/>
    <w:multiLevelType w:val="multilevel"/>
    <w:tmpl w:val="00000014"/>
    <w:lvl w:ilvl="0" w:tentative="0">
      <w:start w:val="1"/>
      <w:numFmt w:val="decimal"/>
      <w:lvlText w:val="%1、"/>
      <w:lvlJc w:val="left"/>
      <w:pPr>
        <w:tabs>
          <w:tab w:val="left" w:pos="420"/>
        </w:tabs>
        <w:ind w:left="420" w:hanging="420"/>
      </w:pPr>
      <w:rPr>
        <w:rFonts w:hint="eastAsia"/>
        <w:color w:val="auto"/>
      </w:rPr>
    </w:lvl>
    <w:lvl w:ilvl="1" w:tentative="0">
      <w:start w:val="1"/>
      <w:numFmt w:val="lowerLetter"/>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
    <w:nsid w:val="00000031"/>
    <w:multiLevelType w:val="multilevel"/>
    <w:tmpl w:val="00000031"/>
    <w:lvl w:ilvl="0" w:tentative="0">
      <w:start w:val="1"/>
      <w:numFmt w:val="decimal"/>
      <w:lvlText w:val="%1)"/>
      <w:lvlJc w:val="left"/>
      <w:pPr>
        <w:tabs>
          <w:tab w:val="left" w:pos="420"/>
        </w:tabs>
        <w:ind w:left="420" w:hanging="420"/>
      </w:pPr>
      <w:rPr>
        <w:rFonts w:hint="eastAsia"/>
        <w:color w:val="auto"/>
      </w:rPr>
    </w:lvl>
    <w:lvl w:ilvl="1" w:tentative="0">
      <w:start w:val="1"/>
      <w:numFmt w:val="decimal"/>
      <w:lvlText w:val="%2、"/>
      <w:lvlJc w:val="left"/>
      <w:pPr>
        <w:tabs>
          <w:tab w:val="left" w:pos="510"/>
        </w:tabs>
        <w:ind w:left="510" w:hanging="510"/>
      </w:pPr>
      <w:rPr>
        <w:rFonts w:hint="default"/>
      </w:rPr>
    </w:lvl>
    <w:lvl w:ilvl="2" w:tentative="0">
      <w:start w:val="1"/>
      <w:numFmt w:val="decimal"/>
      <w:lvlText w:val="%3)"/>
      <w:lvlJc w:val="left"/>
      <w:pPr>
        <w:tabs>
          <w:tab w:val="left" w:pos="840"/>
        </w:tabs>
        <w:ind w:left="840" w:hanging="420"/>
      </w:pPr>
      <w:rPr>
        <w:rFonts w:hint="eastAsia"/>
        <w:color w:val="auto"/>
      </w:r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3">
    <w:nsid w:val="44E8464A"/>
    <w:multiLevelType w:val="multilevel"/>
    <w:tmpl w:val="44E8464A"/>
    <w:lvl w:ilvl="0" w:tentative="0">
      <w:start w:val="1"/>
      <w:numFmt w:val="chineseCountingThousand"/>
      <w:lvlText w:val="第%1部分"/>
      <w:lvlJc w:val="left"/>
      <w:pPr>
        <w:tabs>
          <w:tab w:val="left" w:pos="1440"/>
        </w:tabs>
        <w:ind w:left="0" w:firstLine="0"/>
      </w:pPr>
      <w:rPr>
        <w:rFonts w:hint="eastAsia" w:eastAsia="黑体"/>
        <w:b/>
        <w:i w:val="0"/>
        <w:sz w:val="36"/>
      </w:rPr>
    </w:lvl>
    <w:lvl w:ilvl="1" w:tentative="0">
      <w:start w:val="1"/>
      <w:numFmt w:val="decimal"/>
      <w:lvlText w:val="第 %2 章 "/>
      <w:lvlJc w:val="left"/>
      <w:pPr>
        <w:tabs>
          <w:tab w:val="left" w:pos="2357"/>
        </w:tabs>
        <w:ind w:left="1277" w:firstLine="0"/>
      </w:pPr>
      <w:rPr>
        <w:rFonts w:hint="eastAsia" w:eastAsia="黑体"/>
        <w:b/>
        <w:i w:val="0"/>
        <w:sz w:val="30"/>
      </w:rPr>
    </w:lvl>
    <w:lvl w:ilvl="2" w:tentative="0">
      <w:start w:val="1"/>
      <w:numFmt w:val="decimal"/>
      <w:pStyle w:val="4"/>
      <w:lvlText w:val="4.%3"/>
      <w:lvlJc w:val="left"/>
      <w:pPr>
        <w:tabs>
          <w:tab w:val="left" w:pos="2880"/>
        </w:tabs>
        <w:ind w:left="0" w:firstLine="0"/>
      </w:pPr>
      <w:rPr>
        <w:rFonts w:hint="eastAsia" w:eastAsia="黑体"/>
        <w:b/>
        <w:i w:val="0"/>
        <w:sz w:val="28"/>
      </w:rPr>
    </w:lvl>
    <w:lvl w:ilvl="3" w:tentative="0">
      <w:start w:val="1"/>
      <w:numFmt w:val="decimal"/>
      <w:pStyle w:val="5"/>
      <w:lvlText w:val="%2.%3.%4"/>
      <w:lvlJc w:val="left"/>
      <w:pPr>
        <w:tabs>
          <w:tab w:val="left" w:pos="862"/>
        </w:tabs>
        <w:ind w:left="142" w:firstLine="0"/>
      </w:pPr>
      <w:rPr>
        <w:rFonts w:hint="eastAsia" w:eastAsia="黑体"/>
        <w:b/>
        <w:i w:val="0"/>
        <w:sz w:val="24"/>
      </w:rPr>
    </w:lvl>
    <w:lvl w:ilvl="4" w:tentative="0">
      <w:start w:val="1"/>
      <w:numFmt w:val="decimal"/>
      <w:lvlText w:val="%2.%3.%4.%5"/>
      <w:lvlJc w:val="left"/>
      <w:pPr>
        <w:tabs>
          <w:tab w:val="left" w:pos="2215"/>
        </w:tabs>
        <w:ind w:left="1135"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4">
    <w:nsid w:val="671B8D82"/>
    <w:multiLevelType w:val="singleLevel"/>
    <w:tmpl w:val="671B8D82"/>
    <w:lvl w:ilvl="0" w:tentative="0">
      <w:start w:val="3"/>
      <w:numFmt w:val="chineseCounting"/>
      <w:suff w:val="space"/>
      <w:lvlText w:val="第%1部分"/>
      <w:lvlJc w:val="left"/>
      <w:rPr>
        <w:rFonts w:hint="eastAsia"/>
      </w:rPr>
    </w:lvl>
  </w:abstractNum>
  <w:abstractNum w:abstractNumId="5">
    <w:nsid w:val="7E235E63"/>
    <w:multiLevelType w:val="multilevel"/>
    <w:tmpl w:val="7E235E63"/>
    <w:lvl w:ilvl="0" w:tentative="0">
      <w:start w:val="1"/>
      <w:numFmt w:val="decimal"/>
      <w:lvlText w:val="%1、"/>
      <w:lvlJc w:val="left"/>
      <w:pPr>
        <w:tabs>
          <w:tab w:val="left" w:pos="900"/>
        </w:tabs>
        <w:ind w:left="900" w:hanging="720"/>
      </w:pPr>
    </w:lvl>
    <w:lvl w:ilvl="1" w:tentative="0">
      <w:start w:val="1"/>
      <w:numFmt w:val="decimal"/>
      <w:lvlText w:val="%2."/>
      <w:lvlJc w:val="left"/>
      <w:pPr>
        <w:tabs>
          <w:tab w:val="left" w:pos="1060"/>
        </w:tabs>
        <w:ind w:left="1060" w:hanging="360"/>
      </w:pPr>
    </w:lvl>
    <w:lvl w:ilvl="2" w:tentative="0">
      <w:start w:val="1"/>
      <w:numFmt w:val="decimal"/>
      <w:lvlText w:val="%3."/>
      <w:lvlJc w:val="left"/>
      <w:pPr>
        <w:tabs>
          <w:tab w:val="left" w:pos="1780"/>
        </w:tabs>
        <w:ind w:left="1780" w:hanging="360"/>
      </w:pPr>
    </w:lvl>
    <w:lvl w:ilvl="3" w:tentative="0">
      <w:start w:val="1"/>
      <w:numFmt w:val="decimal"/>
      <w:lvlText w:val="%4."/>
      <w:lvlJc w:val="left"/>
      <w:pPr>
        <w:tabs>
          <w:tab w:val="left" w:pos="2500"/>
        </w:tabs>
        <w:ind w:left="2500" w:hanging="360"/>
      </w:pPr>
    </w:lvl>
    <w:lvl w:ilvl="4" w:tentative="0">
      <w:start w:val="1"/>
      <w:numFmt w:val="decimal"/>
      <w:lvlText w:val="%5."/>
      <w:lvlJc w:val="left"/>
      <w:pPr>
        <w:tabs>
          <w:tab w:val="left" w:pos="3220"/>
        </w:tabs>
        <w:ind w:left="3220" w:hanging="360"/>
      </w:pPr>
    </w:lvl>
    <w:lvl w:ilvl="5" w:tentative="0">
      <w:start w:val="1"/>
      <w:numFmt w:val="decimal"/>
      <w:lvlText w:val="%6."/>
      <w:lvlJc w:val="left"/>
      <w:pPr>
        <w:tabs>
          <w:tab w:val="left" w:pos="3940"/>
        </w:tabs>
        <w:ind w:left="3940" w:hanging="360"/>
      </w:pPr>
    </w:lvl>
    <w:lvl w:ilvl="6" w:tentative="0">
      <w:start w:val="1"/>
      <w:numFmt w:val="decimal"/>
      <w:lvlText w:val="%7."/>
      <w:lvlJc w:val="left"/>
      <w:pPr>
        <w:tabs>
          <w:tab w:val="left" w:pos="4660"/>
        </w:tabs>
        <w:ind w:left="4660" w:hanging="360"/>
      </w:pPr>
    </w:lvl>
    <w:lvl w:ilvl="7" w:tentative="0">
      <w:start w:val="1"/>
      <w:numFmt w:val="decimal"/>
      <w:lvlText w:val="%8."/>
      <w:lvlJc w:val="left"/>
      <w:pPr>
        <w:tabs>
          <w:tab w:val="left" w:pos="5380"/>
        </w:tabs>
        <w:ind w:left="5380" w:hanging="360"/>
      </w:pPr>
    </w:lvl>
    <w:lvl w:ilvl="8" w:tentative="0">
      <w:start w:val="1"/>
      <w:numFmt w:val="decimal"/>
      <w:lvlText w:val="%9."/>
      <w:lvlJc w:val="left"/>
      <w:pPr>
        <w:tabs>
          <w:tab w:val="left" w:pos="6100"/>
        </w:tabs>
        <w:ind w:left="6100" w:hanging="36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17FA5"/>
    <w:rsid w:val="000906CC"/>
    <w:rsid w:val="000D03F7"/>
    <w:rsid w:val="001A05F9"/>
    <w:rsid w:val="001F5A30"/>
    <w:rsid w:val="002872F5"/>
    <w:rsid w:val="002A3E18"/>
    <w:rsid w:val="002F2CAA"/>
    <w:rsid w:val="00416E4B"/>
    <w:rsid w:val="00420403"/>
    <w:rsid w:val="0048764A"/>
    <w:rsid w:val="004C29FE"/>
    <w:rsid w:val="00580FAA"/>
    <w:rsid w:val="005C75E3"/>
    <w:rsid w:val="00614DE4"/>
    <w:rsid w:val="0064409C"/>
    <w:rsid w:val="007F2267"/>
    <w:rsid w:val="008706C0"/>
    <w:rsid w:val="008A4526"/>
    <w:rsid w:val="008E5B43"/>
    <w:rsid w:val="008F7124"/>
    <w:rsid w:val="009B7FF9"/>
    <w:rsid w:val="00A11C2C"/>
    <w:rsid w:val="00A17FEF"/>
    <w:rsid w:val="00A7306C"/>
    <w:rsid w:val="00AE21AD"/>
    <w:rsid w:val="00C1553F"/>
    <w:rsid w:val="00C52397"/>
    <w:rsid w:val="00C71CE5"/>
    <w:rsid w:val="00C95CD0"/>
    <w:rsid w:val="00CB7ABE"/>
    <w:rsid w:val="00D03066"/>
    <w:rsid w:val="00D45E96"/>
    <w:rsid w:val="00D902B1"/>
    <w:rsid w:val="00DB4045"/>
    <w:rsid w:val="00DD5661"/>
    <w:rsid w:val="00E63584"/>
    <w:rsid w:val="00F20B66"/>
    <w:rsid w:val="02331421"/>
    <w:rsid w:val="045A6422"/>
    <w:rsid w:val="04664161"/>
    <w:rsid w:val="0550655C"/>
    <w:rsid w:val="055841BC"/>
    <w:rsid w:val="0687461B"/>
    <w:rsid w:val="06CB3A00"/>
    <w:rsid w:val="06DF3177"/>
    <w:rsid w:val="06EF1AE2"/>
    <w:rsid w:val="07721918"/>
    <w:rsid w:val="08490949"/>
    <w:rsid w:val="08824E1D"/>
    <w:rsid w:val="0BEC266C"/>
    <w:rsid w:val="0CFF5240"/>
    <w:rsid w:val="0D2E04A2"/>
    <w:rsid w:val="0D33677E"/>
    <w:rsid w:val="0E26161D"/>
    <w:rsid w:val="0EDE0B9C"/>
    <w:rsid w:val="0F4C3551"/>
    <w:rsid w:val="12B229E5"/>
    <w:rsid w:val="12DA4387"/>
    <w:rsid w:val="13A021B6"/>
    <w:rsid w:val="140A3EAA"/>
    <w:rsid w:val="140C563C"/>
    <w:rsid w:val="14955286"/>
    <w:rsid w:val="1536031C"/>
    <w:rsid w:val="161C33F1"/>
    <w:rsid w:val="16A73E55"/>
    <w:rsid w:val="16B97169"/>
    <w:rsid w:val="170A30FE"/>
    <w:rsid w:val="172B78B5"/>
    <w:rsid w:val="173232D1"/>
    <w:rsid w:val="1877560D"/>
    <w:rsid w:val="18CC5E23"/>
    <w:rsid w:val="19452781"/>
    <w:rsid w:val="19CE039C"/>
    <w:rsid w:val="1A490B98"/>
    <w:rsid w:val="1B233DFD"/>
    <w:rsid w:val="1B621CFF"/>
    <w:rsid w:val="1CC25785"/>
    <w:rsid w:val="1DF72A7D"/>
    <w:rsid w:val="1E8450FF"/>
    <w:rsid w:val="1EED3063"/>
    <w:rsid w:val="1F146FA3"/>
    <w:rsid w:val="205116F6"/>
    <w:rsid w:val="227E0F9A"/>
    <w:rsid w:val="22AC53C2"/>
    <w:rsid w:val="235B0229"/>
    <w:rsid w:val="24C01C02"/>
    <w:rsid w:val="28EF039E"/>
    <w:rsid w:val="29957376"/>
    <w:rsid w:val="29B45DE1"/>
    <w:rsid w:val="2B3918FB"/>
    <w:rsid w:val="2CB35ACF"/>
    <w:rsid w:val="2E8E7169"/>
    <w:rsid w:val="2F175A29"/>
    <w:rsid w:val="2FC46C30"/>
    <w:rsid w:val="2FD94BB9"/>
    <w:rsid w:val="308D27E5"/>
    <w:rsid w:val="31617FA5"/>
    <w:rsid w:val="319B0A66"/>
    <w:rsid w:val="320D7423"/>
    <w:rsid w:val="323F28CD"/>
    <w:rsid w:val="32AB4615"/>
    <w:rsid w:val="32DD3158"/>
    <w:rsid w:val="33711B00"/>
    <w:rsid w:val="342B1BA5"/>
    <w:rsid w:val="34663C26"/>
    <w:rsid w:val="34740352"/>
    <w:rsid w:val="34975D84"/>
    <w:rsid w:val="350E154A"/>
    <w:rsid w:val="351163D9"/>
    <w:rsid w:val="35243C72"/>
    <w:rsid w:val="361B01D8"/>
    <w:rsid w:val="37BE0FD8"/>
    <w:rsid w:val="3A8E67DD"/>
    <w:rsid w:val="3AD541A6"/>
    <w:rsid w:val="3B19367C"/>
    <w:rsid w:val="3B4E11DC"/>
    <w:rsid w:val="3C3A66A1"/>
    <w:rsid w:val="3C907E18"/>
    <w:rsid w:val="3DDF796C"/>
    <w:rsid w:val="3E100FA8"/>
    <w:rsid w:val="3E7605FC"/>
    <w:rsid w:val="3F976DD6"/>
    <w:rsid w:val="40A12330"/>
    <w:rsid w:val="41C94291"/>
    <w:rsid w:val="434703D3"/>
    <w:rsid w:val="43A6156C"/>
    <w:rsid w:val="43E66AA6"/>
    <w:rsid w:val="45173271"/>
    <w:rsid w:val="458A16F9"/>
    <w:rsid w:val="47D23F94"/>
    <w:rsid w:val="491C4121"/>
    <w:rsid w:val="4B6B4ED0"/>
    <w:rsid w:val="4B724776"/>
    <w:rsid w:val="4B75603D"/>
    <w:rsid w:val="4BEA0D17"/>
    <w:rsid w:val="4D125B2D"/>
    <w:rsid w:val="4D645D92"/>
    <w:rsid w:val="4DDF1D72"/>
    <w:rsid w:val="4DFF01A2"/>
    <w:rsid w:val="4EA664C3"/>
    <w:rsid w:val="501323A6"/>
    <w:rsid w:val="502656AA"/>
    <w:rsid w:val="511D5FF8"/>
    <w:rsid w:val="522F61D3"/>
    <w:rsid w:val="54EC474A"/>
    <w:rsid w:val="55485DCB"/>
    <w:rsid w:val="55B108EE"/>
    <w:rsid w:val="55D61EFD"/>
    <w:rsid w:val="562E5B95"/>
    <w:rsid w:val="57717D5B"/>
    <w:rsid w:val="58D63FAB"/>
    <w:rsid w:val="5BCE7120"/>
    <w:rsid w:val="5D3F7804"/>
    <w:rsid w:val="5F0A0772"/>
    <w:rsid w:val="60D76149"/>
    <w:rsid w:val="62C5107C"/>
    <w:rsid w:val="63124D19"/>
    <w:rsid w:val="63516D31"/>
    <w:rsid w:val="637A6868"/>
    <w:rsid w:val="648901D0"/>
    <w:rsid w:val="64E94B0E"/>
    <w:rsid w:val="66B54822"/>
    <w:rsid w:val="66DB0161"/>
    <w:rsid w:val="686C3878"/>
    <w:rsid w:val="688C1891"/>
    <w:rsid w:val="6A836162"/>
    <w:rsid w:val="6B360D47"/>
    <w:rsid w:val="6C6C4E95"/>
    <w:rsid w:val="6C6E5010"/>
    <w:rsid w:val="6D1E1C7F"/>
    <w:rsid w:val="6D210699"/>
    <w:rsid w:val="6E6074F5"/>
    <w:rsid w:val="6E6F0E9B"/>
    <w:rsid w:val="6E974AD1"/>
    <w:rsid w:val="6E9B466D"/>
    <w:rsid w:val="701C0349"/>
    <w:rsid w:val="70566067"/>
    <w:rsid w:val="710B1445"/>
    <w:rsid w:val="719C4606"/>
    <w:rsid w:val="71DB0EDD"/>
    <w:rsid w:val="72392917"/>
    <w:rsid w:val="724A75D4"/>
    <w:rsid w:val="72C24106"/>
    <w:rsid w:val="72DA169D"/>
    <w:rsid w:val="73867A1E"/>
    <w:rsid w:val="73B103ED"/>
    <w:rsid w:val="74425401"/>
    <w:rsid w:val="75521068"/>
    <w:rsid w:val="756F243D"/>
    <w:rsid w:val="75705B24"/>
    <w:rsid w:val="75744CB3"/>
    <w:rsid w:val="77485200"/>
    <w:rsid w:val="7789551D"/>
    <w:rsid w:val="77972B54"/>
    <w:rsid w:val="783111AD"/>
    <w:rsid w:val="7A8E118C"/>
    <w:rsid w:val="7ABE7EA9"/>
    <w:rsid w:val="7AD35782"/>
    <w:rsid w:val="7B05773A"/>
    <w:rsid w:val="7B8906B0"/>
    <w:rsid w:val="7C0257D1"/>
    <w:rsid w:val="7CEA3FD5"/>
    <w:rsid w:val="7DDB090D"/>
    <w:rsid w:val="7E13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unhideWhenUsed/>
    <w:qFormat/>
    <w:uiPriority w:val="0"/>
    <w:pPr>
      <w:keepNext/>
      <w:keepLines/>
      <w:numPr>
        <w:ilvl w:val="1"/>
        <w:numId w:val="1"/>
      </w:numPr>
      <w:snapToGrid w:val="0"/>
      <w:spacing w:before="20" w:beforeLines="20" w:after="20" w:afterLines="20" w:line="360" w:lineRule="auto"/>
      <w:jc w:val="left"/>
      <w:outlineLvl w:val="1"/>
    </w:pPr>
    <w:rPr>
      <w:rFonts w:ascii="宋体" w:hAnsi="宋体" w:eastAsia="黑体"/>
      <w:b/>
      <w:color w:val="000000"/>
      <w:kern w:val="24"/>
      <w:sz w:val="28"/>
    </w:rPr>
  </w:style>
  <w:style w:type="paragraph" w:styleId="4">
    <w:name w:val="heading 3"/>
    <w:basedOn w:val="3"/>
    <w:next w:val="1"/>
    <w:qFormat/>
    <w:uiPriority w:val="9"/>
    <w:pPr>
      <w:keepNext w:val="0"/>
      <w:keepLines w:val="0"/>
      <w:numPr>
        <w:ilvl w:val="2"/>
        <w:numId w:val="2"/>
      </w:numPr>
      <w:spacing w:before="60" w:after="60" w:line="240" w:lineRule="auto"/>
      <w:jc w:val="left"/>
      <w:outlineLvl w:val="2"/>
    </w:pPr>
    <w:rPr>
      <w:rFonts w:ascii="Times New Roman" w:hAnsi="Times New Roman" w:eastAsia="黑体"/>
      <w:bCs w:val="0"/>
      <w:spacing w:val="10"/>
      <w:kern w:val="0"/>
      <w:sz w:val="28"/>
      <w:szCs w:val="20"/>
    </w:rPr>
  </w:style>
  <w:style w:type="paragraph" w:styleId="5">
    <w:name w:val="heading 4"/>
    <w:basedOn w:val="3"/>
    <w:next w:val="1"/>
    <w:qFormat/>
    <w:uiPriority w:val="0"/>
    <w:pPr>
      <w:keepNext w:val="0"/>
      <w:keepLines w:val="0"/>
      <w:numPr>
        <w:ilvl w:val="3"/>
        <w:numId w:val="2"/>
      </w:numPr>
      <w:tabs>
        <w:tab w:val="left" w:pos="720"/>
      </w:tabs>
      <w:spacing w:before="0" w:after="0" w:line="360" w:lineRule="auto"/>
      <w:jc w:val="left"/>
      <w:outlineLvl w:val="3"/>
    </w:pPr>
    <w:rPr>
      <w:rFonts w:ascii="Times New Roman" w:hAnsi="Times New Roman" w:eastAsia="黑体"/>
      <w:bCs w:val="0"/>
      <w:spacing w:val="10"/>
      <w:kern w:val="0"/>
      <w:sz w:val="24"/>
      <w:szCs w:val="20"/>
    </w:rPr>
  </w:style>
  <w:style w:type="character" w:default="1" w:styleId="13">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Plain Text"/>
    <w:basedOn w:val="1"/>
    <w:qFormat/>
    <w:uiPriority w:val="0"/>
    <w:pPr>
      <w:spacing w:line="360" w:lineRule="auto"/>
    </w:pPr>
    <w:rPr>
      <w:rFonts w:ascii="宋体" w:hAnsi="Courier New"/>
      <w:spacing w:val="-8"/>
      <w:sz w:val="24"/>
      <w:szCs w:val="20"/>
    </w:rPr>
  </w:style>
  <w:style w:type="paragraph" w:styleId="8">
    <w:name w:val="Balloon Text"/>
    <w:basedOn w:val="1"/>
    <w:link w:val="23"/>
    <w:qFormat/>
    <w:uiPriority w:val="0"/>
    <w:rPr>
      <w:sz w:val="18"/>
      <w:szCs w:val="18"/>
    </w:rPr>
  </w:style>
  <w:style w:type="paragraph" w:styleId="9">
    <w:name w:val="footer"/>
    <w:basedOn w:val="1"/>
    <w:link w:val="24"/>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宋体" w:hAnsi="宋体"/>
      <w:kern w:val="0"/>
      <w:sz w:val="24"/>
      <w:szCs w:val="24"/>
    </w:rPr>
  </w:style>
  <w:style w:type="character" w:styleId="14">
    <w:name w:val="Strong"/>
    <w:qFormat/>
    <w:uiPriority w:val="0"/>
    <w:rPr>
      <w:b/>
      <w:bCs/>
    </w:rPr>
  </w:style>
  <w:style w:type="character" w:styleId="15">
    <w:name w:val="FollowedHyperlink"/>
    <w:basedOn w:val="13"/>
    <w:qFormat/>
    <w:uiPriority w:val="0"/>
    <w:rPr>
      <w:color w:val="954F72" w:themeColor="followedHyperlink"/>
      <w:u w:val="single"/>
      <w14:textFill>
        <w14:solidFill>
          <w14:schemeClr w14:val="folHlink"/>
        </w14:solidFill>
      </w14:textFill>
    </w:rPr>
  </w:style>
  <w:style w:type="character" w:styleId="16">
    <w:name w:val="Emphasis"/>
    <w:basedOn w:val="13"/>
    <w:qFormat/>
    <w:uiPriority w:val="0"/>
    <w:rPr>
      <w:i/>
    </w:rPr>
  </w:style>
  <w:style w:type="character" w:styleId="17">
    <w:name w:val="Hyperlink"/>
    <w:basedOn w:val="13"/>
    <w:unhideWhenUsed/>
    <w:qFormat/>
    <w:uiPriority w:val="99"/>
    <w:rPr>
      <w:color w:val="0563C1" w:themeColor="hyperlink"/>
      <w:u w:val="single"/>
      <w14:textFill>
        <w14:solidFill>
          <w14:schemeClr w14:val="hlink"/>
        </w14:solidFill>
      </w14:textFill>
    </w:rPr>
  </w:style>
  <w:style w:type="character" w:styleId="18">
    <w:name w:val="annotation reference"/>
    <w:qFormat/>
    <w:uiPriority w:val="0"/>
    <w:rPr>
      <w:sz w:val="21"/>
      <w:szCs w:val="21"/>
    </w:rPr>
  </w:style>
  <w:style w:type="paragraph" w:customStyle="1" w:styleId="20">
    <w:name w:val="列出段落1"/>
    <w:basedOn w:val="1"/>
    <w:qFormat/>
    <w:uiPriority w:val="34"/>
    <w:pPr>
      <w:ind w:firstLine="420" w:firstLineChars="200"/>
    </w:pPr>
  </w:style>
  <w:style w:type="paragraph" w:customStyle="1" w:styleId="21">
    <w:name w:val="列出段落2"/>
    <w:basedOn w:val="1"/>
    <w:qFormat/>
    <w:uiPriority w:val="0"/>
    <w:pPr>
      <w:ind w:firstLine="420" w:firstLineChars="200"/>
    </w:pPr>
  </w:style>
  <w:style w:type="character" w:customStyle="1" w:styleId="22">
    <w:name w:val="font31"/>
    <w:basedOn w:val="13"/>
    <w:qFormat/>
    <w:uiPriority w:val="0"/>
    <w:rPr>
      <w:rFonts w:hint="eastAsia" w:ascii="宋体" w:hAnsi="宋体" w:eastAsia="宋体" w:cs="宋体"/>
      <w:color w:val="000000"/>
      <w:sz w:val="22"/>
      <w:szCs w:val="22"/>
      <w:u w:val="none"/>
    </w:rPr>
  </w:style>
  <w:style w:type="character" w:customStyle="1" w:styleId="23">
    <w:name w:val="批注框文本 Char"/>
    <w:basedOn w:val="13"/>
    <w:link w:val="8"/>
    <w:qFormat/>
    <w:uiPriority w:val="0"/>
    <w:rPr>
      <w:kern w:val="2"/>
      <w:sz w:val="18"/>
      <w:szCs w:val="18"/>
    </w:rPr>
  </w:style>
  <w:style w:type="character" w:customStyle="1" w:styleId="24">
    <w:name w:val="页脚 Char"/>
    <w:basedOn w:val="13"/>
    <w:link w:val="9"/>
    <w:qFormat/>
    <w:uiPriority w:val="0"/>
    <w:rPr>
      <w:kern w:val="2"/>
      <w:sz w:val="18"/>
      <w:szCs w:val="18"/>
    </w:rPr>
  </w:style>
  <w:style w:type="character" w:customStyle="1" w:styleId="25">
    <w:name w:val="font11"/>
    <w:basedOn w:val="13"/>
    <w:qFormat/>
    <w:uiPriority w:val="0"/>
    <w:rPr>
      <w:rFonts w:hint="eastAsia" w:ascii="宋体" w:hAnsi="宋体" w:eastAsia="宋体" w:cs="宋体"/>
      <w:color w:val="000000"/>
      <w:sz w:val="22"/>
      <w:szCs w:val="22"/>
      <w:u w:val="none"/>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CECE67-FF8B-4768-A072-9481B273138E}">
  <ds:schemaRefs/>
</ds:datastoreItem>
</file>

<file path=docProps/app.xml><?xml version="1.0" encoding="utf-8"?>
<Properties xmlns="http://schemas.openxmlformats.org/officeDocument/2006/extended-properties" xmlns:vt="http://schemas.openxmlformats.org/officeDocument/2006/docPropsVTypes">
  <Template>Normal</Template>
  <Pages>12</Pages>
  <Words>1184</Words>
  <Characters>6749</Characters>
  <Lines>56</Lines>
  <Paragraphs>15</Paragraphs>
  <TotalTime>18</TotalTime>
  <ScaleCrop>false</ScaleCrop>
  <LinksUpToDate>false</LinksUpToDate>
  <CharactersWithSpaces>7918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2020-06-04T02:43:00Z</dcterms:created>
  <dc:creator>张琤</dc:creator>
  <cp:lastModifiedBy>刘奕慧</cp:lastModifiedBy>
  <cp:lastPrinted>2020-06-05T00:24:00Z</cp:lastPrinted>
  <dcterms:modified xsi:type="dcterms:W3CDTF">2020-06-15T06:40:42Z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