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rPr>
          <w:rFonts w:hint="default" w:ascii="Times New Roman" w:hAnsi="Times New Roman" w:eastAsia="仿宋_GB2312" w:cs="Times New Roman"/>
          <w:sz w:val="32"/>
          <w:szCs w:val="24"/>
          <w:lang w:val="en-US"/>
        </w:rPr>
      </w:pPr>
      <w:r>
        <w:rPr>
          <w:rFonts w:hint="eastAsia" w:ascii="黑体" w:hAnsi="宋体" w:eastAsia="黑体" w:cs="黑体"/>
          <w:sz w:val="32"/>
          <w:szCs w:val="24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24"/>
          <w:lang w:val="en-US"/>
        </w:rPr>
        <w:t>1</w:t>
      </w:r>
    </w:p>
    <w:p>
      <w:pPr>
        <w:pStyle w:val="3"/>
        <w:widowControl/>
        <w:rPr>
          <w:rFonts w:hint="default" w:ascii="Times New Roman" w:hAnsi="Times New Roman" w:eastAsia="仿宋_GB2312" w:cs="Times New Roman"/>
          <w:sz w:val="32"/>
          <w:szCs w:val="24"/>
          <w:lang w:val="en-US"/>
        </w:rPr>
      </w:pPr>
    </w:p>
    <w:p>
      <w:pPr>
        <w:pStyle w:val="3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土壤污染重点监管单位自行监测方案</w:t>
      </w:r>
    </w:p>
    <w:p>
      <w:pPr>
        <w:pStyle w:val="3"/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编制大纲</w:t>
      </w:r>
    </w:p>
    <w:p>
      <w:pPr>
        <w:pStyle w:val="3"/>
        <w:widowControl/>
        <w:jc w:val="both"/>
        <w:outlineLvl w:val="1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概述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重点单位概况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2.1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区域自然环境概况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2.2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重点单位基本情况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2.3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地块利用现状和历史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2.4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地块地质和水文地质条件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2.5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相邻地块的现状和历史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2.6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敏感目标分布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2.7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历史环境调查与监测结果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2.8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隐患排查结果分析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 xml:space="preserve">3 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重点单位生产及污染防治情况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 xml:space="preserve">3.1 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生产概况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 xml:space="preserve">3.2 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设施布置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 xml:space="preserve">3.3 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各设施生产工艺与污染防治情况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 xml:space="preserve">3.4 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各设施涉及的有毒有害物质清单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kern w:val="0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kern w:val="0"/>
          <w:sz w:val="32"/>
          <w:szCs w:val="24"/>
          <w:lang w:val="en-US" w:eastAsia="zh-CN" w:bidi="ar"/>
        </w:rPr>
        <w:t>重点设施及疑似污染区域识别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kern w:val="0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4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kern w:val="0"/>
          <w:sz w:val="32"/>
          <w:szCs w:val="24"/>
          <w:lang w:val="en-US" w:eastAsia="zh-CN" w:bidi="ar"/>
        </w:rPr>
        <w:t>布点和监测因子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5.1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监测点位布设及原因分析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5.2</w:t>
      </w:r>
      <w:r>
        <w:rPr>
          <w:rFonts w:hint="eastAsia" w:ascii="Times New Roman" w:hAnsi="Times New Roman" w:eastAsia="仿宋_GB2312" w:cs="仿宋_GB2312"/>
          <w:kern w:val="0"/>
          <w:sz w:val="32"/>
          <w:szCs w:val="24"/>
          <w:lang w:val="en-US" w:eastAsia="zh-CN" w:bidi="ar"/>
        </w:rPr>
        <w:t>监测因子选取及原因分析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5.3</w:t>
      </w:r>
      <w:r>
        <w:rPr>
          <w:rFonts w:hint="eastAsia" w:ascii="Times New Roman" w:hAnsi="Times New Roman" w:eastAsia="仿宋_GB2312" w:cs="仿宋_GB2312"/>
          <w:kern w:val="2"/>
          <w:sz w:val="32"/>
          <w:szCs w:val="24"/>
          <w:lang w:val="en-US" w:eastAsia="zh-CN" w:bidi="ar"/>
        </w:rPr>
        <w:t>监测频次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kern w:val="0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4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kern w:val="0"/>
          <w:sz w:val="32"/>
          <w:szCs w:val="24"/>
          <w:lang w:val="en-US" w:eastAsia="zh-CN" w:bidi="ar"/>
        </w:rPr>
        <w:t>样品采集、保存、流转及分析测试工作计划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kern w:val="0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4"/>
          <w:lang w:val="en-US" w:eastAsia="zh-CN" w:bidi="ar"/>
        </w:rPr>
        <w:t>6.1</w:t>
      </w:r>
      <w:r>
        <w:rPr>
          <w:rFonts w:hint="eastAsia" w:ascii="Times New Roman" w:hAnsi="Times New Roman" w:eastAsia="仿宋_GB2312" w:cs="仿宋_GB2312"/>
          <w:kern w:val="0"/>
          <w:sz w:val="32"/>
          <w:szCs w:val="24"/>
          <w:lang w:val="en-US" w:eastAsia="zh-CN" w:bidi="ar"/>
        </w:rPr>
        <w:t>点位建设及维护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kern w:val="0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4"/>
          <w:lang w:val="en-US" w:eastAsia="zh-CN" w:bidi="ar"/>
        </w:rPr>
        <w:t xml:space="preserve">6.2 </w:t>
      </w:r>
      <w:r>
        <w:rPr>
          <w:rFonts w:hint="eastAsia" w:ascii="Times New Roman" w:hAnsi="Times New Roman" w:eastAsia="仿宋_GB2312" w:cs="仿宋_GB2312"/>
          <w:kern w:val="0"/>
          <w:sz w:val="32"/>
          <w:szCs w:val="24"/>
          <w:lang w:val="en-US" w:eastAsia="zh-CN" w:bidi="ar"/>
        </w:rPr>
        <w:t>样品采集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kern w:val="0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4"/>
          <w:lang w:val="en-US" w:eastAsia="zh-CN" w:bidi="ar"/>
        </w:rPr>
        <w:t>6.3</w:t>
      </w:r>
      <w:r>
        <w:rPr>
          <w:rFonts w:hint="eastAsia" w:ascii="Times New Roman" w:hAnsi="Times New Roman" w:eastAsia="仿宋_GB2312" w:cs="仿宋_GB2312"/>
          <w:kern w:val="0"/>
          <w:sz w:val="32"/>
          <w:szCs w:val="24"/>
          <w:lang w:val="en-US" w:eastAsia="zh-CN" w:bidi="ar"/>
        </w:rPr>
        <w:t>样品保存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kern w:val="0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4"/>
          <w:lang w:val="en-US" w:eastAsia="zh-CN" w:bidi="ar"/>
        </w:rPr>
        <w:t>6.4</w:t>
      </w:r>
      <w:r>
        <w:rPr>
          <w:rFonts w:hint="eastAsia" w:ascii="Times New Roman" w:hAnsi="Times New Roman" w:eastAsia="仿宋_GB2312" w:cs="仿宋_GB2312"/>
          <w:kern w:val="0"/>
          <w:sz w:val="32"/>
          <w:szCs w:val="24"/>
          <w:lang w:val="en-US" w:eastAsia="zh-CN" w:bidi="ar"/>
        </w:rPr>
        <w:t>样品流转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60" w:firstLineChars="300"/>
        <w:jc w:val="left"/>
        <w:rPr>
          <w:kern w:val="0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4"/>
          <w:lang w:val="en-US" w:eastAsia="zh-CN" w:bidi="ar"/>
        </w:rPr>
        <w:t>6.5</w:t>
      </w:r>
      <w:r>
        <w:rPr>
          <w:rFonts w:hint="eastAsia" w:ascii="Times New Roman" w:hAnsi="Times New Roman" w:eastAsia="仿宋_GB2312" w:cs="仿宋_GB2312"/>
          <w:kern w:val="0"/>
          <w:sz w:val="32"/>
          <w:szCs w:val="24"/>
          <w:lang w:val="en-US" w:eastAsia="zh-CN" w:bidi="ar"/>
        </w:rPr>
        <w:t>样品分析测试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kern w:val="0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4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kern w:val="0"/>
          <w:sz w:val="32"/>
          <w:szCs w:val="24"/>
          <w:lang w:val="en-US" w:eastAsia="zh-CN" w:bidi="ar"/>
        </w:rPr>
        <w:t>质量保证及质量控制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kern w:val="0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4"/>
          <w:lang w:val="en-US" w:eastAsia="zh-CN" w:bidi="ar"/>
        </w:rPr>
        <w:t>8</w:t>
      </w:r>
      <w:r>
        <w:rPr>
          <w:rFonts w:hint="eastAsia" w:ascii="Times New Roman" w:hAnsi="Times New Roman" w:eastAsia="仿宋_GB2312" w:cs="仿宋_GB2312"/>
          <w:kern w:val="0"/>
          <w:sz w:val="32"/>
          <w:szCs w:val="24"/>
          <w:lang w:val="en-US" w:eastAsia="zh-CN" w:bidi="ar"/>
        </w:rPr>
        <w:t>健康和安全防护计划</w:t>
      </w:r>
    </w:p>
    <w:p>
      <w:pPr>
        <w:pStyle w:val="3"/>
        <w:widowControl/>
        <w:spacing w:line="380" w:lineRule="exact"/>
        <w:ind w:left="0" w:firstLine="640" w:firstLineChars="200"/>
        <w:rPr>
          <w:rFonts w:hint="eastAsia" w:ascii="仿宋_GB2312" w:eastAsia="宋体" w:cs="仿宋_GB231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4"/>
          <w:lang w:val="en-US" w:eastAsia="zh-CN" w:bidi="ar"/>
        </w:rPr>
        <w:t>9</w:t>
      </w:r>
      <w:r>
        <w:rPr>
          <w:rFonts w:hint="eastAsia" w:ascii="Times New Roman" w:hAnsi="Times New Roman" w:eastAsia="仿宋_GB2312" w:cs="仿宋_GB2312"/>
          <w:kern w:val="0"/>
          <w:sz w:val="32"/>
          <w:szCs w:val="24"/>
          <w:lang w:val="en-US" w:eastAsia="zh-CN" w:bidi="ar"/>
        </w:rPr>
        <w:t>附件</w:t>
      </w:r>
      <w:bookmarkStart w:id="0" w:name="_GoBack"/>
      <w:bookmarkEnd w:id="0"/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楷体_GB2312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4B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Times New Roman"/>
      <w:kern w:val="0"/>
      <w:sz w:val="24"/>
      <w:szCs w:val="24"/>
      <w:lang w:val="en-US" w:eastAsia="zh-CN" w:bidi="ar"/>
    </w:rPr>
  </w:style>
  <w:style w:type="character" w:customStyle="1" w:styleId="6">
    <w:name w:val="页脚 字符"/>
    <w:basedOn w:val="4"/>
    <w:link w:val="2"/>
    <w:uiPriority w:val="0"/>
    <w:rPr>
      <w:rFonts w:hint="eastAsia" w:asci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2021-12-07T08:58:40Z</dcterms:created>
  <dc:creator>pengaihua1</dc:creator>
  <cp:lastModifiedBy>pengaihua1</cp:lastModifiedBy>
  <dcterms:modified xsi:type="dcterms:W3CDTF">2021-12-07T08:59:13Z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