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</w:p>
    <w:p>
      <w:pPr>
        <w:bidi w:val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eastAsia="黑体"/>
          <w:bCs/>
          <w:kern w:val="44"/>
          <w:sz w:val="44"/>
          <w:szCs w:val="44"/>
        </w:rPr>
      </w:pPr>
      <w:r>
        <w:rPr>
          <w:rFonts w:hint="eastAsia" w:eastAsia="黑体"/>
          <w:bCs/>
          <w:kern w:val="44"/>
          <w:sz w:val="44"/>
          <w:szCs w:val="44"/>
        </w:rPr>
        <w:t>广东省重点工程大气污染物治理项目VOCs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eastAsia="黑体" w:cs="Times New Roman"/>
          <w:sz w:val="52"/>
          <w:szCs w:val="52"/>
          <w:lang w:eastAsia="zh-CN"/>
        </w:rPr>
      </w:pPr>
      <w:r>
        <w:rPr>
          <w:rFonts w:hint="eastAsia" w:eastAsia="黑体"/>
          <w:bCs/>
          <w:kern w:val="44"/>
          <w:sz w:val="44"/>
          <w:szCs w:val="44"/>
        </w:rPr>
        <w:t>减排量核算报告</w:t>
      </w:r>
      <w:r>
        <w:rPr>
          <w:rFonts w:hint="eastAsia" w:eastAsia="黑体"/>
          <w:bCs/>
          <w:kern w:val="44"/>
          <w:sz w:val="44"/>
          <w:szCs w:val="44"/>
          <w:lang w:eastAsia="zh-CN"/>
        </w:rPr>
        <w:t>（</w:t>
      </w:r>
      <w:r>
        <w:rPr>
          <w:rFonts w:hint="eastAsia" w:eastAsia="黑体"/>
          <w:bCs/>
          <w:kern w:val="44"/>
          <w:sz w:val="44"/>
          <w:szCs w:val="44"/>
          <w:lang w:val="en-US" w:eastAsia="zh-CN"/>
        </w:rPr>
        <w:t>模板</w:t>
      </w:r>
      <w:r>
        <w:rPr>
          <w:rFonts w:hint="eastAsia" w:eastAsia="黑体"/>
          <w:bCs/>
          <w:kern w:val="44"/>
          <w:sz w:val="44"/>
          <w:szCs w:val="44"/>
          <w:lang w:eastAsia="zh-CN"/>
        </w:rPr>
        <w:t>）</w:t>
      </w:r>
      <w:bookmarkStart w:id="0" w:name="_GoBack"/>
      <w:bookmarkEnd w:id="0"/>
    </w:p>
    <w:p>
      <w:pPr>
        <w:bidi w:val="0"/>
        <w:ind w:left="0" w:leftChars="0" w:firstLine="0" w:firstLineChars="0"/>
      </w:pPr>
    </w:p>
    <w:p>
      <w:pPr>
        <w:bidi w:val="0"/>
        <w:ind w:left="0" w:leftChars="0" w:firstLine="0" w:firstLineChars="0"/>
      </w:pPr>
    </w:p>
    <w:p>
      <w:pPr>
        <w:bidi w:val="0"/>
        <w:ind w:left="0" w:leftChars="0" w:firstLine="0" w:firstLineChars="0"/>
      </w:pPr>
    </w:p>
    <w:p>
      <w:pPr>
        <w:bidi w:val="0"/>
        <w:ind w:left="0" w:leftChars="0" w:firstLine="0" w:firstLineChars="0"/>
      </w:pPr>
    </w:p>
    <w:p>
      <w:pPr>
        <w:bidi w:val="0"/>
        <w:ind w:left="0" w:leftChars="0" w:firstLine="0" w:firstLineChars="0"/>
      </w:pPr>
    </w:p>
    <w:p>
      <w:pPr>
        <w:bidi w:val="0"/>
        <w:ind w:left="0" w:leftChars="0" w:firstLine="0" w:firstLineChars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7" w:leftChars="265" w:firstLine="873" w:firstLineChars="245"/>
        <w:jc w:val="left"/>
        <w:textAlignment w:val="auto"/>
        <w:rPr>
          <w:rFonts w:cs="Times New Roman"/>
          <w:sz w:val="36"/>
          <w:szCs w:val="36"/>
        </w:rPr>
      </w:pPr>
      <w:r>
        <w:rPr>
          <w:rFonts w:hint="eastAsia" w:cs="Times New Roman"/>
          <w:sz w:val="36"/>
          <w:szCs w:val="36"/>
        </w:rPr>
        <w:t>企业名称</w:t>
      </w:r>
      <w:r>
        <w:rPr>
          <w:rFonts w:hint="eastAsia" w:cs="Times New Roman"/>
          <w:sz w:val="36"/>
          <w:szCs w:val="36"/>
          <w:u w:val="single"/>
        </w:rPr>
        <w:t xml:space="preserve"> </w:t>
      </w:r>
      <w:r>
        <w:rPr>
          <w:rFonts w:cs="Times New Roman"/>
          <w:sz w:val="36"/>
          <w:szCs w:val="36"/>
          <w:u w:val="single"/>
        </w:rPr>
        <w:t xml:space="preserve">                </w:t>
      </w:r>
      <w:r>
        <w:rPr>
          <w:rFonts w:hint="eastAsia" w:cs="Times New Roman"/>
          <w:sz w:val="36"/>
          <w:szCs w:val="36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7" w:leftChars="265" w:firstLine="873" w:firstLineChars="245"/>
        <w:jc w:val="left"/>
        <w:textAlignment w:val="auto"/>
        <w:rPr>
          <w:rFonts w:cs="Times New Roman"/>
          <w:sz w:val="36"/>
          <w:szCs w:val="36"/>
        </w:rPr>
      </w:pPr>
      <w:r>
        <w:rPr>
          <w:rFonts w:hint="eastAsia" w:cs="Times New Roman"/>
          <w:sz w:val="36"/>
          <w:szCs w:val="36"/>
        </w:rPr>
        <w:t>报告年度</w:t>
      </w:r>
      <w:r>
        <w:rPr>
          <w:rFonts w:hint="eastAsia" w:cs="Times New Roman"/>
          <w:sz w:val="36"/>
          <w:szCs w:val="36"/>
          <w:u w:val="single"/>
        </w:rPr>
        <w:t xml:space="preserve"> </w:t>
      </w:r>
      <w:r>
        <w:rPr>
          <w:rFonts w:cs="Times New Roman"/>
          <w:sz w:val="36"/>
          <w:szCs w:val="36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37" w:leftChars="265" w:firstLine="873" w:firstLineChars="245"/>
        <w:jc w:val="left"/>
        <w:textAlignment w:val="auto"/>
        <w:rPr>
          <w:rFonts w:cs="Times New Roman"/>
          <w:sz w:val="36"/>
          <w:szCs w:val="36"/>
          <w:u w:val="single"/>
        </w:rPr>
      </w:pPr>
      <w:r>
        <w:rPr>
          <w:rFonts w:hint="eastAsia" w:cs="Times New Roman"/>
          <w:sz w:val="36"/>
          <w:szCs w:val="36"/>
        </w:rPr>
        <w:t>编制日期</w:t>
      </w:r>
      <w:r>
        <w:rPr>
          <w:rFonts w:hint="eastAsia" w:cs="Times New Roman"/>
          <w:sz w:val="36"/>
          <w:szCs w:val="36"/>
          <w:u w:val="single"/>
        </w:rPr>
        <w:t xml:space="preserve"> </w:t>
      </w:r>
      <w:r>
        <w:rPr>
          <w:rFonts w:cs="Times New Roman"/>
          <w:sz w:val="36"/>
          <w:szCs w:val="36"/>
          <w:u w:val="single"/>
        </w:rPr>
        <w:t xml:space="preserve">                </w:t>
      </w:r>
    </w:p>
    <w:p>
      <w:pPr>
        <w:widowControl/>
        <w:ind w:firstLine="0" w:firstLineChars="0"/>
        <w:jc w:val="left"/>
        <w:rPr>
          <w:rFonts w:cs="Times New Roman"/>
          <w:sz w:val="36"/>
          <w:szCs w:val="36"/>
          <w:u w:val="single"/>
        </w:rPr>
      </w:pPr>
    </w:p>
    <w:p>
      <w:pPr>
        <w:bidi w:val="0"/>
      </w:pPr>
    </w:p>
    <w:p>
      <w:pPr>
        <w:bidi w:val="0"/>
        <w:sectPr>
          <w:headerReference r:id="rId5" w:type="default"/>
          <w:pgSz w:w="11906" w:h="16838"/>
          <w:pgMar w:top="2098" w:right="1474" w:bottom="1984" w:left="1587" w:header="851" w:footer="1587" w:gutter="0"/>
          <w:pgNumType w:fmt="decimal"/>
          <w:cols w:space="0" w:num="1"/>
          <w:rtlGutter w:val="0"/>
          <w:docGrid w:type="linesAndChars" w:linePitch="579" w:charSpace="-842"/>
        </w:sectPr>
      </w:pPr>
    </w:p>
    <w:p>
      <w:pPr>
        <w:pStyle w:val="2"/>
        <w:sectPr>
          <w:footerReference r:id="rId6" w:type="default"/>
          <w:pgSz w:w="11906" w:h="16838"/>
          <w:pgMar w:top="2098" w:right="1474" w:bottom="1984" w:left="1587" w:header="851" w:footer="1587" w:gutter="0"/>
          <w:pgNumType w:fmt="decimal" w:start="1"/>
          <w:cols w:space="0" w:num="1"/>
          <w:rtlGutter w:val="0"/>
          <w:docGrid w:type="linesAndChars" w:linePitch="579" w:charSpace="-842"/>
        </w:sectPr>
      </w:pPr>
    </w:p>
    <w:p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一、企业基本信息</w:t>
      </w:r>
    </w:p>
    <w:p>
      <w:pPr>
        <w:bidi w:val="0"/>
      </w:pPr>
      <w:r>
        <w:rPr>
          <w:rFonts w:hint="eastAsia"/>
        </w:rPr>
        <w:t>企业工商注册名称、经营地址、社会统一信用代码、行业名称代码（参照GB/T 4754-2017的行业分类及代码）、排污许可管理类型（重点管理、简化管理及登记管理）、企业经办人姓名和联系方式、VOCs分级和深度治理开展情况等。</w:t>
      </w:r>
    </w:p>
    <w:p>
      <w:pPr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eastAsia="黑体" w:cs="Times New Roman"/>
          <w:spacing w:val="2"/>
          <w:sz w:val="28"/>
          <w:szCs w:val="28"/>
        </w:rPr>
      </w:pPr>
      <w:r>
        <w:rPr>
          <w:rFonts w:eastAsia="黑体" w:cs="Times New Roman"/>
          <w:sz w:val="28"/>
          <w:szCs w:val="28"/>
        </w:rPr>
        <w:t>表</w:t>
      </w:r>
      <w:r>
        <w:rPr>
          <w:rFonts w:hint="eastAsia" w:eastAsia="黑体" w:cs="Times New Roman"/>
          <w:sz w:val="28"/>
          <w:szCs w:val="28"/>
        </w:rPr>
        <w:t>1-1</w:t>
      </w:r>
      <w:r>
        <w:rPr>
          <w:rFonts w:hint="eastAsia" w:eastAsia="黑体" w:cs="Times New Roman"/>
          <w:sz w:val="28"/>
          <w:szCs w:val="28"/>
          <w:lang w:val="en-US" w:eastAsia="zh-CN"/>
        </w:rPr>
        <w:t xml:space="preserve"> </w:t>
      </w:r>
      <w:r>
        <w:rPr>
          <w:rFonts w:eastAsia="黑体" w:cs="Times New Roman"/>
          <w:spacing w:val="2"/>
          <w:sz w:val="28"/>
          <w:szCs w:val="28"/>
        </w:rPr>
        <w:t>企</w:t>
      </w:r>
      <w:r>
        <w:rPr>
          <w:rFonts w:eastAsia="黑体" w:cs="Times New Roman"/>
          <w:sz w:val="28"/>
          <w:szCs w:val="28"/>
        </w:rPr>
        <w:t>业</w:t>
      </w:r>
      <w:r>
        <w:rPr>
          <w:rFonts w:eastAsia="黑体" w:cs="Times New Roman"/>
          <w:spacing w:val="2"/>
          <w:sz w:val="28"/>
          <w:szCs w:val="28"/>
        </w:rPr>
        <w:t>基本信息表</w:t>
      </w:r>
    </w:p>
    <w:tbl>
      <w:tblPr>
        <w:tblStyle w:val="10"/>
        <w:tblW w:w="883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2012"/>
        <w:gridCol w:w="2213"/>
        <w:gridCol w:w="23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企业工商注册名称</w:t>
            </w:r>
          </w:p>
        </w:tc>
        <w:tc>
          <w:tcPr>
            <w:tcW w:w="6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经营地址</w:t>
            </w:r>
          </w:p>
        </w:tc>
        <w:tc>
          <w:tcPr>
            <w:tcW w:w="6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社会统一信用代码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行业名称及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代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码（四位）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排污许可管理类型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企业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联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系人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联系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电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话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电子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邮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箱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建厂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时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间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left="297"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最新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改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扩</w:t>
            </w:r>
            <w:r>
              <w:rPr>
                <w:rFonts w:hint="default" w:ascii="Times New Roman" w:hAnsi="Times New Roman" w:eastAsia="楷体_GB2312" w:cs="Times New Roman"/>
                <w:spacing w:val="-2"/>
                <w:sz w:val="21"/>
                <w:szCs w:val="21"/>
              </w:rPr>
              <w:t>建</w:t>
            </w: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时间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left="90"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是否开展VOCs分级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最近一次VOCs分级核定结果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left="90"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是否已开展VOCs深度治理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VOCs深度治理完成时间（验收时间为准）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二、企业生产信息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</w:rPr>
      </w:pPr>
      <w:r>
        <w:rPr>
          <w:b/>
          <w:bCs/>
        </w:rPr>
        <w:t>2.1设计产能及实际生产情况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t>列表逐项说明</w:t>
      </w:r>
      <w:r>
        <w:rPr>
          <w:rFonts w:hint="eastAsia"/>
        </w:rPr>
        <w:t>企业</w:t>
      </w:r>
      <w:r>
        <w:t>各类产品的</w:t>
      </w:r>
      <w:r>
        <w:rPr>
          <w:rFonts w:hint="eastAsia"/>
        </w:rPr>
        <w:t>年</w:t>
      </w:r>
      <w:r>
        <w:t>设计产能</w:t>
      </w:r>
      <w:r>
        <w:rPr>
          <w:rFonts w:hint="eastAsia"/>
        </w:rPr>
        <w:t>、</w:t>
      </w:r>
      <w:r>
        <w:t>近三年的产能和</w:t>
      </w:r>
      <w:r>
        <w:rPr>
          <w:rFonts w:hint="eastAsia"/>
        </w:rPr>
        <w:t>对应</w:t>
      </w:r>
      <w:r>
        <w:t>生产</w:t>
      </w:r>
      <w:r>
        <w:rPr>
          <w:rFonts w:hint="eastAsia"/>
        </w:rPr>
        <w:t>车间</w:t>
      </w:r>
      <w:r>
        <w:t>等（见表2-1）。</w:t>
      </w:r>
    </w:p>
    <w:p>
      <w:pPr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表2-1 项目设计产能及实际生产情况表</w:t>
      </w:r>
    </w:p>
    <w:tbl>
      <w:tblPr>
        <w:tblStyle w:val="17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165"/>
        <w:gridCol w:w="1369"/>
        <w:gridCol w:w="1212"/>
        <w:gridCol w:w="1286"/>
        <w:gridCol w:w="1263"/>
        <w:gridCol w:w="957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产品名称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年设计产能</w:t>
            </w:r>
          </w:p>
        </w:tc>
        <w:tc>
          <w:tcPr>
            <w:tcW w:w="12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XX年产量</w:t>
            </w:r>
          </w:p>
        </w:tc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XX年产量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XX年产量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计量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生产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车间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1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2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...</w:t>
            </w:r>
          </w:p>
        </w:tc>
        <w:tc>
          <w:tcPr>
            <w:tcW w:w="1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</w:rPr>
      </w:pPr>
      <w:r>
        <w:rPr>
          <w:b/>
          <w:bCs/>
        </w:rPr>
        <w:t>2.2主要原辅材料使用情况</w:t>
      </w:r>
    </w:p>
    <w:p>
      <w:pPr>
        <w:bidi w:val="0"/>
      </w:pPr>
      <w:r>
        <w:t>列表逐项说明企业使用的</w:t>
      </w:r>
      <w:r>
        <w:rPr>
          <w:rFonts w:hint="eastAsia"/>
        </w:rPr>
        <w:t>涉VOCs</w:t>
      </w:r>
      <w:r>
        <w:t>原辅材料名称</w:t>
      </w:r>
      <w:r>
        <w:rPr>
          <w:rFonts w:hint="eastAsia"/>
        </w:rPr>
        <w:t>、设计年使用量、近三年的使用量及</w:t>
      </w:r>
      <w:r>
        <w:t>VOCs含量（见表2-2）。</w:t>
      </w:r>
    </w:p>
    <w:p>
      <w:pPr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ascii="黑体" w:hAnsi="黑体" w:eastAsia="黑体" w:cs="黑体"/>
          <w:sz w:val="21"/>
          <w:szCs w:val="21"/>
        </w:rPr>
      </w:pPr>
      <w:r>
        <w:rPr>
          <w:rFonts w:hint="eastAsia" w:eastAsia="黑体" w:cs="Times New Roman"/>
          <w:sz w:val="28"/>
          <w:szCs w:val="28"/>
        </w:rPr>
        <w:t>表2-2 主要涉VOCs原辅材料使用情况</w:t>
      </w:r>
    </w:p>
    <w:tbl>
      <w:tblPr>
        <w:tblStyle w:val="10"/>
        <w:tblW w:w="9019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790"/>
        <w:gridCol w:w="1039"/>
        <w:gridCol w:w="1055"/>
        <w:gridCol w:w="1137"/>
        <w:gridCol w:w="1163"/>
        <w:gridCol w:w="1009"/>
        <w:gridCol w:w="1043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Header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position w:val="-2"/>
                <w:sz w:val="21"/>
                <w:szCs w:val="21"/>
              </w:rPr>
              <w:t>序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号</w:t>
            </w:r>
          </w:p>
        </w:tc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设计年使用量（单位）</w:t>
            </w:r>
          </w:p>
        </w:tc>
        <w:tc>
          <w:tcPr>
            <w:tcW w:w="1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XX年使用量（单位）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XX年使用量（单位）</w:t>
            </w: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XX年使用量（单位）</w:t>
            </w: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使用车间</w:t>
            </w:r>
          </w:p>
        </w:tc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position w:val="-2"/>
                <w:sz w:val="21"/>
                <w:szCs w:val="21"/>
              </w:rPr>
              <w:t>VOCs含量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position w:val="-2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position w:val="-2"/>
                <w:sz w:val="21"/>
                <w:szCs w:val="21"/>
              </w:rPr>
              <w:t>VOCs含量计量单位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  <w:vertAlign w:val="superscript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1</w:t>
            </w:r>
          </w:p>
        </w:tc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2</w:t>
            </w:r>
          </w:p>
        </w:tc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...</w:t>
            </w:r>
          </w:p>
        </w:tc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FF0000"/>
                <w:sz w:val="21"/>
                <w:szCs w:val="21"/>
              </w:rPr>
            </w:pPr>
          </w:p>
        </w:tc>
      </w:tr>
    </w:tbl>
    <w:p>
      <w:pPr>
        <w:bidi w:val="0"/>
        <w:ind w:left="0" w:leftChars="0" w:firstLine="0" w:firstLineChars="0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</w:rPr>
        <w:t>备注：根据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原辅材料VOCs含量限值标准中VOC</w:t>
      </w:r>
      <w:r>
        <w:rPr>
          <w:rFonts w:hint="default" w:ascii="Times New Roman" w:hAnsi="Times New Roman" w:eastAsia="楷体_GB2312" w:cs="Times New Roman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含量单位填写计量单位，如g/L、%。</w:t>
      </w:r>
    </w:p>
    <w:p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三、主要生产工艺流程</w:t>
      </w:r>
    </w:p>
    <w:p>
      <w:pPr>
        <w:bidi w:val="0"/>
      </w:pPr>
      <w:r>
        <w:t>描述企业生生产工艺流程、生产线</w:t>
      </w:r>
      <w:r>
        <w:rPr>
          <w:rFonts w:hint="eastAsia"/>
        </w:rPr>
        <w:t>及主要生产设施等情况，分析</w:t>
      </w:r>
      <w:r>
        <w:t>涉VOCs产生环节，并附上生产工艺流程图（含VOCs产排环节）</w:t>
      </w:r>
      <w:r>
        <w:rPr>
          <w:rFonts w:hint="eastAsia"/>
        </w:rPr>
        <w:t>和厂区平面布置图。</w:t>
      </w:r>
    </w:p>
    <w:p>
      <w:pPr>
        <w:bidi w:val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四、治理任务实施信息</w:t>
      </w:r>
    </w:p>
    <w:p>
      <w:pPr>
        <w:bidi w:val="0"/>
      </w:pPr>
      <w:r>
        <w:rPr>
          <w:rFonts w:hint="eastAsia"/>
        </w:rPr>
        <w:t>对照《广东省涉VOCs重点行业治理指引》（粤环办〔2021〕43号）对应所属行业，逐条说明治理任务的的完成情况，包括：各项治理任务是否完成、完成时间、完成或未完成情况说明（见表4-1）。</w:t>
      </w:r>
    </w:p>
    <w:p>
      <w:pPr>
        <w:bidi w:val="0"/>
        <w:sectPr>
          <w:footerReference r:id="rId7" w:type="default"/>
          <w:pgSz w:w="11906" w:h="16838"/>
          <w:pgMar w:top="2098" w:right="1474" w:bottom="1984" w:left="1587" w:header="851" w:footer="1587" w:gutter="0"/>
          <w:pgNumType w:fmt="decimal" w:start="1"/>
          <w:cols w:space="0" w:num="1"/>
          <w:rtlGutter w:val="0"/>
          <w:docGrid w:type="linesAndChars" w:linePitch="579" w:charSpace="-842"/>
        </w:sectPr>
      </w:pPr>
    </w:p>
    <w:p>
      <w:pPr>
        <w:bidi w:val="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表4-1 VOCs治理任务实施情况汇总表</w:t>
      </w:r>
    </w:p>
    <w:tbl>
      <w:tblPr>
        <w:tblStyle w:val="17"/>
        <w:tblW w:w="15018" w:type="dxa"/>
        <w:tblInd w:w="-1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387"/>
        <w:gridCol w:w="4482"/>
        <w:gridCol w:w="821"/>
        <w:gridCol w:w="1583"/>
        <w:gridCol w:w="1208"/>
        <w:gridCol w:w="4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tblHeader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环节</w:t>
            </w:r>
          </w:p>
        </w:tc>
        <w:tc>
          <w:tcPr>
            <w:tcW w:w="44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控制要求</w:t>
            </w:r>
          </w:p>
        </w:tc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实施要求</w:t>
            </w: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是否已完成治理任务</w:t>
            </w: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完成时间</w:t>
            </w:r>
          </w:p>
        </w:tc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完成或未完成情况说明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5018" w:type="dxa"/>
            <w:gridSpan w:val="7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源头削减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凹印</w:t>
            </w:r>
          </w:p>
        </w:tc>
        <w:tc>
          <w:tcPr>
            <w:tcW w:w="44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溶剂型凹印油墨，VOCs≤75%。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要求</w:t>
            </w: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是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2019年12月</w:t>
            </w:r>
          </w:p>
        </w:tc>
        <w:tc>
          <w:tcPr>
            <w:tcW w:w="49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经第三方机构出具的产品质量检测报告，全厂所使用的溶剂型凹印油墨VOCs含量为X%，小于75%。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....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49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5018" w:type="dxa"/>
            <w:gridSpan w:val="7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过程控制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所有印刷生产类型</w:t>
            </w:r>
          </w:p>
        </w:tc>
        <w:tc>
          <w:tcPr>
            <w:tcW w:w="44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油墨、粘胶剂、清洗剂等含VOCs原辅材料存储、转移、放置密闭。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要求</w:t>
            </w: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是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2020年8月</w:t>
            </w:r>
          </w:p>
        </w:tc>
        <w:tc>
          <w:tcPr>
            <w:tcW w:w="49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所有油墨、粘胶剂、稀释剂等等涉VOCs原辅材料均使用密闭容器进行存储、转移和放置。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....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49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5018" w:type="dxa"/>
            <w:gridSpan w:val="7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末端治理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凹印</w:t>
            </w:r>
          </w:p>
        </w:tc>
        <w:tc>
          <w:tcPr>
            <w:tcW w:w="44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吸附技术+燃烧技术，典型治理技术路线为“旋转式分子筛吸附浓缩+RTO”和“活性炭吸附/旋转式分子筛吸附浓缩+CO”。</w:t>
            </w:r>
          </w:p>
        </w:tc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推荐</w:t>
            </w: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是</w:t>
            </w: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2021年11月</w:t>
            </w:r>
          </w:p>
        </w:tc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公司采用1套“水喷淋+活性炭吸附/脱附+催化氧化”设施治理印刷、覆膜、烘干等工序产生的废气。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....</w:t>
            </w: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5018" w:type="dxa"/>
            <w:gridSpan w:val="7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环境管理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管理台账</w:t>
            </w:r>
          </w:p>
        </w:tc>
        <w:tc>
          <w:tcPr>
            <w:tcW w:w="44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建立含VOCs原辅材料台账，记录含VOCs原辅材料的名称及其VOCs含量、采购量、使用量、库存量、含VOCs原辅材料回收方式及回收量。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要求</w:t>
            </w: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是</w:t>
            </w: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2020年11月</w:t>
            </w:r>
          </w:p>
        </w:tc>
        <w:tc>
          <w:tcPr>
            <w:tcW w:w="49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公司已建立了</w:t>
            </w: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含VOCs原辅材料台账，记录含VOCs原辅材料的名称及其VOCs含量、采购量、使用量、库存量、含VOCs原辅材料回收方式及回收量。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....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490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5018" w:type="dxa"/>
            <w:gridSpan w:val="7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建设项目VOCs总量管理</w:t>
            </w:r>
          </w:p>
        </w:tc>
        <w:tc>
          <w:tcPr>
            <w:tcW w:w="44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新、改、扩建项目应执行总量替代制度，明确VOCs总量指标来源。</w:t>
            </w:r>
          </w:p>
        </w:tc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不涉及</w:t>
            </w: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  <w:t>本企业未涉及新、改、扩建项目。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63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....</w:t>
            </w:r>
          </w:p>
        </w:tc>
        <w:tc>
          <w:tcPr>
            <w:tcW w:w="13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9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160" w:lineRule="exact"/>
        <w:ind w:firstLine="0" w:firstLineChars="0"/>
        <w:textAlignment w:val="auto"/>
        <w:rPr>
          <w:rFonts w:cs="Times New Roman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firstLine="640"/>
        <w:textAlignment w:val="auto"/>
        <w:sectPr>
          <w:footerReference r:id="rId8" w:type="default"/>
          <w:pgSz w:w="16838" w:h="11906" w:orient="landscape"/>
          <w:pgMar w:top="1417" w:right="1134" w:bottom="1417" w:left="1134" w:header="851" w:footer="992" w:gutter="0"/>
          <w:pgNumType w:fmt="decimal"/>
          <w:cols w:space="0" w:num="1"/>
          <w:rtlGutter w:val="0"/>
          <w:docGrid w:type="lines" w:linePitch="453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五、申报奖补的治理项目实施信息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</w:rPr>
        <w:t>5</w:t>
      </w:r>
      <w:r>
        <w:t>.1</w:t>
      </w:r>
      <w:r>
        <w:rPr>
          <w:rFonts w:hint="eastAsia"/>
        </w:rPr>
        <w:t>源头项目实施信息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</w:rPr>
        <w:t>描述源头替代项目的具体项目名称、对应的治理任务序号、项目完成时间、对应的关键生产线/工序、对应的关键设备/器械名称、替代前后原辅材料名称、VOCs含量等信息，并填写表5-1。</w:t>
      </w:r>
    </w:p>
    <w:p>
      <w:pPr>
        <w:tabs>
          <w:tab w:val="left" w:pos="4140"/>
        </w:tabs>
        <w:spacing w:line="36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表5-1 源头替代项目信息汇总表</w:t>
      </w:r>
    </w:p>
    <w:tbl>
      <w:tblPr>
        <w:tblStyle w:val="17"/>
        <w:tblW w:w="14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284"/>
        <w:gridCol w:w="1194"/>
        <w:gridCol w:w="1278"/>
        <w:gridCol w:w="1204"/>
        <w:gridCol w:w="1243"/>
        <w:gridCol w:w="1398"/>
        <w:gridCol w:w="1163"/>
        <w:gridCol w:w="1398"/>
        <w:gridCol w:w="1311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治理项目名称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对应的治理任务序号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完成时间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生产线/工序</w:t>
            </w: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关键设备/器械名称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替代前VOCs物料名称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替代前VOCs物料含量</w:t>
            </w: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VOCs含量计量单位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替代后VOCs物料名称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替代后VOCs物料含量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</w:rPr>
              <w:t>VOCs含量计量单位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油墨清洁化替代项目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14</w:t>
            </w:r>
          </w:p>
        </w:tc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2021年12月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印刷工序</w:t>
            </w: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丝网印刷机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溶剂型丝印油墨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60</w:t>
            </w: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%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能量固化油墨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3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</w:rPr>
              <w:t>...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hint="default" w:ascii="Times New Roman" w:hAnsi="Times New Roman" w:eastAsia="楷体_GB2312" w:cs="Times New Roman"/>
          <w:sz w:val="21"/>
        </w:rPr>
      </w:pPr>
      <w:r>
        <w:rPr>
          <w:rFonts w:cs="Times New Roman"/>
          <w:sz w:val="21"/>
        </w:rPr>
        <w:t>注</w:t>
      </w:r>
      <w:r>
        <w:rPr>
          <w:rFonts w:hint="default" w:ascii="Times New Roman" w:hAnsi="Times New Roman" w:eastAsia="楷体_GB2312" w:cs="Times New Roman"/>
          <w:sz w:val="21"/>
        </w:rPr>
        <w:t>：1.</w:t>
      </w:r>
      <w:r>
        <w:rPr>
          <w:rFonts w:hint="eastAsia" w:ascii="楷体_GB2312" w:hAnsi="楷体_GB2312" w:eastAsia="楷体_GB2312" w:cs="楷体_GB2312"/>
          <w:sz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21"/>
        </w:rPr>
        <w:t>“对应的治理任务序号”为</w:t>
      </w:r>
      <w:r>
        <w:rPr>
          <w:rFonts w:hint="default" w:ascii="Times New Roman" w:hAnsi="Times New Roman" w:eastAsia="楷体_GB2312" w:cs="Times New Roman"/>
          <w:sz w:val="21"/>
        </w:rPr>
        <w:t>《广东省涉VOCs重点行业治理指引》具体治理任务所对应的序号；</w:t>
      </w:r>
    </w:p>
    <w:p>
      <w:pPr>
        <w:numPr>
          <w:ilvl w:val="0"/>
          <w:numId w:val="0"/>
        </w:numPr>
        <w:ind w:firstLine="420" w:firstLineChars="200"/>
        <w:rPr>
          <w:rFonts w:hint="default" w:ascii="Times New Roman" w:hAnsi="Times New Roman" w:eastAsia="楷体_GB2312" w:cs="Times New Roman"/>
          <w:sz w:val="21"/>
        </w:rPr>
      </w:pP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sz w:val="21"/>
        </w:rPr>
        <w:t>.</w:t>
      </w: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21"/>
        </w:rPr>
        <w:t>根据原辅材料VOCs含量限值标准中VOC</w:t>
      </w: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>s</w:t>
      </w:r>
      <w:r>
        <w:rPr>
          <w:rFonts w:hint="default" w:ascii="Times New Roman" w:hAnsi="Times New Roman" w:eastAsia="楷体_GB2312" w:cs="Times New Roman"/>
          <w:sz w:val="21"/>
        </w:rPr>
        <w:t>含量单位填写计量单位，如g/L、%。</w:t>
      </w:r>
    </w:p>
    <w:p>
      <w:pPr>
        <w:spacing w:line="360" w:lineRule="auto"/>
        <w:ind w:firstLine="643"/>
        <w:outlineLvl w:val="1"/>
        <w:rPr>
          <w:rFonts w:hint="eastAsia" w:cs="Times New Roman"/>
          <w:b/>
          <w:bCs/>
          <w:szCs w:val="32"/>
        </w:rPr>
        <w:sectPr>
          <w:footerReference r:id="rId9" w:type="default"/>
          <w:pgSz w:w="16838" w:h="11906" w:orient="landscape"/>
          <w:pgMar w:top="1803" w:right="1440" w:bottom="1803" w:left="1440" w:header="851" w:footer="992" w:gutter="0"/>
          <w:pgNumType w:fmt="decimal"/>
          <w:cols w:space="0" w:num="1"/>
          <w:docGrid w:type="lines" w:linePitch="436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</w:rPr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  <w:b/>
          <w:bCs/>
        </w:rPr>
        <w:t>2过程控制项目实施信息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</w:rPr>
        <w:t>描述过程控制项目的具体项目名称、对应的治理任务序号、项目完成时间、对应的关键生产线/工序、对应的关键设备/器械名称、建设内容、项目费用等信息，并填写表5-2。</w:t>
      </w:r>
    </w:p>
    <w:p>
      <w:pPr>
        <w:tabs>
          <w:tab w:val="left" w:pos="4140"/>
        </w:tabs>
        <w:spacing w:line="36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表5-2 过程控制项目信息汇总表</w:t>
      </w:r>
    </w:p>
    <w:tbl>
      <w:tblPr>
        <w:tblStyle w:val="17"/>
        <w:tblW w:w="14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284"/>
        <w:gridCol w:w="1194"/>
        <w:gridCol w:w="1509"/>
        <w:gridCol w:w="1486"/>
        <w:gridCol w:w="5325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治理项目名称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对应的治理任务序号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完成时间</w:t>
            </w:r>
          </w:p>
        </w:tc>
        <w:tc>
          <w:tcPr>
            <w:tcW w:w="1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生产线/工序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关键设备/器械名称</w:t>
            </w:r>
          </w:p>
        </w:tc>
        <w:tc>
          <w:tcPr>
            <w:tcW w:w="5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建设内容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项目费用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1"/>
                <w:szCs w:val="21"/>
              </w:rPr>
              <w:t>（万元，RMB）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无泄漏泵改造项目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1</w:t>
            </w:r>
          </w:p>
        </w:tc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2021年12月</w:t>
            </w:r>
          </w:p>
        </w:tc>
        <w:tc>
          <w:tcPr>
            <w:tcW w:w="1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聚苯乙烯生产装置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泵</w:t>
            </w:r>
          </w:p>
        </w:tc>
        <w:tc>
          <w:tcPr>
            <w:tcW w:w="5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将装置内的20台液环真空泵替换为20台无泄漏的屏蔽泵。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_GB2312" w:cs="Times New Roman"/>
                <w:sz w:val="21"/>
                <w:szCs w:val="21"/>
              </w:rPr>
              <w:t>...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5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_GB2312" w:cs="Times New Roman"/>
                <w:sz w:val="21"/>
                <w:szCs w:val="21"/>
              </w:rPr>
            </w:pPr>
          </w:p>
        </w:tc>
      </w:tr>
    </w:tbl>
    <w:p>
      <w:pPr>
        <w:ind w:firstLine="0" w:firstLineChars="0"/>
        <w:rPr>
          <w:rFonts w:hint="default" w:ascii="Times New Roman" w:hAnsi="Times New Roman" w:eastAsia="楷体_GB2312" w:cs="Times New Roman"/>
          <w:sz w:val="21"/>
        </w:rPr>
      </w:pPr>
      <w:r>
        <w:rPr>
          <w:rFonts w:hint="default" w:ascii="Times New Roman" w:hAnsi="Times New Roman" w:eastAsia="楷体_GB2312" w:cs="Times New Roman"/>
          <w:sz w:val="21"/>
        </w:rPr>
        <w:t>注：1.</w:t>
      </w: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21"/>
        </w:rPr>
        <w:t>“对应的治理任务序号”为</w:t>
      </w:r>
      <w:r>
        <w:rPr>
          <w:rFonts w:hint="default" w:ascii="Times New Roman" w:hAnsi="Times New Roman" w:eastAsia="楷体_GB2312" w:cs="Times New Roman"/>
          <w:sz w:val="21"/>
        </w:rPr>
        <w:t>《广东省涉VOCs重点行业治理指引》具体治理任务所对应的序号；</w:t>
      </w:r>
    </w:p>
    <w:p>
      <w:pPr>
        <w:numPr>
          <w:ilvl w:val="0"/>
          <w:numId w:val="0"/>
        </w:numPr>
        <w:ind w:firstLine="420" w:firstLineChars="200"/>
        <w:rPr>
          <w:rFonts w:hint="default" w:ascii="Times New Roman" w:hAnsi="Times New Roman" w:eastAsia="楷体_GB2312" w:cs="Times New Roman"/>
          <w:sz w:val="21"/>
        </w:rPr>
      </w:pP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sz w:val="21"/>
        </w:rPr>
        <w:t>.</w:t>
      </w: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21"/>
        </w:rPr>
        <w:t>建设内容应包括原设备的情况，以及所采取的过程控制措施。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beforeLines="50" w:line="560" w:lineRule="exact"/>
        <w:textAlignment w:val="auto"/>
        <w:rPr>
          <w:b/>
          <w:bCs/>
        </w:rPr>
      </w:pPr>
      <w:r>
        <w:rPr>
          <w:rFonts w:hint="eastAsia"/>
          <w:b/>
          <w:bCs/>
        </w:rPr>
        <w:t>5</w:t>
      </w:r>
      <w:r>
        <w:rPr>
          <w:b/>
          <w:bCs/>
        </w:rPr>
        <w:t>.</w:t>
      </w:r>
      <w:r>
        <w:rPr>
          <w:rFonts w:hint="eastAsia"/>
          <w:b/>
          <w:bCs/>
        </w:rPr>
        <w:t>3末端治理项目实施信息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</w:rPr>
        <w:t>描述末端治理项目的具体项目名称、对应的治理任务序号、项目完成时间、减排车间或生产线、建设内容、</w:t>
      </w:r>
      <w:r>
        <w:rPr>
          <w:rFonts w:hint="eastAsia"/>
          <w:lang w:val="en-US" w:eastAsia="zh-CN"/>
        </w:rPr>
        <w:t>改造前</w:t>
      </w:r>
      <w:r>
        <w:rPr>
          <w:rFonts w:hint="eastAsia"/>
        </w:rPr>
        <w:t>后治理设施</w:t>
      </w:r>
      <w:r>
        <w:rPr>
          <w:rFonts w:hint="eastAsia"/>
          <w:lang w:val="en-US" w:eastAsia="zh-CN"/>
        </w:rPr>
        <w:t>情况及其</w:t>
      </w:r>
      <w:r>
        <w:rPr>
          <w:rFonts w:hint="eastAsia"/>
        </w:rPr>
        <w:t>处理能力、项目费用等信息，并填写表5-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。</w:t>
      </w:r>
    </w:p>
    <w:p>
      <w:pPr>
        <w:tabs>
          <w:tab w:val="left" w:pos="4140"/>
        </w:tabs>
        <w:spacing w:line="360" w:lineRule="auto"/>
        <w:ind w:firstLine="0" w:firstLineChars="0"/>
        <w:jc w:val="both"/>
        <w:rPr>
          <w:rFonts w:hint="eastAsia" w:eastAsia="黑体" w:cs="Times New Roman"/>
          <w:sz w:val="28"/>
          <w:szCs w:val="28"/>
        </w:rPr>
      </w:pPr>
    </w:p>
    <w:p>
      <w:pPr>
        <w:pStyle w:val="2"/>
        <w:ind w:left="0" w:leftChars="0" w:firstLine="0" w:firstLineChars="0"/>
        <w:rPr>
          <w:rFonts w:hint="eastAsia" w:eastAsia="黑体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黑体"/>
          <w:lang w:eastAsia="zh-CN"/>
        </w:rPr>
      </w:pPr>
    </w:p>
    <w:p>
      <w:pPr>
        <w:pStyle w:val="2"/>
        <w:ind w:left="0" w:leftChars="0" w:firstLine="0" w:firstLineChars="0"/>
        <w:rPr>
          <w:rFonts w:hint="eastAsia" w:eastAsia="黑体"/>
          <w:lang w:eastAsia="zh-CN"/>
        </w:rPr>
      </w:pPr>
    </w:p>
    <w:p>
      <w:pPr>
        <w:tabs>
          <w:tab w:val="left" w:pos="4140"/>
        </w:tabs>
        <w:spacing w:line="360" w:lineRule="auto"/>
        <w:ind w:firstLine="0" w:firstLineChars="0"/>
        <w:jc w:val="center"/>
        <w:rPr>
          <w:rFonts w:eastAsia="黑体" w:cs="Times New Roman"/>
          <w:sz w:val="28"/>
          <w:szCs w:val="28"/>
        </w:rPr>
      </w:pPr>
      <w:r>
        <w:rPr>
          <w:rFonts w:hint="eastAsia" w:eastAsia="黑体" w:cs="Times New Roman"/>
          <w:sz w:val="28"/>
          <w:szCs w:val="28"/>
        </w:rPr>
        <w:t>表5-3 末端治理项目信息汇总表</w:t>
      </w:r>
    </w:p>
    <w:tbl>
      <w:tblPr>
        <w:tblStyle w:val="17"/>
        <w:tblW w:w="14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06"/>
        <w:gridCol w:w="1028"/>
        <w:gridCol w:w="1122"/>
        <w:gridCol w:w="3320"/>
        <w:gridCol w:w="1270"/>
        <w:gridCol w:w="1270"/>
        <w:gridCol w:w="1270"/>
        <w:gridCol w:w="1186"/>
        <w:gridCol w:w="996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治理项目名称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对应的治理任务序号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完成时间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减排车间或生产线</w:t>
            </w:r>
          </w:p>
        </w:tc>
        <w:tc>
          <w:tcPr>
            <w:tcW w:w="3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建设内容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前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治理设施情况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lang w:val="en-US" w:eastAsia="zh-CN"/>
              </w:rPr>
              <w:t>改造前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治理设施处理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lang w:val="en-US" w:eastAsia="zh-CN"/>
              </w:rPr>
              <w:t>风量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（m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/h）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改造后治理设施情况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lang w:val="en-US" w:eastAsia="zh-CN"/>
              </w:rPr>
              <w:t>改造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后治理设施处理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lang w:val="en-US" w:eastAsia="zh-CN"/>
              </w:rPr>
              <w:t>风量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（m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/h）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排放口编号及名称</w:t>
            </w: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</w:rPr>
              <w:t>建设费用（万元，RMB）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涂装线末端治理设施提升改造项目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77</w:t>
            </w: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2021年12月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涂装线</w:t>
            </w:r>
          </w:p>
        </w:tc>
        <w:tc>
          <w:tcPr>
            <w:tcW w:w="3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将喷涂线原有的1套处理能力为4万m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/h的“水喷淋+UV光解+活性炭吸附设施”改造为1套处理能力为5万m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/h的“水喷淋+干式过滤+活性炭吸附/脱附+催化氧化设施”。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  <w:t>1套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水喷淋+UV光解+活性炭吸附设施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0000</w:t>
            </w: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  <w:lang w:val="en-US" w:eastAsia="zh-CN"/>
              </w:rPr>
              <w:t>1套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水喷淋+干式过滤+活性炭吸附/脱附+催化氧化设施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50000</w:t>
            </w: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FQ-0001</w:t>
            </w: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...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10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12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</w:tr>
    </w:tbl>
    <w:p>
      <w:pPr>
        <w:ind w:firstLine="0" w:firstLineChars="0"/>
        <w:rPr>
          <w:rFonts w:hint="default" w:ascii="Times New Roman" w:hAnsi="Times New Roman" w:eastAsia="楷体_GB2312" w:cs="Times New Roman"/>
          <w:sz w:val="21"/>
        </w:rPr>
      </w:pPr>
      <w:r>
        <w:rPr>
          <w:rFonts w:hint="eastAsia" w:ascii="楷体_GB2312" w:hAnsi="楷体_GB2312" w:eastAsia="楷体_GB2312" w:cs="楷体_GB2312"/>
          <w:sz w:val="21"/>
        </w:rPr>
        <w:t>注：</w:t>
      </w:r>
      <w:r>
        <w:rPr>
          <w:rFonts w:hint="default" w:ascii="Times New Roman" w:hAnsi="Times New Roman" w:eastAsia="楷体_GB2312" w:cs="Times New Roman"/>
          <w:sz w:val="21"/>
        </w:rPr>
        <w:t>1</w:t>
      </w: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sz w:val="21"/>
        </w:rPr>
        <w:t>.“对应的治理任务序号”为</w:t>
      </w:r>
      <w:r>
        <w:rPr>
          <w:rFonts w:hint="default" w:ascii="Times New Roman" w:hAnsi="Times New Roman" w:eastAsia="楷体_GB2312" w:cs="Times New Roman"/>
          <w:sz w:val="21"/>
        </w:rPr>
        <w:t>《广东省涉VOCs重点行业治理指引》具体治理任务所对应的序号；</w:t>
      </w:r>
    </w:p>
    <w:p>
      <w:pPr>
        <w:ind w:firstLine="420"/>
        <w:rPr>
          <w:rFonts w:hint="default" w:ascii="Times New Roman" w:hAnsi="Times New Roman" w:eastAsia="楷体_GB2312" w:cs="Times New Roman"/>
          <w:sz w:val="21"/>
        </w:rPr>
      </w:pPr>
      <w:r>
        <w:rPr>
          <w:rFonts w:hint="default" w:ascii="Times New Roman" w:hAnsi="Times New Roman" w:eastAsia="楷体_GB2312" w:cs="Times New Roman"/>
          <w:sz w:val="21"/>
        </w:rPr>
        <w:t>2.</w:t>
      </w:r>
      <w:r>
        <w:rPr>
          <w:rFonts w:hint="default" w:ascii="Times New Roman" w:hAnsi="Times New Roman" w:eastAsia="楷体_GB2312" w:cs="Times New Roman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21"/>
        </w:rPr>
        <w:t>建设内容应包括原有末端治理设施应用情况，以及所采取的末端治理设施提升措施。</w:t>
      </w:r>
    </w:p>
    <w:p>
      <w:pPr>
        <w:keepNext/>
        <w:keepLines/>
        <w:ind w:firstLine="640"/>
        <w:jc w:val="left"/>
        <w:outlineLvl w:val="0"/>
        <w:rPr>
          <w:rFonts w:hint="default" w:ascii="Times New Roman" w:hAnsi="Times New Roman" w:eastAsia="黑体" w:cs="Times New Roman"/>
          <w:bCs/>
          <w:kern w:val="44"/>
          <w:szCs w:val="44"/>
        </w:rPr>
        <w:sectPr>
          <w:footerReference r:id="rId10" w:type="default"/>
          <w:pgSz w:w="16838" w:h="11906" w:orient="landscape"/>
          <w:pgMar w:top="1417" w:right="1134" w:bottom="1417" w:left="1134" w:header="851" w:footer="992" w:gutter="0"/>
          <w:pgNumType w:fmt="decimal"/>
          <w:cols w:space="0" w:num="1"/>
          <w:docGrid w:type="lines" w:linePitch="436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六、企业治理项目减排量核算信息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</w:rPr>
      </w:pPr>
      <w:r>
        <w:rPr>
          <w:rFonts w:hint="eastAsia"/>
          <w:b/>
          <w:bCs/>
        </w:rPr>
        <w:t>6.1 减排量核算过程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按照《广东省工业源挥发性有机物减排量核算方法（试行）》要求，分别对源头替代项目、过程控制项目和末端治理项目治理后所形成的VOCs减排量进行核算。减排量核算过程信息应包含包括但不限于以下内容：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核算周期（基准期和减排期）选取时间范围；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核算周期（基准期和减排期）内对应工序的活动数据（工况）；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计算参数的来源和选取原则；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核算周期内项目实施结果检测汇总信息；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完整计算过程。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b/>
          <w:bCs/>
        </w:rPr>
      </w:pPr>
      <w:r>
        <w:rPr>
          <w:rFonts w:hint="eastAsia"/>
          <w:b/>
          <w:bCs/>
        </w:rPr>
        <w:t>6.2减排量数据汇总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完成治理项目减排量核算后，分别将源头替代项目、过程控制项目和末端治理项目治理后所形成的VOCs减排量汇总后填写值表6-1。</w:t>
      </w:r>
    </w:p>
    <w:p>
      <w:pPr>
        <w:bidi w:val="0"/>
        <w:ind w:left="0" w:leftChars="0" w:firstLine="0" w:firstLineChars="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表6-1 项目信息减排量数据汇总表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1402"/>
        <w:gridCol w:w="2553"/>
        <w:gridCol w:w="3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7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治理任务完成情况</w:t>
            </w:r>
          </w:p>
        </w:tc>
        <w:tc>
          <w:tcPr>
            <w:tcW w:w="65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“要求类”任务：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全部完成；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未全部完成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7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030" w:firstLineChars="50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65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“推荐类”任务完成数量：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1</w:t>
            </w: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项目类型：源头替代项目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基准期源头替代项目VOCs排放量：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项目名称：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减排期源头替代项目VOCs排放量：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项目描述：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治理项目实际VOCs减排量：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...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2</w:t>
            </w: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项目类型：过程控制项目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基准期过程控制项目VOCs排放量：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项目名称：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减排期过程控制项目VOCs排放量：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项目描述：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治理项目实际VOCs减排量：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...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3</w:t>
            </w: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项目类型：末端治理项目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基准期末端治理项目VOCs去除量：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项目名称：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减排期末端治理设施VOCs去除量：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项目描述：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治理项目实际VOCs减排量：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  <w:tc>
          <w:tcPr>
            <w:tcW w:w="39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...</w:t>
            </w:r>
          </w:p>
        </w:tc>
        <w:tc>
          <w:tcPr>
            <w:tcW w:w="39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楷体_GB2312" w:hAnsi="楷体_GB2312" w:eastAsia="楷体_GB2312" w:cs="楷体_GB2312"/>
                <w:sz w:val="21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治理项目VOCs减排量合计：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楷体_GB2312" w:hAnsi="楷体_GB2312" w:eastAsia="楷体_GB2312" w:cs="楷体_GB2312"/>
                <w:sz w:val="21"/>
                <w:szCs w:val="21"/>
              </w:rPr>
              <w:t>吨</w:t>
            </w:r>
          </w:p>
        </w:tc>
      </w:tr>
    </w:tbl>
    <w:p>
      <w:pPr>
        <w:spacing w:after="120"/>
        <w:ind w:firstLine="420"/>
        <w:rPr>
          <w:rFonts w:eastAsia="宋体" w:cs="Times New Roman"/>
          <w:sz w:val="21"/>
        </w:rPr>
      </w:pPr>
    </w:p>
    <w:sectPr>
      <w:footerReference r:id="rId11" w:type="default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9612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462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ind w:left="0" w:leftChars="0" w:firstLine="0" w:firstLineChars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564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ind w:left="0" w:leftChars="0" w:firstLine="0" w:firstLineChars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ind w:firstLine="360"/>
    </w:pPr>
  </w:p>
  <w:p>
    <w:pPr>
      <w:ind w:firstLine="6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1F9DE9"/>
    <w:multiLevelType w:val="multilevel"/>
    <w:tmpl w:val="3B1F9DE9"/>
    <w:lvl w:ilvl="0" w:tentative="0">
      <w:start w:val="1"/>
      <w:numFmt w:val="decimal"/>
      <w:pStyle w:val="3"/>
      <w:lvlText w:val="%1"/>
      <w:lvlJc w:val="left"/>
      <w:pPr>
        <w:ind w:left="454" w:hanging="454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ind w:left="510" w:hanging="453"/>
      </w:pPr>
      <w:rPr>
        <w:rFonts w:hint="eastAsia"/>
      </w:rPr>
    </w:lvl>
    <w:lvl w:ilvl="2" w:tentative="0">
      <w:start w:val="1"/>
      <w:numFmt w:val="decimal"/>
      <w:lvlRestart w:val="1"/>
      <w:pStyle w:val="5"/>
      <w:isLgl/>
      <w:lvlText w:val="%1.%2.%3"/>
      <w:lvlJc w:val="left"/>
      <w:pPr>
        <w:ind w:left="680" w:hanging="623"/>
      </w:pPr>
      <w:rPr>
        <w:rFonts w:hint="eastAsia"/>
      </w:rPr>
    </w:lvl>
    <w:lvl w:ilvl="3" w:tentative="0">
      <w:start w:val="1"/>
      <w:numFmt w:val="decimal"/>
      <w:lvlRestart w:val="1"/>
      <w:pStyle w:val="6"/>
      <w:isLgl/>
      <w:lvlText w:val="%1.%2.%3.%4"/>
      <w:lvlJc w:val="left"/>
      <w:pPr>
        <w:ind w:left="907" w:hanging="850"/>
      </w:pPr>
      <w:rPr>
        <w:rFonts w:hint="eastAsia"/>
      </w:rPr>
    </w:lvl>
    <w:lvl w:ilvl="4" w:tentative="0">
      <w:start w:val="1"/>
      <w:numFmt w:val="decimal"/>
      <w:lvlRestart w:val="1"/>
      <w:isLgl/>
      <w:lvlText w:val="%1.%2.%3.%4.%5"/>
      <w:lvlJc w:val="left"/>
      <w:pPr>
        <w:ind w:left="1020" w:hanging="34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90" w:hanging="34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360" w:hanging="34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530" w:hanging="3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700" w:hanging="3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true"/>
  <w:bordersDoNotSurroundFooter w:val="true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OTEzMTI5OTFlMDQ2YWMyNmNmMzVjNTYwMjJmMjMifQ=="/>
  </w:docVars>
  <w:rsids>
    <w:rsidRoot w:val="00000000"/>
    <w:rsid w:val="031C0EE3"/>
    <w:rsid w:val="04A36662"/>
    <w:rsid w:val="06226B32"/>
    <w:rsid w:val="06DE04F1"/>
    <w:rsid w:val="0926561A"/>
    <w:rsid w:val="0C515221"/>
    <w:rsid w:val="0CB23D77"/>
    <w:rsid w:val="0E0856D6"/>
    <w:rsid w:val="0F012C12"/>
    <w:rsid w:val="0F3E1DF1"/>
    <w:rsid w:val="0FB7148D"/>
    <w:rsid w:val="10A723E8"/>
    <w:rsid w:val="169216A7"/>
    <w:rsid w:val="16CD6B47"/>
    <w:rsid w:val="23231B2E"/>
    <w:rsid w:val="271A25B1"/>
    <w:rsid w:val="2A121B5E"/>
    <w:rsid w:val="2CE33DED"/>
    <w:rsid w:val="2F577D18"/>
    <w:rsid w:val="310268D0"/>
    <w:rsid w:val="35AF67FD"/>
    <w:rsid w:val="366078ED"/>
    <w:rsid w:val="38DD196C"/>
    <w:rsid w:val="39143A09"/>
    <w:rsid w:val="3D197E31"/>
    <w:rsid w:val="3EE02529"/>
    <w:rsid w:val="42445571"/>
    <w:rsid w:val="46B5659D"/>
    <w:rsid w:val="49307AB8"/>
    <w:rsid w:val="4C790EB5"/>
    <w:rsid w:val="5194111E"/>
    <w:rsid w:val="580A7AA1"/>
    <w:rsid w:val="580C4F4D"/>
    <w:rsid w:val="584C414E"/>
    <w:rsid w:val="59E00D54"/>
    <w:rsid w:val="5E255847"/>
    <w:rsid w:val="5E7A26F8"/>
    <w:rsid w:val="6A810EE1"/>
    <w:rsid w:val="71024486"/>
    <w:rsid w:val="72FA757D"/>
    <w:rsid w:val="74407AA8"/>
    <w:rsid w:val="79E72003"/>
    <w:rsid w:val="7EEF7DCE"/>
    <w:rsid w:val="7FC8A742"/>
    <w:rsid w:val="D3D330FC"/>
    <w:rsid w:val="D7DF9290"/>
    <w:rsid w:val="D7FB7246"/>
    <w:rsid w:val="EDD1ACB0"/>
    <w:rsid w:val="F7FFC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numPr>
        <w:ilvl w:val="0"/>
        <w:numId w:val="1"/>
      </w:numPr>
      <w:snapToGrid w:val="0"/>
      <w:spacing w:before="50" w:beforeLines="50" w:after="30" w:afterLines="30" w:line="360" w:lineRule="auto"/>
      <w:ind w:left="454" w:hanging="454" w:firstLineChars="0"/>
      <w:contextualSpacing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numPr>
        <w:ilvl w:val="1"/>
        <w:numId w:val="1"/>
      </w:numPr>
      <w:tabs>
        <w:tab w:val="left" w:pos="2552"/>
      </w:tabs>
      <w:snapToGrid w:val="0"/>
      <w:spacing w:before="80" w:after="80" w:line="360" w:lineRule="auto"/>
      <w:ind w:left="0" w:firstLine="0" w:firstLineChars="0"/>
      <w:jc w:val="left"/>
      <w:outlineLvl w:val="1"/>
    </w:pPr>
    <w:rPr>
      <w:rFonts w:ascii="Times New Roman" w:hAnsi="Times New Roman" w:cstheme="minorBidi"/>
      <w:b/>
      <w:bCs/>
      <w:szCs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numPr>
        <w:ilvl w:val="2"/>
        <w:numId w:val="1"/>
      </w:numPr>
      <w:snapToGrid w:val="0"/>
      <w:spacing w:before="80" w:after="80" w:line="360" w:lineRule="auto"/>
      <w:ind w:left="680" w:hanging="623" w:firstLineChars="0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907" w:hanging="850" w:firstLineChars="0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Times New Roman" w:hAnsi="Times New Roman" w:eastAsia="宋体" w:cs="Times New Roman"/>
      <w:sz w:val="21"/>
    </w:rPr>
  </w:style>
  <w:style w:type="paragraph" w:styleId="7">
    <w:name w:val="caption"/>
    <w:basedOn w:val="1"/>
    <w:next w:val="1"/>
    <w:link w:val="12"/>
    <w:semiHidden/>
    <w:unhideWhenUsed/>
    <w:qFormat/>
    <w:uiPriority w:val="0"/>
    <w:pPr>
      <w:ind w:firstLine="0" w:firstLineChars="0"/>
    </w:pPr>
    <w:rPr>
      <w:rFonts w:cstheme="majorBidi"/>
      <w:b/>
      <w:sz w:val="24"/>
      <w:szCs w:val="20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题注 Char"/>
    <w:link w:val="7"/>
    <w:qFormat/>
    <w:locked/>
    <w:uiPriority w:val="0"/>
    <w:rPr>
      <w:rFonts w:ascii="Times New Roman" w:hAnsi="Times New Roman" w:eastAsia="宋体" w:cs="Times New Roman"/>
      <w:kern w:val="2"/>
      <w:sz w:val="24"/>
    </w:rPr>
  </w:style>
  <w:style w:type="paragraph" w:customStyle="1" w:styleId="13">
    <w:name w:val="图表标题"/>
    <w:basedOn w:val="1"/>
    <w:qFormat/>
    <w:uiPriority w:val="0"/>
    <w:pPr>
      <w:ind w:firstLine="0" w:firstLineChars="0"/>
      <w:jc w:val="center"/>
    </w:pPr>
    <w:rPr>
      <w:rFonts w:ascii="Times New Roman" w:hAnsi="Times New Roman" w:eastAsia="宋体"/>
      <w:b/>
      <w:sz w:val="21"/>
    </w:rPr>
  </w:style>
  <w:style w:type="character" w:customStyle="1" w:styleId="14">
    <w:name w:val="标题 1 字符"/>
    <w:basedOn w:val="11"/>
    <w:link w:val="3"/>
    <w:qFormat/>
    <w:uiPriority w:val="9"/>
    <w:rPr>
      <w:rFonts w:ascii="Times New Roman" w:hAnsi="Times New Roman" w:eastAsia="黑体" w:cs="Times New Roman"/>
      <w:b/>
      <w:bCs/>
      <w:kern w:val="44"/>
      <w:sz w:val="32"/>
      <w:szCs w:val="44"/>
    </w:rPr>
  </w:style>
  <w:style w:type="character" w:customStyle="1" w:styleId="15">
    <w:name w:val="标题 2 字符"/>
    <w:basedOn w:val="11"/>
    <w:link w:val="4"/>
    <w:qFormat/>
    <w:uiPriority w:val="9"/>
    <w:rPr>
      <w:rFonts w:ascii="Times New Roman" w:hAnsi="Times New Roman" w:eastAsia="黑体" w:cstheme="minorBidi"/>
      <w:b/>
      <w:bCs/>
      <w:sz w:val="30"/>
      <w:szCs w:val="32"/>
    </w:rPr>
  </w:style>
  <w:style w:type="character" w:customStyle="1" w:styleId="16">
    <w:name w:val="标题 3 字符"/>
    <w:basedOn w:val="11"/>
    <w:link w:val="5"/>
    <w:qFormat/>
    <w:uiPriority w:val="9"/>
    <w:rPr>
      <w:rFonts w:ascii="Times New Roman" w:hAnsi="Times New Roman" w:eastAsia="仿宋" w:cs="Times New Roman"/>
      <w:b/>
      <w:bCs/>
      <w:szCs w:val="32"/>
    </w:rPr>
  </w:style>
  <w:style w:type="table" w:customStyle="1" w:styleId="17">
    <w:name w:val="网格型1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2752</Words>
  <Characters>3103</Characters>
  <Lines>0</Lines>
  <Paragraphs>0</Paragraphs>
  <TotalTime>0</TotalTime>
  <ScaleCrop>false</ScaleCrop>
  <LinksUpToDate>false</LinksUpToDate>
  <CharactersWithSpaces>3197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2020-09-08T00:54:00Z</dcterms:created>
  <dc:creator>dell</dc:creator>
  <cp:lastModifiedBy>hbt</cp:lastModifiedBy>
  <dcterms:modified xsi:type="dcterms:W3CDTF">2022-05-17T09:31:16Z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F02805DFFA044F81A44822A6493B7E63</vt:lpwstr>
  </property>
</Properties>
</file>