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s>
        <w:spacing w:before="156" w:beforeLines="50" w:after="156" w:afterLines="50" w:line="360" w:lineRule="auto"/>
        <w:rPr>
          <w:rFonts w:ascii="Times New Roman" w:hAnsi="Times New Roman"/>
        </w:rPr>
      </w:pPr>
      <w:bookmarkStart w:id="0" w:name="_Hlk38317156"/>
      <w:bookmarkEnd w:id="0"/>
    </w:p>
    <w:p>
      <w:pPr>
        <w:tabs>
          <w:tab w:val="left" w:pos="720"/>
        </w:tabs>
        <w:spacing w:before="156" w:beforeLines="50" w:after="156" w:afterLines="50" w:line="360" w:lineRule="auto"/>
        <w:jc w:val="center"/>
        <w:rPr>
          <w:rFonts w:ascii="Times New Roman" w:hAnsi="Times New Roman" w:eastAsiaTheme="minorEastAsia"/>
          <w:b/>
          <w:sz w:val="56"/>
          <w:szCs w:val="56"/>
        </w:rPr>
      </w:pPr>
    </w:p>
    <w:p>
      <w:pPr>
        <w:tabs>
          <w:tab w:val="left" w:pos="720"/>
        </w:tabs>
        <w:spacing w:before="156" w:beforeLines="50" w:after="156" w:afterLines="50" w:line="360" w:lineRule="auto"/>
        <w:jc w:val="center"/>
        <w:rPr>
          <w:rFonts w:ascii="Times New Roman" w:hAnsi="Times New Roman" w:eastAsiaTheme="minorEastAsia"/>
          <w:b/>
          <w:sz w:val="56"/>
          <w:szCs w:val="56"/>
        </w:rPr>
      </w:pPr>
    </w:p>
    <w:p>
      <w:pPr>
        <w:tabs>
          <w:tab w:val="left" w:pos="720"/>
        </w:tabs>
        <w:spacing w:before="156" w:beforeLines="50" w:after="156" w:afterLines="50" w:line="360" w:lineRule="auto"/>
        <w:jc w:val="center"/>
        <w:rPr>
          <w:rFonts w:ascii="Times New Roman" w:hAnsi="Times New Roman" w:eastAsiaTheme="minorEastAsia"/>
          <w:b/>
          <w:sz w:val="56"/>
          <w:szCs w:val="56"/>
        </w:rPr>
      </w:pPr>
      <w:r>
        <w:rPr>
          <w:rFonts w:ascii="Times New Roman" w:hAnsi="Times New Roman" w:eastAsiaTheme="minorEastAsia"/>
          <w:b/>
          <w:sz w:val="56"/>
          <w:szCs w:val="56"/>
        </w:rPr>
        <w:t>广东省固定污染源挥发性有机物</w:t>
      </w:r>
    </w:p>
    <w:p>
      <w:pPr>
        <w:tabs>
          <w:tab w:val="left" w:pos="720"/>
        </w:tabs>
        <w:spacing w:before="156" w:beforeLines="50" w:after="156" w:afterLines="50" w:line="360" w:lineRule="auto"/>
        <w:jc w:val="center"/>
        <w:rPr>
          <w:rFonts w:ascii="Times New Roman" w:hAnsi="Times New Roman" w:eastAsiaTheme="minorEastAsia"/>
          <w:b/>
          <w:sz w:val="56"/>
          <w:szCs w:val="56"/>
        </w:rPr>
      </w:pPr>
      <w:r>
        <w:rPr>
          <w:rFonts w:ascii="Times New Roman" w:hAnsi="Times New Roman" w:eastAsiaTheme="minorEastAsia"/>
          <w:b/>
          <w:sz w:val="56"/>
          <w:szCs w:val="56"/>
        </w:rPr>
        <w:t>综合排放标准</w:t>
      </w:r>
    </w:p>
    <w:p>
      <w:pPr>
        <w:tabs>
          <w:tab w:val="left" w:pos="720"/>
        </w:tabs>
        <w:spacing w:before="156" w:beforeLines="50" w:after="156" w:afterLines="50" w:line="360" w:lineRule="auto"/>
        <w:jc w:val="center"/>
        <w:rPr>
          <w:rFonts w:ascii="Times New Roman" w:hAnsi="Times New Roman" w:eastAsiaTheme="minorEastAsia"/>
          <w:b/>
          <w:sz w:val="56"/>
          <w:szCs w:val="56"/>
        </w:rPr>
      </w:pPr>
    </w:p>
    <w:p>
      <w:pPr>
        <w:tabs>
          <w:tab w:val="left" w:pos="720"/>
        </w:tabs>
        <w:spacing w:before="156" w:beforeLines="50" w:after="156" w:afterLines="50" w:line="360" w:lineRule="auto"/>
        <w:jc w:val="center"/>
        <w:rPr>
          <w:rFonts w:ascii="Times New Roman" w:hAnsi="Times New Roman" w:eastAsia="楷体_GB2312"/>
          <w:b/>
          <w:sz w:val="40"/>
          <w:szCs w:val="52"/>
        </w:rPr>
      </w:pPr>
      <w:r>
        <w:rPr>
          <w:rFonts w:ascii="Times New Roman" w:hAnsi="Times New Roman" w:eastAsiaTheme="minorEastAsia"/>
          <w:b/>
          <w:sz w:val="56"/>
          <w:szCs w:val="56"/>
        </w:rPr>
        <w:t>编制说明</w:t>
      </w:r>
    </w:p>
    <w:p>
      <w:pPr>
        <w:tabs>
          <w:tab w:val="left" w:pos="720"/>
        </w:tabs>
        <w:spacing w:before="156" w:beforeLines="50" w:after="156" w:afterLines="50" w:line="360" w:lineRule="auto"/>
        <w:jc w:val="center"/>
        <w:rPr>
          <w:rFonts w:ascii="Times New Roman" w:hAnsi="Times New Roman"/>
          <w:color w:val="000000"/>
          <w:sz w:val="40"/>
          <w:szCs w:val="40"/>
        </w:rPr>
      </w:pPr>
      <w:r>
        <w:rPr>
          <w:rFonts w:ascii="Times New Roman" w:hAnsi="Times New Roman" w:eastAsiaTheme="minorEastAsia"/>
          <w:b/>
          <w:sz w:val="56"/>
          <w:szCs w:val="56"/>
        </w:rPr>
        <w:t>（</w:t>
      </w:r>
      <w:r>
        <w:rPr>
          <w:rFonts w:hint="eastAsia" w:ascii="Times New Roman" w:hAnsi="Times New Roman" w:eastAsiaTheme="minorEastAsia"/>
          <w:b/>
          <w:sz w:val="56"/>
          <w:szCs w:val="56"/>
          <w:lang w:eastAsia="zh-CN"/>
        </w:rPr>
        <w:t>送审</w:t>
      </w:r>
      <w:r>
        <w:rPr>
          <w:rFonts w:ascii="Times New Roman" w:hAnsi="Times New Roman" w:eastAsiaTheme="minorEastAsia"/>
          <w:b/>
          <w:sz w:val="56"/>
          <w:szCs w:val="56"/>
        </w:rPr>
        <w:t>稿）</w:t>
      </w:r>
      <w:bookmarkStart w:id="191" w:name="_GoBack"/>
      <w:bookmarkEnd w:id="191"/>
      <w:r>
        <w:rPr>
          <w:rFonts w:ascii="Times New Roman" w:hAnsi="Times New Roman"/>
          <w:color w:val="000000"/>
          <w:sz w:val="40"/>
          <w:szCs w:val="40"/>
        </w:rPr>
        <w:br w:type="textWrapping"/>
      </w:r>
    </w:p>
    <w:p>
      <w:pPr>
        <w:spacing w:line="480" w:lineRule="auto"/>
        <w:jc w:val="center"/>
        <w:rPr>
          <w:rFonts w:ascii="Times New Roman" w:hAnsi="Times New Roman"/>
          <w:color w:val="000000"/>
          <w:sz w:val="40"/>
          <w:szCs w:val="40"/>
        </w:rPr>
      </w:pPr>
    </w:p>
    <w:p>
      <w:pPr>
        <w:spacing w:line="480" w:lineRule="auto"/>
        <w:jc w:val="center"/>
        <w:rPr>
          <w:rFonts w:ascii="Times New Roman" w:hAnsi="Times New Roman"/>
          <w:color w:val="000000"/>
          <w:sz w:val="40"/>
          <w:szCs w:val="40"/>
        </w:rPr>
      </w:pPr>
    </w:p>
    <w:p>
      <w:pPr>
        <w:spacing w:line="480" w:lineRule="auto"/>
        <w:jc w:val="center"/>
        <w:rPr>
          <w:rFonts w:ascii="Times New Roman" w:hAnsi="Times New Roman"/>
          <w:color w:val="000000"/>
          <w:sz w:val="40"/>
          <w:szCs w:val="40"/>
        </w:rPr>
      </w:pPr>
    </w:p>
    <w:p>
      <w:pPr>
        <w:spacing w:line="1000" w:lineRule="exact"/>
        <w:jc w:val="center"/>
        <w:rPr>
          <w:rFonts w:ascii="Times New Roman" w:hAnsi="Times New Roman"/>
          <w:b/>
          <w:color w:val="000000"/>
          <w:sz w:val="36"/>
          <w:szCs w:val="40"/>
        </w:rPr>
      </w:pPr>
      <w:r>
        <w:rPr>
          <w:rFonts w:ascii="Times New Roman" w:hAnsi="Times New Roman"/>
          <w:b/>
          <w:color w:val="000000"/>
          <w:sz w:val="36"/>
          <w:szCs w:val="40"/>
        </w:rPr>
        <w:t>《固定污染源挥发性有机物综合排放标准》编制组</w:t>
      </w:r>
    </w:p>
    <w:p>
      <w:pPr>
        <w:spacing w:line="1000" w:lineRule="exact"/>
        <w:jc w:val="center"/>
        <w:rPr>
          <w:rFonts w:ascii="Times New Roman" w:hAnsi="Times New Roman"/>
          <w:b/>
          <w:sz w:val="36"/>
          <w:szCs w:val="32"/>
        </w:rPr>
      </w:pPr>
      <w:r>
        <w:rPr>
          <w:rFonts w:hint="eastAsia" w:ascii="Times New Roman" w:hAnsi="Times New Roman"/>
          <w:b/>
          <w:sz w:val="36"/>
          <w:szCs w:val="32"/>
        </w:rPr>
        <w:t>二</w:t>
      </w:r>
      <w:r>
        <w:rPr>
          <w:rFonts w:ascii="Times New Roman" w:hAnsi="Times New Roman"/>
          <w:b/>
          <w:sz w:val="36"/>
          <w:szCs w:val="32"/>
        </w:rPr>
        <w:t>O</w:t>
      </w:r>
      <w:r>
        <w:rPr>
          <w:rFonts w:hint="eastAsia" w:ascii="Times New Roman" w:hAnsi="Times New Roman"/>
          <w:b/>
          <w:sz w:val="36"/>
          <w:szCs w:val="32"/>
        </w:rPr>
        <w:t>二一</w:t>
      </w:r>
      <w:r>
        <w:rPr>
          <w:rFonts w:ascii="Times New Roman" w:hAnsi="Times New Roman"/>
          <w:b/>
          <w:sz w:val="36"/>
          <w:szCs w:val="32"/>
        </w:rPr>
        <w:t>年</w:t>
      </w:r>
      <w:r>
        <w:rPr>
          <w:rFonts w:hint="eastAsia" w:ascii="Times New Roman" w:hAnsi="Times New Roman"/>
          <w:b/>
          <w:sz w:val="36"/>
          <w:szCs w:val="32"/>
        </w:rPr>
        <w:t>五</w:t>
      </w:r>
      <w:r>
        <w:rPr>
          <w:rFonts w:ascii="Times New Roman" w:hAnsi="Times New Roman"/>
          <w:b/>
          <w:sz w:val="36"/>
          <w:szCs w:val="32"/>
        </w:rPr>
        <w:t>月</w:t>
      </w:r>
    </w:p>
    <w:p>
      <w:pPr>
        <w:widowControl/>
        <w:jc w:val="left"/>
        <w:rPr>
          <w:rFonts w:ascii="Times New Roman" w:hAnsi="Times New Roman"/>
        </w:rPr>
      </w:pPr>
      <w:r>
        <w:rPr>
          <w:rFonts w:ascii="Times New Roman" w:hAnsi="Times New Roman"/>
          <w:b/>
          <w:sz w:val="40"/>
          <w:szCs w:val="32"/>
        </w:rPr>
        <w:br w:type="page"/>
      </w:r>
    </w:p>
    <w:p>
      <w:pPr>
        <w:widowControl/>
        <w:jc w:val="left"/>
        <w:rPr>
          <w:rFonts w:ascii="Times New Roman" w:hAnsi="Times New Roman"/>
        </w:rPr>
        <w:sectPr>
          <w:headerReference r:id="rId3" w:type="default"/>
          <w:footerReference r:id="rId5" w:type="default"/>
          <w:headerReference r:id="rId4" w:type="even"/>
          <w:type w:val="continuous"/>
          <w:pgSz w:w="11906" w:h="16838"/>
          <w:pgMar w:top="1440" w:right="1800" w:bottom="1440" w:left="1800" w:header="851" w:footer="992" w:gutter="0"/>
          <w:cols w:space="425" w:num="1"/>
          <w:docGrid w:type="lines" w:linePitch="312" w:charSpace="0"/>
        </w:sectPr>
      </w:pPr>
    </w:p>
    <w:p>
      <w:pPr>
        <w:pStyle w:val="64"/>
        <w:jc w:val="center"/>
        <w:rPr>
          <w:rFonts w:ascii="Times New Roman" w:hAnsi="Times New Roman"/>
          <w:b/>
          <w:color w:val="auto"/>
          <w:sz w:val="44"/>
          <w:szCs w:val="44"/>
        </w:rPr>
      </w:pPr>
      <w:bookmarkStart w:id="1" w:name="_Toc325015552"/>
      <w:r>
        <w:rPr>
          <w:rFonts w:ascii="Times New Roman" w:hAnsi="Times New Roman"/>
          <w:b/>
          <w:color w:val="auto"/>
          <w:sz w:val="44"/>
          <w:szCs w:val="44"/>
          <w:lang w:val="zh-CN"/>
        </w:rPr>
        <w:t>目  录</w:t>
      </w:r>
    </w:p>
    <w:p>
      <w:pPr>
        <w:pStyle w:val="25"/>
        <w:tabs>
          <w:tab w:val="left" w:pos="1260"/>
          <w:tab w:val="right" w:leader="dot" w:pos="8296"/>
        </w:tabs>
        <w:spacing w:before="0" w:after="0" w:line="360" w:lineRule="auto"/>
        <w:rPr>
          <w:rFonts w:eastAsia="宋体" w:cs="Times New Roman"/>
          <w:b w:val="0"/>
          <w:bCs w:val="0"/>
          <w:caps w:val="0"/>
          <w:kern w:val="2"/>
          <w:sz w:val="24"/>
          <w:szCs w:val="24"/>
        </w:rPr>
      </w:pPr>
      <w:r>
        <w:rPr>
          <w:rFonts w:eastAsia="宋体" w:cs="Times New Roman"/>
          <w:b w:val="0"/>
          <w:bCs w:val="0"/>
          <w:i/>
          <w:iCs/>
          <w:sz w:val="24"/>
          <w:szCs w:val="24"/>
        </w:rPr>
        <w:fldChar w:fldCharType="begin"/>
      </w:r>
      <w:r>
        <w:rPr>
          <w:rFonts w:eastAsia="宋体" w:cs="Times New Roman"/>
          <w:b w:val="0"/>
          <w:bCs w:val="0"/>
          <w:i/>
          <w:iCs/>
          <w:sz w:val="24"/>
          <w:szCs w:val="24"/>
        </w:rPr>
        <w:instrText xml:space="preserve"> TOC \o "1-2" \h \z \u </w:instrText>
      </w:r>
      <w:r>
        <w:rPr>
          <w:rFonts w:eastAsia="宋体" w:cs="Times New Roman"/>
          <w:b w:val="0"/>
          <w:bCs w:val="0"/>
          <w:i/>
          <w:iCs/>
          <w:sz w:val="24"/>
          <w:szCs w:val="24"/>
        </w:rPr>
        <w:fldChar w:fldCharType="separate"/>
      </w:r>
      <w:r>
        <w:fldChar w:fldCharType="begin"/>
      </w:r>
      <w:r>
        <w:instrText xml:space="preserve"> HYPERLINK \l "_Toc75787626" </w:instrText>
      </w:r>
      <w:r>
        <w:fldChar w:fldCharType="separate"/>
      </w:r>
      <w:r>
        <w:rPr>
          <w:rStyle w:val="42"/>
          <w:rFonts w:eastAsia="宋体" w:cs="Times New Roman"/>
          <w:b w:val="0"/>
          <w:bCs w:val="0"/>
          <w:sz w:val="24"/>
          <w:szCs w:val="24"/>
        </w:rPr>
        <w:t>第1章</w:t>
      </w:r>
      <w:r>
        <w:rPr>
          <w:rFonts w:eastAsia="宋体" w:cs="Times New Roman"/>
          <w:b w:val="0"/>
          <w:bCs w:val="0"/>
          <w:caps w:val="0"/>
          <w:kern w:val="2"/>
          <w:sz w:val="24"/>
          <w:szCs w:val="24"/>
        </w:rPr>
        <w:tab/>
      </w:r>
      <w:r>
        <w:rPr>
          <w:rStyle w:val="42"/>
          <w:rFonts w:eastAsia="宋体" w:cs="Times New Roman"/>
          <w:b w:val="0"/>
          <w:bCs w:val="0"/>
          <w:sz w:val="24"/>
          <w:szCs w:val="24"/>
        </w:rPr>
        <w:t>项目背景</w:t>
      </w:r>
      <w:r>
        <w:rPr>
          <w:rFonts w:eastAsia="宋体" w:cs="Times New Roman"/>
          <w:b w:val="0"/>
          <w:bCs w:val="0"/>
          <w:sz w:val="24"/>
          <w:szCs w:val="24"/>
        </w:rPr>
        <w:tab/>
      </w:r>
      <w:r>
        <w:rPr>
          <w:rFonts w:eastAsia="宋体" w:cs="Times New Roman"/>
          <w:b w:val="0"/>
          <w:bCs w:val="0"/>
          <w:sz w:val="24"/>
          <w:szCs w:val="24"/>
        </w:rPr>
        <w:fldChar w:fldCharType="begin"/>
      </w:r>
      <w:r>
        <w:rPr>
          <w:rFonts w:eastAsia="宋体" w:cs="Times New Roman"/>
          <w:b w:val="0"/>
          <w:bCs w:val="0"/>
          <w:sz w:val="24"/>
          <w:szCs w:val="24"/>
        </w:rPr>
        <w:instrText xml:space="preserve"> PAGEREF _Toc75787626 \h </w:instrText>
      </w:r>
      <w:r>
        <w:rPr>
          <w:rFonts w:eastAsia="宋体" w:cs="Times New Roman"/>
          <w:b w:val="0"/>
          <w:bCs w:val="0"/>
          <w:sz w:val="24"/>
          <w:szCs w:val="24"/>
        </w:rPr>
        <w:fldChar w:fldCharType="separate"/>
      </w:r>
      <w:r>
        <w:rPr>
          <w:rFonts w:eastAsia="宋体" w:cs="Times New Roman"/>
          <w:b w:val="0"/>
          <w:bCs w:val="0"/>
          <w:sz w:val="24"/>
          <w:szCs w:val="24"/>
        </w:rPr>
        <w:t>- 1 -</w:t>
      </w:r>
      <w:r>
        <w:rPr>
          <w:rFonts w:eastAsia="宋体" w:cs="Times New Roman"/>
          <w:b w:val="0"/>
          <w:bCs w:val="0"/>
          <w:sz w:val="24"/>
          <w:szCs w:val="24"/>
        </w:rPr>
        <w:fldChar w:fldCharType="end"/>
      </w:r>
      <w:r>
        <w:rPr>
          <w:rFonts w:eastAsia="宋体" w:cs="Times New Roman"/>
          <w:b w:val="0"/>
          <w:bCs w:val="0"/>
          <w:sz w:val="24"/>
          <w:szCs w:val="24"/>
        </w:rPr>
        <w:fldChar w:fldCharType="end"/>
      </w:r>
    </w:p>
    <w:p>
      <w:pPr>
        <w:pStyle w:val="29"/>
        <w:tabs>
          <w:tab w:val="left" w:pos="1050"/>
          <w:tab w:val="right" w:leader="dot" w:pos="8296"/>
        </w:tabs>
        <w:spacing w:line="360" w:lineRule="auto"/>
        <w:ind w:left="420"/>
        <w:rPr>
          <w:rFonts w:cs="Times New Roman"/>
          <w:smallCaps w:val="0"/>
          <w:szCs w:val="24"/>
        </w:rPr>
      </w:pPr>
      <w:r>
        <w:fldChar w:fldCharType="begin"/>
      </w:r>
      <w:r>
        <w:instrText xml:space="preserve"> HYPERLINK \l "_Toc75787627" </w:instrText>
      </w:r>
      <w:r>
        <w:fldChar w:fldCharType="separate"/>
      </w:r>
      <w:r>
        <w:rPr>
          <w:rStyle w:val="42"/>
          <w:rFonts w:cs="Times New Roman"/>
          <w:szCs w:val="24"/>
        </w:rPr>
        <w:t>1.1</w:t>
      </w:r>
      <w:r>
        <w:rPr>
          <w:rFonts w:cs="Times New Roman"/>
          <w:smallCaps w:val="0"/>
          <w:szCs w:val="24"/>
        </w:rPr>
        <w:tab/>
      </w:r>
      <w:r>
        <w:rPr>
          <w:rStyle w:val="42"/>
          <w:rFonts w:cs="Times New Roman"/>
          <w:szCs w:val="24"/>
        </w:rPr>
        <w:t>任务来源</w:t>
      </w:r>
      <w:r>
        <w:rPr>
          <w:rFonts w:cs="Times New Roman"/>
          <w:szCs w:val="24"/>
        </w:rPr>
        <w:tab/>
      </w:r>
      <w:r>
        <w:rPr>
          <w:rFonts w:cs="Times New Roman"/>
          <w:szCs w:val="24"/>
        </w:rPr>
        <w:fldChar w:fldCharType="begin"/>
      </w:r>
      <w:r>
        <w:rPr>
          <w:rFonts w:cs="Times New Roman"/>
          <w:szCs w:val="24"/>
        </w:rPr>
        <w:instrText xml:space="preserve"> PAGEREF _Toc75787627 \h </w:instrText>
      </w:r>
      <w:r>
        <w:rPr>
          <w:rFonts w:cs="Times New Roman"/>
          <w:szCs w:val="24"/>
        </w:rPr>
        <w:fldChar w:fldCharType="separate"/>
      </w:r>
      <w:r>
        <w:rPr>
          <w:rFonts w:cs="Times New Roman"/>
          <w:szCs w:val="24"/>
        </w:rPr>
        <w:t>- 1 -</w:t>
      </w:r>
      <w:r>
        <w:rPr>
          <w:rFonts w:cs="Times New Roman"/>
          <w:szCs w:val="24"/>
        </w:rPr>
        <w:fldChar w:fldCharType="end"/>
      </w:r>
      <w:r>
        <w:rPr>
          <w:rFonts w:cs="Times New Roman"/>
          <w:szCs w:val="24"/>
        </w:rPr>
        <w:fldChar w:fldCharType="end"/>
      </w:r>
    </w:p>
    <w:p>
      <w:pPr>
        <w:pStyle w:val="29"/>
        <w:tabs>
          <w:tab w:val="left" w:pos="1050"/>
          <w:tab w:val="right" w:leader="dot" w:pos="8296"/>
        </w:tabs>
        <w:spacing w:line="360" w:lineRule="auto"/>
        <w:ind w:left="420"/>
        <w:rPr>
          <w:rFonts w:cs="Times New Roman"/>
          <w:smallCaps w:val="0"/>
          <w:szCs w:val="24"/>
        </w:rPr>
      </w:pPr>
      <w:r>
        <w:fldChar w:fldCharType="begin"/>
      </w:r>
      <w:r>
        <w:instrText xml:space="preserve"> HYPERLINK \l "_Toc75787628" </w:instrText>
      </w:r>
      <w:r>
        <w:fldChar w:fldCharType="separate"/>
      </w:r>
      <w:r>
        <w:rPr>
          <w:rStyle w:val="42"/>
          <w:rFonts w:cs="Times New Roman"/>
          <w:szCs w:val="24"/>
        </w:rPr>
        <w:t>1.2</w:t>
      </w:r>
      <w:r>
        <w:rPr>
          <w:rFonts w:cs="Times New Roman"/>
          <w:smallCaps w:val="0"/>
          <w:szCs w:val="24"/>
        </w:rPr>
        <w:tab/>
      </w:r>
      <w:r>
        <w:rPr>
          <w:rStyle w:val="42"/>
          <w:rFonts w:cs="Times New Roman"/>
          <w:szCs w:val="24"/>
        </w:rPr>
        <w:t>工作过程</w:t>
      </w:r>
      <w:r>
        <w:rPr>
          <w:rFonts w:cs="Times New Roman"/>
          <w:szCs w:val="24"/>
        </w:rPr>
        <w:tab/>
      </w:r>
      <w:r>
        <w:rPr>
          <w:rFonts w:cs="Times New Roman"/>
          <w:szCs w:val="24"/>
        </w:rPr>
        <w:fldChar w:fldCharType="begin"/>
      </w:r>
      <w:r>
        <w:rPr>
          <w:rFonts w:cs="Times New Roman"/>
          <w:szCs w:val="24"/>
        </w:rPr>
        <w:instrText xml:space="preserve"> PAGEREF _Toc75787628 \h </w:instrText>
      </w:r>
      <w:r>
        <w:rPr>
          <w:rFonts w:cs="Times New Roman"/>
          <w:szCs w:val="24"/>
        </w:rPr>
        <w:fldChar w:fldCharType="separate"/>
      </w:r>
      <w:r>
        <w:rPr>
          <w:rFonts w:cs="Times New Roman"/>
          <w:szCs w:val="24"/>
        </w:rPr>
        <w:t>- 1 -</w:t>
      </w:r>
      <w:r>
        <w:rPr>
          <w:rFonts w:cs="Times New Roman"/>
          <w:szCs w:val="24"/>
        </w:rPr>
        <w:fldChar w:fldCharType="end"/>
      </w:r>
      <w:r>
        <w:rPr>
          <w:rFonts w:cs="Times New Roman"/>
          <w:szCs w:val="24"/>
        </w:rPr>
        <w:fldChar w:fldCharType="end"/>
      </w:r>
    </w:p>
    <w:p>
      <w:pPr>
        <w:pStyle w:val="25"/>
        <w:tabs>
          <w:tab w:val="left" w:pos="1260"/>
          <w:tab w:val="right" w:leader="dot" w:pos="8296"/>
        </w:tabs>
        <w:spacing w:before="0" w:after="0" w:line="360" w:lineRule="auto"/>
        <w:rPr>
          <w:rFonts w:eastAsia="宋体" w:cs="Times New Roman"/>
          <w:b w:val="0"/>
          <w:bCs w:val="0"/>
          <w:caps w:val="0"/>
          <w:kern w:val="2"/>
          <w:sz w:val="24"/>
          <w:szCs w:val="24"/>
        </w:rPr>
      </w:pPr>
      <w:r>
        <w:fldChar w:fldCharType="begin"/>
      </w:r>
      <w:r>
        <w:instrText xml:space="preserve"> HYPERLINK \l "_Toc75787629" </w:instrText>
      </w:r>
      <w:r>
        <w:fldChar w:fldCharType="separate"/>
      </w:r>
      <w:r>
        <w:rPr>
          <w:rStyle w:val="42"/>
          <w:rFonts w:eastAsia="宋体" w:cs="Times New Roman"/>
          <w:b w:val="0"/>
          <w:bCs w:val="0"/>
          <w:sz w:val="24"/>
          <w:szCs w:val="24"/>
        </w:rPr>
        <w:t>第2章</w:t>
      </w:r>
      <w:r>
        <w:rPr>
          <w:rFonts w:eastAsia="宋体" w:cs="Times New Roman"/>
          <w:b w:val="0"/>
          <w:bCs w:val="0"/>
          <w:caps w:val="0"/>
          <w:kern w:val="2"/>
          <w:sz w:val="24"/>
          <w:szCs w:val="24"/>
        </w:rPr>
        <w:tab/>
      </w:r>
      <w:r>
        <w:rPr>
          <w:rStyle w:val="42"/>
          <w:rFonts w:eastAsia="宋体" w:cs="Times New Roman"/>
          <w:b w:val="0"/>
          <w:bCs w:val="0"/>
          <w:sz w:val="24"/>
          <w:szCs w:val="24"/>
        </w:rPr>
        <w:t>标准编制的必要性</w:t>
      </w:r>
      <w:r>
        <w:rPr>
          <w:rFonts w:eastAsia="宋体" w:cs="Times New Roman"/>
          <w:b w:val="0"/>
          <w:bCs w:val="0"/>
          <w:sz w:val="24"/>
          <w:szCs w:val="24"/>
        </w:rPr>
        <w:tab/>
      </w:r>
      <w:r>
        <w:rPr>
          <w:rFonts w:eastAsia="宋体" w:cs="Times New Roman"/>
          <w:b w:val="0"/>
          <w:bCs w:val="0"/>
          <w:sz w:val="24"/>
          <w:szCs w:val="24"/>
        </w:rPr>
        <w:fldChar w:fldCharType="begin"/>
      </w:r>
      <w:r>
        <w:rPr>
          <w:rFonts w:eastAsia="宋体" w:cs="Times New Roman"/>
          <w:b w:val="0"/>
          <w:bCs w:val="0"/>
          <w:sz w:val="24"/>
          <w:szCs w:val="24"/>
        </w:rPr>
        <w:instrText xml:space="preserve"> PAGEREF _Toc75787629 \h </w:instrText>
      </w:r>
      <w:r>
        <w:rPr>
          <w:rFonts w:eastAsia="宋体" w:cs="Times New Roman"/>
          <w:b w:val="0"/>
          <w:bCs w:val="0"/>
          <w:sz w:val="24"/>
          <w:szCs w:val="24"/>
        </w:rPr>
        <w:fldChar w:fldCharType="separate"/>
      </w:r>
      <w:r>
        <w:rPr>
          <w:rFonts w:eastAsia="宋体" w:cs="Times New Roman"/>
          <w:b w:val="0"/>
          <w:bCs w:val="0"/>
          <w:sz w:val="24"/>
          <w:szCs w:val="24"/>
        </w:rPr>
        <w:t>- 2 -</w:t>
      </w:r>
      <w:r>
        <w:rPr>
          <w:rFonts w:eastAsia="宋体" w:cs="Times New Roman"/>
          <w:b w:val="0"/>
          <w:bCs w:val="0"/>
          <w:sz w:val="24"/>
          <w:szCs w:val="24"/>
        </w:rPr>
        <w:fldChar w:fldCharType="end"/>
      </w:r>
      <w:r>
        <w:rPr>
          <w:rFonts w:eastAsia="宋体" w:cs="Times New Roman"/>
          <w:b w:val="0"/>
          <w:bCs w:val="0"/>
          <w:sz w:val="24"/>
          <w:szCs w:val="24"/>
        </w:rPr>
        <w:fldChar w:fldCharType="end"/>
      </w:r>
    </w:p>
    <w:p>
      <w:pPr>
        <w:pStyle w:val="29"/>
        <w:tabs>
          <w:tab w:val="left" w:pos="1050"/>
          <w:tab w:val="right" w:leader="dot" w:pos="8296"/>
        </w:tabs>
        <w:spacing w:line="360" w:lineRule="auto"/>
        <w:ind w:left="420"/>
        <w:rPr>
          <w:rFonts w:cs="Times New Roman"/>
          <w:smallCaps w:val="0"/>
          <w:szCs w:val="24"/>
        </w:rPr>
      </w:pPr>
      <w:r>
        <w:fldChar w:fldCharType="begin"/>
      </w:r>
      <w:r>
        <w:instrText xml:space="preserve"> HYPERLINK \l "_Toc75787630" </w:instrText>
      </w:r>
      <w:r>
        <w:fldChar w:fldCharType="separate"/>
      </w:r>
      <w:r>
        <w:rPr>
          <w:rStyle w:val="42"/>
          <w:rFonts w:cs="Times New Roman"/>
          <w:szCs w:val="24"/>
        </w:rPr>
        <w:t>2.1</w:t>
      </w:r>
      <w:r>
        <w:rPr>
          <w:rFonts w:cs="Times New Roman"/>
          <w:smallCaps w:val="0"/>
          <w:szCs w:val="24"/>
        </w:rPr>
        <w:tab/>
      </w:r>
      <w:r>
        <w:rPr>
          <w:rStyle w:val="42"/>
          <w:rFonts w:cs="Times New Roman"/>
          <w:szCs w:val="24"/>
        </w:rPr>
        <w:t>VOCs的危害</w:t>
      </w:r>
      <w:r>
        <w:rPr>
          <w:rFonts w:cs="Times New Roman"/>
          <w:szCs w:val="24"/>
        </w:rPr>
        <w:tab/>
      </w:r>
      <w:r>
        <w:rPr>
          <w:rFonts w:cs="Times New Roman"/>
          <w:szCs w:val="24"/>
        </w:rPr>
        <w:fldChar w:fldCharType="begin"/>
      </w:r>
      <w:r>
        <w:rPr>
          <w:rFonts w:cs="Times New Roman"/>
          <w:szCs w:val="24"/>
        </w:rPr>
        <w:instrText xml:space="preserve"> PAGEREF _Toc75787630 \h </w:instrText>
      </w:r>
      <w:r>
        <w:rPr>
          <w:rFonts w:cs="Times New Roman"/>
          <w:szCs w:val="24"/>
        </w:rPr>
        <w:fldChar w:fldCharType="separate"/>
      </w:r>
      <w:r>
        <w:rPr>
          <w:rFonts w:cs="Times New Roman"/>
          <w:szCs w:val="24"/>
        </w:rPr>
        <w:t>- 2 -</w:t>
      </w:r>
      <w:r>
        <w:rPr>
          <w:rFonts w:cs="Times New Roman"/>
          <w:szCs w:val="24"/>
        </w:rPr>
        <w:fldChar w:fldCharType="end"/>
      </w:r>
      <w:r>
        <w:rPr>
          <w:rFonts w:cs="Times New Roman"/>
          <w:szCs w:val="24"/>
        </w:rPr>
        <w:fldChar w:fldCharType="end"/>
      </w:r>
    </w:p>
    <w:p>
      <w:pPr>
        <w:pStyle w:val="29"/>
        <w:tabs>
          <w:tab w:val="left" w:pos="1050"/>
          <w:tab w:val="right" w:leader="dot" w:pos="8296"/>
        </w:tabs>
        <w:spacing w:line="360" w:lineRule="auto"/>
        <w:ind w:left="420"/>
        <w:rPr>
          <w:rFonts w:cs="Times New Roman"/>
          <w:smallCaps w:val="0"/>
          <w:szCs w:val="24"/>
        </w:rPr>
      </w:pPr>
      <w:r>
        <w:fldChar w:fldCharType="begin"/>
      </w:r>
      <w:r>
        <w:instrText xml:space="preserve"> HYPERLINK \l "_Toc75787631" </w:instrText>
      </w:r>
      <w:r>
        <w:fldChar w:fldCharType="separate"/>
      </w:r>
      <w:r>
        <w:rPr>
          <w:rStyle w:val="42"/>
          <w:rFonts w:cs="Times New Roman"/>
          <w:szCs w:val="24"/>
        </w:rPr>
        <w:t>2.2</w:t>
      </w:r>
      <w:r>
        <w:rPr>
          <w:rFonts w:cs="Times New Roman"/>
          <w:smallCaps w:val="0"/>
          <w:szCs w:val="24"/>
        </w:rPr>
        <w:tab/>
      </w:r>
      <w:r>
        <w:rPr>
          <w:rStyle w:val="42"/>
          <w:rFonts w:cs="Times New Roman"/>
          <w:szCs w:val="24"/>
        </w:rPr>
        <w:t>空气质量持续改善的需要</w:t>
      </w:r>
      <w:r>
        <w:rPr>
          <w:rFonts w:cs="Times New Roman"/>
          <w:szCs w:val="24"/>
        </w:rPr>
        <w:tab/>
      </w:r>
      <w:r>
        <w:rPr>
          <w:rFonts w:cs="Times New Roman"/>
          <w:szCs w:val="24"/>
        </w:rPr>
        <w:fldChar w:fldCharType="begin"/>
      </w:r>
      <w:r>
        <w:rPr>
          <w:rFonts w:cs="Times New Roman"/>
          <w:szCs w:val="24"/>
        </w:rPr>
        <w:instrText xml:space="preserve"> PAGEREF _Toc75787631 \h </w:instrText>
      </w:r>
      <w:r>
        <w:rPr>
          <w:rFonts w:cs="Times New Roman"/>
          <w:szCs w:val="24"/>
        </w:rPr>
        <w:fldChar w:fldCharType="separate"/>
      </w:r>
      <w:r>
        <w:rPr>
          <w:rFonts w:cs="Times New Roman"/>
          <w:szCs w:val="24"/>
        </w:rPr>
        <w:t>- 3 -</w:t>
      </w:r>
      <w:r>
        <w:rPr>
          <w:rFonts w:cs="Times New Roman"/>
          <w:szCs w:val="24"/>
        </w:rPr>
        <w:fldChar w:fldCharType="end"/>
      </w:r>
      <w:r>
        <w:rPr>
          <w:rFonts w:cs="Times New Roman"/>
          <w:szCs w:val="24"/>
        </w:rPr>
        <w:fldChar w:fldCharType="end"/>
      </w:r>
    </w:p>
    <w:p>
      <w:pPr>
        <w:pStyle w:val="29"/>
        <w:tabs>
          <w:tab w:val="left" w:pos="1050"/>
          <w:tab w:val="right" w:leader="dot" w:pos="8296"/>
        </w:tabs>
        <w:spacing w:line="360" w:lineRule="auto"/>
        <w:ind w:left="420"/>
        <w:rPr>
          <w:rFonts w:cs="Times New Roman"/>
          <w:smallCaps w:val="0"/>
          <w:szCs w:val="24"/>
        </w:rPr>
      </w:pPr>
      <w:r>
        <w:fldChar w:fldCharType="begin"/>
      </w:r>
      <w:r>
        <w:instrText xml:space="preserve"> HYPERLINK \l "_Toc75787632" </w:instrText>
      </w:r>
      <w:r>
        <w:fldChar w:fldCharType="separate"/>
      </w:r>
      <w:r>
        <w:rPr>
          <w:rStyle w:val="42"/>
          <w:rFonts w:cs="Times New Roman"/>
          <w:szCs w:val="24"/>
        </w:rPr>
        <w:t>2.3</w:t>
      </w:r>
      <w:r>
        <w:rPr>
          <w:rFonts w:cs="Times New Roman"/>
          <w:smallCaps w:val="0"/>
          <w:szCs w:val="24"/>
        </w:rPr>
        <w:tab/>
      </w:r>
      <w:r>
        <w:rPr>
          <w:rStyle w:val="42"/>
          <w:rFonts w:cs="Times New Roman"/>
          <w:szCs w:val="24"/>
        </w:rPr>
        <w:t>完善广东省VOCs排放标准体系的需要</w:t>
      </w:r>
      <w:r>
        <w:rPr>
          <w:rFonts w:cs="Times New Roman"/>
          <w:szCs w:val="24"/>
        </w:rPr>
        <w:tab/>
      </w:r>
      <w:r>
        <w:rPr>
          <w:rFonts w:cs="Times New Roman"/>
          <w:szCs w:val="24"/>
        </w:rPr>
        <w:fldChar w:fldCharType="begin"/>
      </w:r>
      <w:r>
        <w:rPr>
          <w:rFonts w:cs="Times New Roman"/>
          <w:szCs w:val="24"/>
        </w:rPr>
        <w:instrText xml:space="preserve"> PAGEREF _Toc75787632 \h </w:instrText>
      </w:r>
      <w:r>
        <w:rPr>
          <w:rFonts w:cs="Times New Roman"/>
          <w:szCs w:val="24"/>
        </w:rPr>
        <w:fldChar w:fldCharType="separate"/>
      </w:r>
      <w:r>
        <w:rPr>
          <w:rFonts w:cs="Times New Roman"/>
          <w:szCs w:val="24"/>
        </w:rPr>
        <w:t>- 4 -</w:t>
      </w:r>
      <w:r>
        <w:rPr>
          <w:rFonts w:cs="Times New Roman"/>
          <w:szCs w:val="24"/>
        </w:rPr>
        <w:fldChar w:fldCharType="end"/>
      </w:r>
      <w:r>
        <w:rPr>
          <w:rFonts w:cs="Times New Roman"/>
          <w:szCs w:val="24"/>
        </w:rPr>
        <w:fldChar w:fldCharType="end"/>
      </w:r>
    </w:p>
    <w:p>
      <w:pPr>
        <w:pStyle w:val="25"/>
        <w:tabs>
          <w:tab w:val="left" w:pos="1260"/>
          <w:tab w:val="right" w:leader="dot" w:pos="8296"/>
        </w:tabs>
        <w:spacing w:before="0" w:after="0" w:line="360" w:lineRule="auto"/>
        <w:rPr>
          <w:rFonts w:eastAsia="宋体" w:cs="Times New Roman"/>
          <w:b w:val="0"/>
          <w:bCs w:val="0"/>
          <w:caps w:val="0"/>
          <w:kern w:val="2"/>
          <w:sz w:val="24"/>
          <w:szCs w:val="24"/>
        </w:rPr>
      </w:pPr>
      <w:r>
        <w:fldChar w:fldCharType="begin"/>
      </w:r>
      <w:r>
        <w:instrText xml:space="preserve"> HYPERLINK \l "_Toc75787633" </w:instrText>
      </w:r>
      <w:r>
        <w:fldChar w:fldCharType="separate"/>
      </w:r>
      <w:r>
        <w:rPr>
          <w:rStyle w:val="42"/>
          <w:rFonts w:eastAsia="宋体" w:cs="Times New Roman"/>
          <w:b w:val="0"/>
          <w:bCs w:val="0"/>
          <w:sz w:val="24"/>
          <w:szCs w:val="24"/>
        </w:rPr>
        <w:t>第3章</w:t>
      </w:r>
      <w:r>
        <w:rPr>
          <w:rFonts w:eastAsia="宋体" w:cs="Times New Roman"/>
          <w:b w:val="0"/>
          <w:bCs w:val="0"/>
          <w:caps w:val="0"/>
          <w:kern w:val="2"/>
          <w:sz w:val="24"/>
          <w:szCs w:val="24"/>
        </w:rPr>
        <w:tab/>
      </w:r>
      <w:r>
        <w:rPr>
          <w:rStyle w:val="42"/>
          <w:rFonts w:eastAsia="宋体" w:cs="Times New Roman"/>
          <w:b w:val="0"/>
          <w:bCs w:val="0"/>
          <w:sz w:val="24"/>
          <w:szCs w:val="24"/>
        </w:rPr>
        <w:t>VOCs排放行业概况及产排污情况</w:t>
      </w:r>
      <w:r>
        <w:rPr>
          <w:rFonts w:eastAsia="宋体" w:cs="Times New Roman"/>
          <w:b w:val="0"/>
          <w:bCs w:val="0"/>
          <w:sz w:val="24"/>
          <w:szCs w:val="24"/>
        </w:rPr>
        <w:tab/>
      </w:r>
      <w:r>
        <w:rPr>
          <w:rFonts w:eastAsia="宋体" w:cs="Times New Roman"/>
          <w:b w:val="0"/>
          <w:bCs w:val="0"/>
          <w:sz w:val="24"/>
          <w:szCs w:val="24"/>
        </w:rPr>
        <w:fldChar w:fldCharType="begin"/>
      </w:r>
      <w:r>
        <w:rPr>
          <w:rFonts w:eastAsia="宋体" w:cs="Times New Roman"/>
          <w:b w:val="0"/>
          <w:bCs w:val="0"/>
          <w:sz w:val="24"/>
          <w:szCs w:val="24"/>
        </w:rPr>
        <w:instrText xml:space="preserve"> PAGEREF _Toc75787633 \h </w:instrText>
      </w:r>
      <w:r>
        <w:rPr>
          <w:rFonts w:eastAsia="宋体" w:cs="Times New Roman"/>
          <w:b w:val="0"/>
          <w:bCs w:val="0"/>
          <w:sz w:val="24"/>
          <w:szCs w:val="24"/>
        </w:rPr>
        <w:fldChar w:fldCharType="separate"/>
      </w:r>
      <w:r>
        <w:rPr>
          <w:rFonts w:eastAsia="宋体" w:cs="Times New Roman"/>
          <w:b w:val="0"/>
          <w:bCs w:val="0"/>
          <w:sz w:val="24"/>
          <w:szCs w:val="24"/>
        </w:rPr>
        <w:t>- 5 -</w:t>
      </w:r>
      <w:r>
        <w:rPr>
          <w:rFonts w:eastAsia="宋体" w:cs="Times New Roman"/>
          <w:b w:val="0"/>
          <w:bCs w:val="0"/>
          <w:sz w:val="24"/>
          <w:szCs w:val="24"/>
        </w:rPr>
        <w:fldChar w:fldCharType="end"/>
      </w:r>
      <w:r>
        <w:rPr>
          <w:rFonts w:eastAsia="宋体" w:cs="Times New Roman"/>
          <w:b w:val="0"/>
          <w:bCs w:val="0"/>
          <w:sz w:val="24"/>
          <w:szCs w:val="24"/>
        </w:rPr>
        <w:fldChar w:fldCharType="end"/>
      </w:r>
    </w:p>
    <w:p>
      <w:pPr>
        <w:pStyle w:val="29"/>
        <w:tabs>
          <w:tab w:val="left" w:pos="1050"/>
          <w:tab w:val="right" w:leader="dot" w:pos="8296"/>
        </w:tabs>
        <w:spacing w:line="360" w:lineRule="auto"/>
        <w:ind w:left="420"/>
        <w:rPr>
          <w:rFonts w:cs="Times New Roman"/>
          <w:smallCaps w:val="0"/>
          <w:szCs w:val="24"/>
        </w:rPr>
      </w:pPr>
      <w:r>
        <w:fldChar w:fldCharType="begin"/>
      </w:r>
      <w:r>
        <w:instrText xml:space="preserve"> HYPERLINK \l "_Toc75787634" </w:instrText>
      </w:r>
      <w:r>
        <w:fldChar w:fldCharType="separate"/>
      </w:r>
      <w:r>
        <w:rPr>
          <w:rStyle w:val="42"/>
          <w:rFonts w:cs="Times New Roman"/>
          <w:szCs w:val="24"/>
        </w:rPr>
        <w:t>3.1</w:t>
      </w:r>
      <w:r>
        <w:rPr>
          <w:rFonts w:cs="Times New Roman"/>
          <w:smallCaps w:val="0"/>
          <w:szCs w:val="24"/>
        </w:rPr>
        <w:tab/>
      </w:r>
      <w:r>
        <w:rPr>
          <w:rStyle w:val="42"/>
          <w:rFonts w:cs="Times New Roman"/>
          <w:szCs w:val="24"/>
        </w:rPr>
        <w:t>VOCs排放行业概况</w:t>
      </w:r>
      <w:r>
        <w:rPr>
          <w:rFonts w:cs="Times New Roman"/>
          <w:szCs w:val="24"/>
        </w:rPr>
        <w:tab/>
      </w:r>
      <w:r>
        <w:rPr>
          <w:rFonts w:cs="Times New Roman"/>
          <w:szCs w:val="24"/>
        </w:rPr>
        <w:fldChar w:fldCharType="begin"/>
      </w:r>
      <w:r>
        <w:rPr>
          <w:rFonts w:cs="Times New Roman"/>
          <w:szCs w:val="24"/>
        </w:rPr>
        <w:instrText xml:space="preserve"> PAGEREF _Toc75787634 \h </w:instrText>
      </w:r>
      <w:r>
        <w:rPr>
          <w:rFonts w:cs="Times New Roman"/>
          <w:szCs w:val="24"/>
        </w:rPr>
        <w:fldChar w:fldCharType="separate"/>
      </w:r>
      <w:r>
        <w:rPr>
          <w:rFonts w:cs="Times New Roman"/>
          <w:szCs w:val="24"/>
        </w:rPr>
        <w:t>- 5 -</w:t>
      </w:r>
      <w:r>
        <w:rPr>
          <w:rFonts w:cs="Times New Roman"/>
          <w:szCs w:val="24"/>
        </w:rPr>
        <w:fldChar w:fldCharType="end"/>
      </w:r>
      <w:r>
        <w:rPr>
          <w:rFonts w:cs="Times New Roman"/>
          <w:szCs w:val="24"/>
        </w:rPr>
        <w:fldChar w:fldCharType="end"/>
      </w:r>
    </w:p>
    <w:p>
      <w:pPr>
        <w:pStyle w:val="29"/>
        <w:tabs>
          <w:tab w:val="left" w:pos="1050"/>
          <w:tab w:val="right" w:leader="dot" w:pos="8296"/>
        </w:tabs>
        <w:spacing w:line="360" w:lineRule="auto"/>
        <w:ind w:left="420"/>
        <w:rPr>
          <w:rFonts w:cs="Times New Roman"/>
          <w:smallCaps w:val="0"/>
          <w:szCs w:val="24"/>
        </w:rPr>
      </w:pPr>
      <w:r>
        <w:fldChar w:fldCharType="begin"/>
      </w:r>
      <w:r>
        <w:instrText xml:space="preserve"> HYPERLINK \l "_Toc75787635" </w:instrText>
      </w:r>
      <w:r>
        <w:fldChar w:fldCharType="separate"/>
      </w:r>
      <w:r>
        <w:rPr>
          <w:rStyle w:val="42"/>
          <w:rFonts w:cs="Times New Roman"/>
          <w:szCs w:val="24"/>
        </w:rPr>
        <w:t>3.2</w:t>
      </w:r>
      <w:r>
        <w:rPr>
          <w:rFonts w:cs="Times New Roman"/>
          <w:smallCaps w:val="0"/>
          <w:szCs w:val="24"/>
        </w:rPr>
        <w:tab/>
      </w:r>
      <w:r>
        <w:rPr>
          <w:rStyle w:val="42"/>
          <w:rFonts w:cs="Times New Roman"/>
          <w:szCs w:val="24"/>
        </w:rPr>
        <w:t>VOCs排放情况</w:t>
      </w:r>
      <w:r>
        <w:rPr>
          <w:rFonts w:cs="Times New Roman"/>
          <w:szCs w:val="24"/>
        </w:rPr>
        <w:tab/>
      </w:r>
      <w:r>
        <w:rPr>
          <w:rFonts w:cs="Times New Roman"/>
          <w:szCs w:val="24"/>
        </w:rPr>
        <w:fldChar w:fldCharType="begin"/>
      </w:r>
      <w:r>
        <w:rPr>
          <w:rFonts w:cs="Times New Roman"/>
          <w:szCs w:val="24"/>
        </w:rPr>
        <w:instrText xml:space="preserve"> PAGEREF _Toc75787635 \h </w:instrText>
      </w:r>
      <w:r>
        <w:rPr>
          <w:rFonts w:cs="Times New Roman"/>
          <w:szCs w:val="24"/>
        </w:rPr>
        <w:fldChar w:fldCharType="separate"/>
      </w:r>
      <w:r>
        <w:rPr>
          <w:rFonts w:cs="Times New Roman"/>
          <w:szCs w:val="24"/>
        </w:rPr>
        <w:t>- 7 -</w:t>
      </w:r>
      <w:r>
        <w:rPr>
          <w:rFonts w:cs="Times New Roman"/>
          <w:szCs w:val="24"/>
        </w:rPr>
        <w:fldChar w:fldCharType="end"/>
      </w:r>
      <w:r>
        <w:rPr>
          <w:rFonts w:cs="Times New Roman"/>
          <w:szCs w:val="24"/>
        </w:rPr>
        <w:fldChar w:fldCharType="end"/>
      </w:r>
    </w:p>
    <w:p>
      <w:pPr>
        <w:pStyle w:val="29"/>
        <w:tabs>
          <w:tab w:val="left" w:pos="1050"/>
          <w:tab w:val="right" w:leader="dot" w:pos="8296"/>
        </w:tabs>
        <w:spacing w:line="360" w:lineRule="auto"/>
        <w:ind w:left="420"/>
        <w:rPr>
          <w:rFonts w:cs="Times New Roman"/>
          <w:smallCaps w:val="0"/>
          <w:szCs w:val="24"/>
        </w:rPr>
      </w:pPr>
      <w:r>
        <w:fldChar w:fldCharType="begin"/>
      </w:r>
      <w:r>
        <w:instrText xml:space="preserve"> HYPERLINK \l "_Toc75787636" </w:instrText>
      </w:r>
      <w:r>
        <w:fldChar w:fldCharType="separate"/>
      </w:r>
      <w:r>
        <w:rPr>
          <w:rStyle w:val="42"/>
          <w:rFonts w:cs="Times New Roman"/>
          <w:szCs w:val="24"/>
        </w:rPr>
        <w:t>3.3</w:t>
      </w:r>
      <w:r>
        <w:rPr>
          <w:rFonts w:cs="Times New Roman"/>
          <w:smallCaps w:val="0"/>
          <w:szCs w:val="24"/>
        </w:rPr>
        <w:tab/>
      </w:r>
      <w:r>
        <w:rPr>
          <w:rStyle w:val="42"/>
          <w:rFonts w:cs="Times New Roman"/>
          <w:szCs w:val="24"/>
        </w:rPr>
        <w:t>产排污情况</w:t>
      </w:r>
      <w:r>
        <w:rPr>
          <w:rFonts w:cs="Times New Roman"/>
          <w:szCs w:val="24"/>
        </w:rPr>
        <w:tab/>
      </w:r>
      <w:r>
        <w:rPr>
          <w:rFonts w:cs="Times New Roman"/>
          <w:szCs w:val="24"/>
        </w:rPr>
        <w:fldChar w:fldCharType="begin"/>
      </w:r>
      <w:r>
        <w:rPr>
          <w:rFonts w:cs="Times New Roman"/>
          <w:szCs w:val="24"/>
        </w:rPr>
        <w:instrText xml:space="preserve"> PAGEREF _Toc75787636 \h </w:instrText>
      </w:r>
      <w:r>
        <w:rPr>
          <w:rFonts w:cs="Times New Roman"/>
          <w:szCs w:val="24"/>
        </w:rPr>
        <w:fldChar w:fldCharType="separate"/>
      </w:r>
      <w:r>
        <w:rPr>
          <w:rFonts w:cs="Times New Roman"/>
          <w:szCs w:val="24"/>
        </w:rPr>
        <w:t>- 8 -</w:t>
      </w:r>
      <w:r>
        <w:rPr>
          <w:rFonts w:cs="Times New Roman"/>
          <w:szCs w:val="24"/>
        </w:rPr>
        <w:fldChar w:fldCharType="end"/>
      </w:r>
      <w:r>
        <w:rPr>
          <w:rFonts w:cs="Times New Roman"/>
          <w:szCs w:val="24"/>
        </w:rPr>
        <w:fldChar w:fldCharType="end"/>
      </w:r>
    </w:p>
    <w:p>
      <w:pPr>
        <w:pStyle w:val="25"/>
        <w:tabs>
          <w:tab w:val="left" w:pos="1260"/>
          <w:tab w:val="right" w:leader="dot" w:pos="8296"/>
        </w:tabs>
        <w:spacing w:before="0" w:after="0" w:line="360" w:lineRule="auto"/>
        <w:rPr>
          <w:rFonts w:eastAsia="宋体" w:cs="Times New Roman"/>
          <w:b w:val="0"/>
          <w:bCs w:val="0"/>
          <w:caps w:val="0"/>
          <w:kern w:val="2"/>
          <w:sz w:val="24"/>
          <w:szCs w:val="24"/>
        </w:rPr>
      </w:pPr>
      <w:r>
        <w:fldChar w:fldCharType="begin"/>
      </w:r>
      <w:r>
        <w:instrText xml:space="preserve"> HYPERLINK \l "_Toc75787637" </w:instrText>
      </w:r>
      <w:r>
        <w:fldChar w:fldCharType="separate"/>
      </w:r>
      <w:r>
        <w:rPr>
          <w:rStyle w:val="42"/>
          <w:rFonts w:eastAsia="宋体" w:cs="Times New Roman"/>
          <w:b w:val="0"/>
          <w:bCs w:val="0"/>
          <w:sz w:val="24"/>
          <w:szCs w:val="24"/>
        </w:rPr>
        <w:t>第4章</w:t>
      </w:r>
      <w:r>
        <w:rPr>
          <w:rFonts w:eastAsia="宋体" w:cs="Times New Roman"/>
          <w:b w:val="0"/>
          <w:bCs w:val="0"/>
          <w:caps w:val="0"/>
          <w:kern w:val="2"/>
          <w:sz w:val="24"/>
          <w:szCs w:val="24"/>
        </w:rPr>
        <w:tab/>
      </w:r>
      <w:r>
        <w:rPr>
          <w:rStyle w:val="42"/>
          <w:rFonts w:eastAsia="宋体" w:cs="Times New Roman"/>
          <w:b w:val="0"/>
          <w:bCs w:val="0"/>
          <w:sz w:val="24"/>
          <w:szCs w:val="24"/>
        </w:rPr>
        <w:t>挥发性有机物排放控制技术</w:t>
      </w:r>
      <w:r>
        <w:rPr>
          <w:rFonts w:eastAsia="宋体" w:cs="Times New Roman"/>
          <w:b w:val="0"/>
          <w:bCs w:val="0"/>
          <w:sz w:val="24"/>
          <w:szCs w:val="24"/>
        </w:rPr>
        <w:tab/>
      </w:r>
      <w:r>
        <w:rPr>
          <w:rFonts w:eastAsia="宋体" w:cs="Times New Roman"/>
          <w:b w:val="0"/>
          <w:bCs w:val="0"/>
          <w:sz w:val="24"/>
          <w:szCs w:val="24"/>
        </w:rPr>
        <w:fldChar w:fldCharType="begin"/>
      </w:r>
      <w:r>
        <w:rPr>
          <w:rFonts w:eastAsia="宋体" w:cs="Times New Roman"/>
          <w:b w:val="0"/>
          <w:bCs w:val="0"/>
          <w:sz w:val="24"/>
          <w:szCs w:val="24"/>
        </w:rPr>
        <w:instrText xml:space="preserve"> PAGEREF _Toc75787637 \h </w:instrText>
      </w:r>
      <w:r>
        <w:rPr>
          <w:rFonts w:eastAsia="宋体" w:cs="Times New Roman"/>
          <w:b w:val="0"/>
          <w:bCs w:val="0"/>
          <w:sz w:val="24"/>
          <w:szCs w:val="24"/>
        </w:rPr>
        <w:fldChar w:fldCharType="separate"/>
      </w:r>
      <w:r>
        <w:rPr>
          <w:rFonts w:eastAsia="宋体" w:cs="Times New Roman"/>
          <w:b w:val="0"/>
          <w:bCs w:val="0"/>
          <w:sz w:val="24"/>
          <w:szCs w:val="24"/>
        </w:rPr>
        <w:t>- 13 -</w:t>
      </w:r>
      <w:r>
        <w:rPr>
          <w:rFonts w:eastAsia="宋体" w:cs="Times New Roman"/>
          <w:b w:val="0"/>
          <w:bCs w:val="0"/>
          <w:sz w:val="24"/>
          <w:szCs w:val="24"/>
        </w:rPr>
        <w:fldChar w:fldCharType="end"/>
      </w:r>
      <w:r>
        <w:rPr>
          <w:rFonts w:eastAsia="宋体" w:cs="Times New Roman"/>
          <w:b w:val="0"/>
          <w:bCs w:val="0"/>
          <w:sz w:val="24"/>
          <w:szCs w:val="24"/>
        </w:rPr>
        <w:fldChar w:fldCharType="end"/>
      </w:r>
    </w:p>
    <w:p>
      <w:pPr>
        <w:pStyle w:val="29"/>
        <w:tabs>
          <w:tab w:val="left" w:pos="1050"/>
          <w:tab w:val="right" w:leader="dot" w:pos="8296"/>
        </w:tabs>
        <w:spacing w:line="360" w:lineRule="auto"/>
        <w:ind w:left="420"/>
        <w:rPr>
          <w:rFonts w:cs="Times New Roman"/>
          <w:smallCaps w:val="0"/>
          <w:szCs w:val="24"/>
        </w:rPr>
      </w:pPr>
      <w:r>
        <w:fldChar w:fldCharType="begin"/>
      </w:r>
      <w:r>
        <w:instrText xml:space="preserve"> HYPERLINK \l "_Toc75787638" </w:instrText>
      </w:r>
      <w:r>
        <w:fldChar w:fldCharType="separate"/>
      </w:r>
      <w:r>
        <w:rPr>
          <w:rStyle w:val="42"/>
          <w:rFonts w:cs="Times New Roman"/>
          <w:szCs w:val="24"/>
        </w:rPr>
        <w:t>4.1</w:t>
      </w:r>
      <w:r>
        <w:rPr>
          <w:rFonts w:cs="Times New Roman"/>
          <w:smallCaps w:val="0"/>
          <w:szCs w:val="24"/>
        </w:rPr>
        <w:tab/>
      </w:r>
      <w:r>
        <w:rPr>
          <w:rStyle w:val="42"/>
          <w:rFonts w:cs="Times New Roman"/>
          <w:szCs w:val="24"/>
        </w:rPr>
        <w:t>源头控制技术</w:t>
      </w:r>
      <w:r>
        <w:rPr>
          <w:rFonts w:cs="Times New Roman"/>
          <w:szCs w:val="24"/>
        </w:rPr>
        <w:tab/>
      </w:r>
      <w:r>
        <w:rPr>
          <w:rFonts w:cs="Times New Roman"/>
          <w:szCs w:val="24"/>
        </w:rPr>
        <w:fldChar w:fldCharType="begin"/>
      </w:r>
      <w:r>
        <w:rPr>
          <w:rFonts w:cs="Times New Roman"/>
          <w:szCs w:val="24"/>
        </w:rPr>
        <w:instrText xml:space="preserve"> PAGEREF _Toc75787638 \h </w:instrText>
      </w:r>
      <w:r>
        <w:rPr>
          <w:rFonts w:cs="Times New Roman"/>
          <w:szCs w:val="24"/>
        </w:rPr>
        <w:fldChar w:fldCharType="separate"/>
      </w:r>
      <w:r>
        <w:rPr>
          <w:rFonts w:cs="Times New Roman"/>
          <w:szCs w:val="24"/>
        </w:rPr>
        <w:t>- 13 -</w:t>
      </w:r>
      <w:r>
        <w:rPr>
          <w:rFonts w:cs="Times New Roman"/>
          <w:szCs w:val="24"/>
        </w:rPr>
        <w:fldChar w:fldCharType="end"/>
      </w:r>
      <w:r>
        <w:rPr>
          <w:rFonts w:cs="Times New Roman"/>
          <w:szCs w:val="24"/>
        </w:rPr>
        <w:fldChar w:fldCharType="end"/>
      </w:r>
    </w:p>
    <w:p>
      <w:pPr>
        <w:pStyle w:val="29"/>
        <w:tabs>
          <w:tab w:val="left" w:pos="1050"/>
          <w:tab w:val="right" w:leader="dot" w:pos="8296"/>
        </w:tabs>
        <w:spacing w:line="360" w:lineRule="auto"/>
        <w:ind w:left="420"/>
        <w:rPr>
          <w:rFonts w:cs="Times New Roman"/>
          <w:smallCaps w:val="0"/>
          <w:szCs w:val="24"/>
        </w:rPr>
      </w:pPr>
      <w:r>
        <w:fldChar w:fldCharType="begin"/>
      </w:r>
      <w:r>
        <w:instrText xml:space="preserve"> HYPERLINK \l "_Toc75787639" </w:instrText>
      </w:r>
      <w:r>
        <w:fldChar w:fldCharType="separate"/>
      </w:r>
      <w:r>
        <w:rPr>
          <w:rStyle w:val="42"/>
          <w:rFonts w:cs="Times New Roman"/>
          <w:szCs w:val="24"/>
        </w:rPr>
        <w:t>4.2</w:t>
      </w:r>
      <w:r>
        <w:rPr>
          <w:rFonts w:cs="Times New Roman"/>
          <w:smallCaps w:val="0"/>
          <w:szCs w:val="24"/>
        </w:rPr>
        <w:tab/>
      </w:r>
      <w:r>
        <w:rPr>
          <w:rStyle w:val="42"/>
          <w:rFonts w:cs="Times New Roman"/>
          <w:szCs w:val="24"/>
        </w:rPr>
        <w:t>过程控制技术</w:t>
      </w:r>
      <w:r>
        <w:rPr>
          <w:rFonts w:cs="Times New Roman"/>
          <w:szCs w:val="24"/>
        </w:rPr>
        <w:tab/>
      </w:r>
      <w:r>
        <w:rPr>
          <w:rFonts w:cs="Times New Roman"/>
          <w:szCs w:val="24"/>
        </w:rPr>
        <w:fldChar w:fldCharType="begin"/>
      </w:r>
      <w:r>
        <w:rPr>
          <w:rFonts w:cs="Times New Roman"/>
          <w:szCs w:val="24"/>
        </w:rPr>
        <w:instrText xml:space="preserve"> PAGEREF _Toc75787639 \h </w:instrText>
      </w:r>
      <w:r>
        <w:rPr>
          <w:rFonts w:cs="Times New Roman"/>
          <w:szCs w:val="24"/>
        </w:rPr>
        <w:fldChar w:fldCharType="separate"/>
      </w:r>
      <w:r>
        <w:rPr>
          <w:rFonts w:cs="Times New Roman"/>
          <w:szCs w:val="24"/>
        </w:rPr>
        <w:t>- 14 -</w:t>
      </w:r>
      <w:r>
        <w:rPr>
          <w:rFonts w:cs="Times New Roman"/>
          <w:szCs w:val="24"/>
        </w:rPr>
        <w:fldChar w:fldCharType="end"/>
      </w:r>
      <w:r>
        <w:rPr>
          <w:rFonts w:cs="Times New Roman"/>
          <w:szCs w:val="24"/>
        </w:rPr>
        <w:fldChar w:fldCharType="end"/>
      </w:r>
    </w:p>
    <w:p>
      <w:pPr>
        <w:pStyle w:val="29"/>
        <w:tabs>
          <w:tab w:val="left" w:pos="1050"/>
          <w:tab w:val="right" w:leader="dot" w:pos="8296"/>
        </w:tabs>
        <w:spacing w:line="360" w:lineRule="auto"/>
        <w:ind w:left="420"/>
        <w:rPr>
          <w:rFonts w:cs="Times New Roman"/>
          <w:smallCaps w:val="0"/>
          <w:szCs w:val="24"/>
        </w:rPr>
      </w:pPr>
      <w:r>
        <w:fldChar w:fldCharType="begin"/>
      </w:r>
      <w:r>
        <w:instrText xml:space="preserve"> HYPERLINK \l "_Toc75787640" </w:instrText>
      </w:r>
      <w:r>
        <w:fldChar w:fldCharType="separate"/>
      </w:r>
      <w:r>
        <w:rPr>
          <w:rStyle w:val="42"/>
          <w:rFonts w:cs="Times New Roman"/>
          <w:szCs w:val="24"/>
        </w:rPr>
        <w:t>4.3</w:t>
      </w:r>
      <w:r>
        <w:rPr>
          <w:rFonts w:cs="Times New Roman"/>
          <w:smallCaps w:val="0"/>
          <w:szCs w:val="24"/>
        </w:rPr>
        <w:tab/>
      </w:r>
      <w:r>
        <w:rPr>
          <w:rStyle w:val="42"/>
          <w:rFonts w:cs="Times New Roman"/>
          <w:szCs w:val="24"/>
        </w:rPr>
        <w:t>末端控制技术</w:t>
      </w:r>
      <w:r>
        <w:rPr>
          <w:rFonts w:cs="Times New Roman"/>
          <w:szCs w:val="24"/>
        </w:rPr>
        <w:tab/>
      </w:r>
      <w:r>
        <w:rPr>
          <w:rFonts w:cs="Times New Roman"/>
          <w:szCs w:val="24"/>
        </w:rPr>
        <w:fldChar w:fldCharType="begin"/>
      </w:r>
      <w:r>
        <w:rPr>
          <w:rFonts w:cs="Times New Roman"/>
          <w:szCs w:val="24"/>
        </w:rPr>
        <w:instrText xml:space="preserve"> PAGEREF _Toc75787640 \h </w:instrText>
      </w:r>
      <w:r>
        <w:rPr>
          <w:rFonts w:cs="Times New Roman"/>
          <w:szCs w:val="24"/>
        </w:rPr>
        <w:fldChar w:fldCharType="separate"/>
      </w:r>
      <w:r>
        <w:rPr>
          <w:rFonts w:cs="Times New Roman"/>
          <w:szCs w:val="24"/>
        </w:rPr>
        <w:t>- 14 -</w:t>
      </w:r>
      <w:r>
        <w:rPr>
          <w:rFonts w:cs="Times New Roman"/>
          <w:szCs w:val="24"/>
        </w:rPr>
        <w:fldChar w:fldCharType="end"/>
      </w:r>
      <w:r>
        <w:rPr>
          <w:rFonts w:cs="Times New Roman"/>
          <w:szCs w:val="24"/>
        </w:rPr>
        <w:fldChar w:fldCharType="end"/>
      </w:r>
    </w:p>
    <w:p>
      <w:pPr>
        <w:pStyle w:val="29"/>
        <w:tabs>
          <w:tab w:val="left" w:pos="1050"/>
          <w:tab w:val="right" w:leader="dot" w:pos="8296"/>
        </w:tabs>
        <w:spacing w:line="360" w:lineRule="auto"/>
        <w:ind w:left="420"/>
        <w:rPr>
          <w:rFonts w:cs="Times New Roman"/>
          <w:smallCaps w:val="0"/>
          <w:szCs w:val="24"/>
        </w:rPr>
      </w:pPr>
      <w:r>
        <w:fldChar w:fldCharType="begin"/>
      </w:r>
      <w:r>
        <w:instrText xml:space="preserve"> HYPERLINK \l "_Toc75787641" </w:instrText>
      </w:r>
      <w:r>
        <w:fldChar w:fldCharType="separate"/>
      </w:r>
      <w:r>
        <w:rPr>
          <w:rStyle w:val="42"/>
          <w:rFonts w:cs="Times New Roman"/>
          <w:szCs w:val="24"/>
        </w:rPr>
        <w:t>4.4</w:t>
      </w:r>
      <w:r>
        <w:rPr>
          <w:rFonts w:cs="Times New Roman"/>
          <w:smallCaps w:val="0"/>
          <w:szCs w:val="24"/>
        </w:rPr>
        <w:tab/>
      </w:r>
      <w:r>
        <w:rPr>
          <w:rStyle w:val="42"/>
          <w:rFonts w:cs="Times New Roman"/>
          <w:szCs w:val="24"/>
        </w:rPr>
        <w:t>VOCs治理情况</w:t>
      </w:r>
      <w:r>
        <w:rPr>
          <w:rFonts w:cs="Times New Roman"/>
          <w:szCs w:val="24"/>
        </w:rPr>
        <w:tab/>
      </w:r>
      <w:r>
        <w:rPr>
          <w:rFonts w:cs="Times New Roman"/>
          <w:szCs w:val="24"/>
        </w:rPr>
        <w:fldChar w:fldCharType="begin"/>
      </w:r>
      <w:r>
        <w:rPr>
          <w:rFonts w:cs="Times New Roman"/>
          <w:szCs w:val="24"/>
        </w:rPr>
        <w:instrText xml:space="preserve"> PAGEREF _Toc75787641 \h </w:instrText>
      </w:r>
      <w:r>
        <w:rPr>
          <w:rFonts w:cs="Times New Roman"/>
          <w:szCs w:val="24"/>
        </w:rPr>
        <w:fldChar w:fldCharType="separate"/>
      </w:r>
      <w:r>
        <w:rPr>
          <w:rFonts w:cs="Times New Roman"/>
          <w:szCs w:val="24"/>
        </w:rPr>
        <w:t>- 17 -</w:t>
      </w:r>
      <w:r>
        <w:rPr>
          <w:rFonts w:cs="Times New Roman"/>
          <w:szCs w:val="24"/>
        </w:rPr>
        <w:fldChar w:fldCharType="end"/>
      </w:r>
      <w:r>
        <w:rPr>
          <w:rFonts w:cs="Times New Roman"/>
          <w:szCs w:val="24"/>
        </w:rPr>
        <w:fldChar w:fldCharType="end"/>
      </w:r>
    </w:p>
    <w:p>
      <w:pPr>
        <w:pStyle w:val="25"/>
        <w:tabs>
          <w:tab w:val="left" w:pos="1260"/>
          <w:tab w:val="right" w:leader="dot" w:pos="8296"/>
        </w:tabs>
        <w:spacing w:before="0" w:after="0" w:line="360" w:lineRule="auto"/>
        <w:rPr>
          <w:rFonts w:eastAsia="宋体" w:cs="Times New Roman"/>
          <w:b w:val="0"/>
          <w:bCs w:val="0"/>
          <w:caps w:val="0"/>
          <w:kern w:val="2"/>
          <w:sz w:val="24"/>
          <w:szCs w:val="24"/>
        </w:rPr>
      </w:pPr>
      <w:r>
        <w:fldChar w:fldCharType="begin"/>
      </w:r>
      <w:r>
        <w:instrText xml:space="preserve"> HYPERLINK \l "_Toc75787642" </w:instrText>
      </w:r>
      <w:r>
        <w:fldChar w:fldCharType="separate"/>
      </w:r>
      <w:r>
        <w:rPr>
          <w:rStyle w:val="42"/>
          <w:rFonts w:eastAsia="宋体" w:cs="Times New Roman"/>
          <w:b w:val="0"/>
          <w:bCs w:val="0"/>
          <w:sz w:val="24"/>
          <w:szCs w:val="24"/>
        </w:rPr>
        <w:t>第5章</w:t>
      </w:r>
      <w:r>
        <w:rPr>
          <w:rFonts w:eastAsia="宋体" w:cs="Times New Roman"/>
          <w:b w:val="0"/>
          <w:bCs w:val="0"/>
          <w:caps w:val="0"/>
          <w:kern w:val="2"/>
          <w:sz w:val="24"/>
          <w:szCs w:val="24"/>
        </w:rPr>
        <w:tab/>
      </w:r>
      <w:r>
        <w:rPr>
          <w:rStyle w:val="42"/>
          <w:rFonts w:eastAsia="宋体" w:cs="Times New Roman"/>
          <w:b w:val="0"/>
          <w:bCs w:val="0"/>
          <w:sz w:val="24"/>
          <w:szCs w:val="24"/>
        </w:rPr>
        <w:t>国内外相关标准调研</w:t>
      </w:r>
      <w:r>
        <w:rPr>
          <w:rFonts w:eastAsia="宋体" w:cs="Times New Roman"/>
          <w:b w:val="0"/>
          <w:bCs w:val="0"/>
          <w:sz w:val="24"/>
          <w:szCs w:val="24"/>
        </w:rPr>
        <w:tab/>
      </w:r>
      <w:r>
        <w:rPr>
          <w:rFonts w:eastAsia="宋体" w:cs="Times New Roman"/>
          <w:b w:val="0"/>
          <w:bCs w:val="0"/>
          <w:sz w:val="24"/>
          <w:szCs w:val="24"/>
        </w:rPr>
        <w:fldChar w:fldCharType="begin"/>
      </w:r>
      <w:r>
        <w:rPr>
          <w:rFonts w:eastAsia="宋体" w:cs="Times New Roman"/>
          <w:b w:val="0"/>
          <w:bCs w:val="0"/>
          <w:sz w:val="24"/>
          <w:szCs w:val="24"/>
        </w:rPr>
        <w:instrText xml:space="preserve"> PAGEREF _Toc75787642 \h </w:instrText>
      </w:r>
      <w:r>
        <w:rPr>
          <w:rFonts w:eastAsia="宋体" w:cs="Times New Roman"/>
          <w:b w:val="0"/>
          <w:bCs w:val="0"/>
          <w:sz w:val="24"/>
          <w:szCs w:val="24"/>
        </w:rPr>
        <w:fldChar w:fldCharType="separate"/>
      </w:r>
      <w:r>
        <w:rPr>
          <w:rFonts w:eastAsia="宋体" w:cs="Times New Roman"/>
          <w:b w:val="0"/>
          <w:bCs w:val="0"/>
          <w:sz w:val="24"/>
          <w:szCs w:val="24"/>
        </w:rPr>
        <w:t>- 21 -</w:t>
      </w:r>
      <w:r>
        <w:rPr>
          <w:rFonts w:eastAsia="宋体" w:cs="Times New Roman"/>
          <w:b w:val="0"/>
          <w:bCs w:val="0"/>
          <w:sz w:val="24"/>
          <w:szCs w:val="24"/>
        </w:rPr>
        <w:fldChar w:fldCharType="end"/>
      </w:r>
      <w:r>
        <w:rPr>
          <w:rFonts w:eastAsia="宋体" w:cs="Times New Roman"/>
          <w:b w:val="0"/>
          <w:bCs w:val="0"/>
          <w:sz w:val="24"/>
          <w:szCs w:val="24"/>
        </w:rPr>
        <w:fldChar w:fldCharType="end"/>
      </w:r>
    </w:p>
    <w:p>
      <w:pPr>
        <w:pStyle w:val="29"/>
        <w:tabs>
          <w:tab w:val="left" w:pos="1050"/>
          <w:tab w:val="right" w:leader="dot" w:pos="8296"/>
        </w:tabs>
        <w:spacing w:line="360" w:lineRule="auto"/>
        <w:ind w:left="420"/>
        <w:rPr>
          <w:rFonts w:cs="Times New Roman"/>
          <w:smallCaps w:val="0"/>
          <w:szCs w:val="24"/>
        </w:rPr>
      </w:pPr>
      <w:r>
        <w:fldChar w:fldCharType="begin"/>
      </w:r>
      <w:r>
        <w:instrText xml:space="preserve"> HYPERLINK \l "_Toc75787643" </w:instrText>
      </w:r>
      <w:r>
        <w:fldChar w:fldCharType="separate"/>
      </w:r>
      <w:r>
        <w:rPr>
          <w:rStyle w:val="42"/>
          <w:rFonts w:cs="Times New Roman"/>
          <w:szCs w:val="24"/>
        </w:rPr>
        <w:t>5.1</w:t>
      </w:r>
      <w:r>
        <w:rPr>
          <w:rFonts w:cs="Times New Roman"/>
          <w:smallCaps w:val="0"/>
          <w:szCs w:val="24"/>
        </w:rPr>
        <w:tab/>
      </w:r>
      <w:r>
        <w:rPr>
          <w:rStyle w:val="42"/>
          <w:rFonts w:cs="Times New Roman"/>
          <w:szCs w:val="24"/>
        </w:rPr>
        <w:t>国内标准</w:t>
      </w:r>
      <w:r>
        <w:rPr>
          <w:rFonts w:cs="Times New Roman"/>
          <w:szCs w:val="24"/>
        </w:rPr>
        <w:tab/>
      </w:r>
      <w:r>
        <w:rPr>
          <w:rFonts w:cs="Times New Roman"/>
          <w:szCs w:val="24"/>
        </w:rPr>
        <w:fldChar w:fldCharType="begin"/>
      </w:r>
      <w:r>
        <w:rPr>
          <w:rFonts w:cs="Times New Roman"/>
          <w:szCs w:val="24"/>
        </w:rPr>
        <w:instrText xml:space="preserve"> PAGEREF _Toc75787643 \h </w:instrText>
      </w:r>
      <w:r>
        <w:rPr>
          <w:rFonts w:cs="Times New Roman"/>
          <w:szCs w:val="24"/>
        </w:rPr>
        <w:fldChar w:fldCharType="separate"/>
      </w:r>
      <w:r>
        <w:rPr>
          <w:rFonts w:cs="Times New Roman"/>
          <w:szCs w:val="24"/>
        </w:rPr>
        <w:t>- 21 -</w:t>
      </w:r>
      <w:r>
        <w:rPr>
          <w:rFonts w:cs="Times New Roman"/>
          <w:szCs w:val="24"/>
        </w:rPr>
        <w:fldChar w:fldCharType="end"/>
      </w:r>
      <w:r>
        <w:rPr>
          <w:rFonts w:cs="Times New Roman"/>
          <w:szCs w:val="24"/>
        </w:rPr>
        <w:fldChar w:fldCharType="end"/>
      </w:r>
    </w:p>
    <w:p>
      <w:pPr>
        <w:pStyle w:val="29"/>
        <w:tabs>
          <w:tab w:val="left" w:pos="1050"/>
          <w:tab w:val="right" w:leader="dot" w:pos="8296"/>
        </w:tabs>
        <w:spacing w:line="360" w:lineRule="auto"/>
        <w:ind w:left="420"/>
        <w:rPr>
          <w:rFonts w:cs="Times New Roman"/>
          <w:smallCaps w:val="0"/>
          <w:szCs w:val="24"/>
        </w:rPr>
      </w:pPr>
      <w:r>
        <w:fldChar w:fldCharType="begin"/>
      </w:r>
      <w:r>
        <w:instrText xml:space="preserve"> HYPERLINK \l "_Toc75787644" </w:instrText>
      </w:r>
      <w:r>
        <w:fldChar w:fldCharType="separate"/>
      </w:r>
      <w:r>
        <w:rPr>
          <w:rStyle w:val="42"/>
          <w:rFonts w:cs="Times New Roman"/>
          <w:szCs w:val="24"/>
        </w:rPr>
        <w:t>5.2</w:t>
      </w:r>
      <w:r>
        <w:rPr>
          <w:rFonts w:cs="Times New Roman"/>
          <w:smallCaps w:val="0"/>
          <w:szCs w:val="24"/>
        </w:rPr>
        <w:tab/>
      </w:r>
      <w:r>
        <w:rPr>
          <w:rStyle w:val="42"/>
          <w:rFonts w:cs="Times New Roman"/>
          <w:szCs w:val="24"/>
        </w:rPr>
        <w:t>国外标准</w:t>
      </w:r>
      <w:r>
        <w:rPr>
          <w:rFonts w:cs="Times New Roman"/>
          <w:szCs w:val="24"/>
        </w:rPr>
        <w:tab/>
      </w:r>
      <w:r>
        <w:rPr>
          <w:rFonts w:cs="Times New Roman"/>
          <w:szCs w:val="24"/>
        </w:rPr>
        <w:fldChar w:fldCharType="begin"/>
      </w:r>
      <w:r>
        <w:rPr>
          <w:rFonts w:cs="Times New Roman"/>
          <w:szCs w:val="24"/>
        </w:rPr>
        <w:instrText xml:space="preserve"> PAGEREF _Toc75787644 \h </w:instrText>
      </w:r>
      <w:r>
        <w:rPr>
          <w:rFonts w:cs="Times New Roman"/>
          <w:szCs w:val="24"/>
        </w:rPr>
        <w:fldChar w:fldCharType="separate"/>
      </w:r>
      <w:r>
        <w:rPr>
          <w:rFonts w:cs="Times New Roman"/>
          <w:szCs w:val="24"/>
        </w:rPr>
        <w:t>- 28 -</w:t>
      </w:r>
      <w:r>
        <w:rPr>
          <w:rFonts w:cs="Times New Roman"/>
          <w:szCs w:val="24"/>
        </w:rPr>
        <w:fldChar w:fldCharType="end"/>
      </w:r>
      <w:r>
        <w:rPr>
          <w:rFonts w:cs="Times New Roman"/>
          <w:szCs w:val="24"/>
        </w:rPr>
        <w:fldChar w:fldCharType="end"/>
      </w:r>
    </w:p>
    <w:p>
      <w:pPr>
        <w:pStyle w:val="25"/>
        <w:tabs>
          <w:tab w:val="left" w:pos="1260"/>
          <w:tab w:val="right" w:leader="dot" w:pos="8296"/>
        </w:tabs>
        <w:spacing w:before="0" w:after="0" w:line="360" w:lineRule="auto"/>
        <w:rPr>
          <w:rFonts w:eastAsia="宋体" w:cs="Times New Roman"/>
          <w:b w:val="0"/>
          <w:bCs w:val="0"/>
          <w:caps w:val="0"/>
          <w:kern w:val="2"/>
          <w:sz w:val="24"/>
          <w:szCs w:val="24"/>
        </w:rPr>
      </w:pPr>
      <w:r>
        <w:fldChar w:fldCharType="begin"/>
      </w:r>
      <w:r>
        <w:instrText xml:space="preserve"> HYPERLINK \l "_Toc75787645" </w:instrText>
      </w:r>
      <w:r>
        <w:fldChar w:fldCharType="separate"/>
      </w:r>
      <w:r>
        <w:rPr>
          <w:rStyle w:val="42"/>
          <w:rFonts w:eastAsia="宋体" w:cs="Times New Roman"/>
          <w:b w:val="0"/>
          <w:bCs w:val="0"/>
          <w:sz w:val="24"/>
          <w:szCs w:val="24"/>
        </w:rPr>
        <w:t>第6章</w:t>
      </w:r>
      <w:r>
        <w:rPr>
          <w:rFonts w:eastAsia="宋体" w:cs="Times New Roman"/>
          <w:b w:val="0"/>
          <w:bCs w:val="0"/>
          <w:caps w:val="0"/>
          <w:kern w:val="2"/>
          <w:sz w:val="24"/>
          <w:szCs w:val="24"/>
        </w:rPr>
        <w:tab/>
      </w:r>
      <w:r>
        <w:rPr>
          <w:rStyle w:val="42"/>
          <w:rFonts w:eastAsia="宋体" w:cs="Times New Roman"/>
          <w:b w:val="0"/>
          <w:bCs w:val="0"/>
          <w:sz w:val="24"/>
          <w:szCs w:val="24"/>
        </w:rPr>
        <w:t>标准制定的原则与思路</w:t>
      </w:r>
      <w:r>
        <w:rPr>
          <w:rFonts w:eastAsia="宋体" w:cs="Times New Roman"/>
          <w:b w:val="0"/>
          <w:bCs w:val="0"/>
          <w:sz w:val="24"/>
          <w:szCs w:val="24"/>
        </w:rPr>
        <w:tab/>
      </w:r>
      <w:r>
        <w:rPr>
          <w:rFonts w:eastAsia="宋体" w:cs="Times New Roman"/>
          <w:b w:val="0"/>
          <w:bCs w:val="0"/>
          <w:sz w:val="24"/>
          <w:szCs w:val="24"/>
        </w:rPr>
        <w:fldChar w:fldCharType="begin"/>
      </w:r>
      <w:r>
        <w:rPr>
          <w:rFonts w:eastAsia="宋体" w:cs="Times New Roman"/>
          <w:b w:val="0"/>
          <w:bCs w:val="0"/>
          <w:sz w:val="24"/>
          <w:szCs w:val="24"/>
        </w:rPr>
        <w:instrText xml:space="preserve"> PAGEREF _Toc75787645 \h </w:instrText>
      </w:r>
      <w:r>
        <w:rPr>
          <w:rFonts w:eastAsia="宋体" w:cs="Times New Roman"/>
          <w:b w:val="0"/>
          <w:bCs w:val="0"/>
          <w:sz w:val="24"/>
          <w:szCs w:val="24"/>
        </w:rPr>
        <w:fldChar w:fldCharType="separate"/>
      </w:r>
      <w:r>
        <w:rPr>
          <w:rFonts w:eastAsia="宋体" w:cs="Times New Roman"/>
          <w:b w:val="0"/>
          <w:bCs w:val="0"/>
          <w:sz w:val="24"/>
          <w:szCs w:val="24"/>
        </w:rPr>
        <w:t>- 41 -</w:t>
      </w:r>
      <w:r>
        <w:rPr>
          <w:rFonts w:eastAsia="宋体" w:cs="Times New Roman"/>
          <w:b w:val="0"/>
          <w:bCs w:val="0"/>
          <w:sz w:val="24"/>
          <w:szCs w:val="24"/>
        </w:rPr>
        <w:fldChar w:fldCharType="end"/>
      </w:r>
      <w:r>
        <w:rPr>
          <w:rFonts w:eastAsia="宋体" w:cs="Times New Roman"/>
          <w:b w:val="0"/>
          <w:bCs w:val="0"/>
          <w:sz w:val="24"/>
          <w:szCs w:val="24"/>
        </w:rPr>
        <w:fldChar w:fldCharType="end"/>
      </w:r>
    </w:p>
    <w:p>
      <w:pPr>
        <w:pStyle w:val="29"/>
        <w:tabs>
          <w:tab w:val="left" w:pos="1050"/>
          <w:tab w:val="right" w:leader="dot" w:pos="8296"/>
        </w:tabs>
        <w:spacing w:line="360" w:lineRule="auto"/>
        <w:ind w:left="420"/>
        <w:rPr>
          <w:rFonts w:cs="Times New Roman"/>
          <w:smallCaps w:val="0"/>
          <w:szCs w:val="24"/>
        </w:rPr>
      </w:pPr>
      <w:r>
        <w:fldChar w:fldCharType="begin"/>
      </w:r>
      <w:r>
        <w:instrText xml:space="preserve"> HYPERLINK \l "_Toc75787646" </w:instrText>
      </w:r>
      <w:r>
        <w:fldChar w:fldCharType="separate"/>
      </w:r>
      <w:r>
        <w:rPr>
          <w:rStyle w:val="42"/>
          <w:rFonts w:cs="Times New Roman"/>
          <w:szCs w:val="24"/>
        </w:rPr>
        <w:t>6.1</w:t>
      </w:r>
      <w:r>
        <w:rPr>
          <w:rFonts w:cs="Times New Roman"/>
          <w:smallCaps w:val="0"/>
          <w:szCs w:val="24"/>
        </w:rPr>
        <w:tab/>
      </w:r>
      <w:r>
        <w:rPr>
          <w:rStyle w:val="42"/>
          <w:rFonts w:cs="Times New Roman"/>
          <w:szCs w:val="24"/>
        </w:rPr>
        <w:t>本标准制定的原则</w:t>
      </w:r>
      <w:r>
        <w:rPr>
          <w:rFonts w:cs="Times New Roman"/>
          <w:szCs w:val="24"/>
        </w:rPr>
        <w:tab/>
      </w:r>
      <w:r>
        <w:rPr>
          <w:rFonts w:cs="Times New Roman"/>
          <w:szCs w:val="24"/>
        </w:rPr>
        <w:fldChar w:fldCharType="begin"/>
      </w:r>
      <w:r>
        <w:rPr>
          <w:rFonts w:cs="Times New Roman"/>
          <w:szCs w:val="24"/>
        </w:rPr>
        <w:instrText xml:space="preserve"> PAGEREF _Toc75787646 \h </w:instrText>
      </w:r>
      <w:r>
        <w:rPr>
          <w:rFonts w:cs="Times New Roman"/>
          <w:szCs w:val="24"/>
        </w:rPr>
        <w:fldChar w:fldCharType="separate"/>
      </w:r>
      <w:r>
        <w:rPr>
          <w:rFonts w:cs="Times New Roman"/>
          <w:szCs w:val="24"/>
        </w:rPr>
        <w:t>- 41 -</w:t>
      </w:r>
      <w:r>
        <w:rPr>
          <w:rFonts w:cs="Times New Roman"/>
          <w:szCs w:val="24"/>
        </w:rPr>
        <w:fldChar w:fldCharType="end"/>
      </w:r>
      <w:r>
        <w:rPr>
          <w:rFonts w:cs="Times New Roman"/>
          <w:szCs w:val="24"/>
        </w:rPr>
        <w:fldChar w:fldCharType="end"/>
      </w:r>
    </w:p>
    <w:p>
      <w:pPr>
        <w:pStyle w:val="29"/>
        <w:tabs>
          <w:tab w:val="left" w:pos="1050"/>
          <w:tab w:val="right" w:leader="dot" w:pos="8296"/>
        </w:tabs>
        <w:spacing w:line="360" w:lineRule="auto"/>
        <w:ind w:left="420"/>
        <w:rPr>
          <w:rFonts w:cs="Times New Roman"/>
          <w:smallCaps w:val="0"/>
          <w:szCs w:val="24"/>
        </w:rPr>
      </w:pPr>
      <w:r>
        <w:fldChar w:fldCharType="begin"/>
      </w:r>
      <w:r>
        <w:instrText xml:space="preserve"> HYPERLINK \l "_Toc75787647" </w:instrText>
      </w:r>
      <w:r>
        <w:fldChar w:fldCharType="separate"/>
      </w:r>
      <w:r>
        <w:rPr>
          <w:rStyle w:val="42"/>
          <w:rFonts w:cs="Times New Roman"/>
          <w:szCs w:val="24"/>
        </w:rPr>
        <w:t>6.2</w:t>
      </w:r>
      <w:r>
        <w:rPr>
          <w:rFonts w:cs="Times New Roman"/>
          <w:smallCaps w:val="0"/>
          <w:szCs w:val="24"/>
        </w:rPr>
        <w:tab/>
      </w:r>
      <w:r>
        <w:rPr>
          <w:rStyle w:val="42"/>
          <w:rFonts w:cs="Times New Roman"/>
          <w:szCs w:val="24"/>
        </w:rPr>
        <w:t>标准的定位</w:t>
      </w:r>
      <w:r>
        <w:rPr>
          <w:rFonts w:cs="Times New Roman"/>
          <w:szCs w:val="24"/>
        </w:rPr>
        <w:tab/>
      </w:r>
      <w:r>
        <w:rPr>
          <w:rFonts w:cs="Times New Roman"/>
          <w:szCs w:val="24"/>
        </w:rPr>
        <w:fldChar w:fldCharType="begin"/>
      </w:r>
      <w:r>
        <w:rPr>
          <w:rFonts w:cs="Times New Roman"/>
          <w:szCs w:val="24"/>
        </w:rPr>
        <w:instrText xml:space="preserve"> PAGEREF _Toc75787647 \h </w:instrText>
      </w:r>
      <w:r>
        <w:rPr>
          <w:rFonts w:cs="Times New Roman"/>
          <w:szCs w:val="24"/>
        </w:rPr>
        <w:fldChar w:fldCharType="separate"/>
      </w:r>
      <w:r>
        <w:rPr>
          <w:rFonts w:cs="Times New Roman"/>
          <w:szCs w:val="24"/>
        </w:rPr>
        <w:t>- 42 -</w:t>
      </w:r>
      <w:r>
        <w:rPr>
          <w:rFonts w:cs="Times New Roman"/>
          <w:szCs w:val="24"/>
        </w:rPr>
        <w:fldChar w:fldCharType="end"/>
      </w:r>
      <w:r>
        <w:rPr>
          <w:rFonts w:cs="Times New Roman"/>
          <w:szCs w:val="24"/>
        </w:rPr>
        <w:fldChar w:fldCharType="end"/>
      </w:r>
    </w:p>
    <w:p>
      <w:pPr>
        <w:pStyle w:val="29"/>
        <w:tabs>
          <w:tab w:val="left" w:pos="1050"/>
          <w:tab w:val="right" w:leader="dot" w:pos="8296"/>
        </w:tabs>
        <w:spacing w:line="360" w:lineRule="auto"/>
        <w:ind w:left="420"/>
        <w:rPr>
          <w:rFonts w:cs="Times New Roman"/>
          <w:smallCaps w:val="0"/>
          <w:szCs w:val="24"/>
        </w:rPr>
      </w:pPr>
      <w:r>
        <w:fldChar w:fldCharType="begin"/>
      </w:r>
      <w:r>
        <w:instrText xml:space="preserve"> HYPERLINK \l "_Toc75787648" </w:instrText>
      </w:r>
      <w:r>
        <w:fldChar w:fldCharType="separate"/>
      </w:r>
      <w:r>
        <w:rPr>
          <w:rStyle w:val="42"/>
          <w:rFonts w:cs="Times New Roman"/>
          <w:szCs w:val="24"/>
        </w:rPr>
        <w:t>6.3</w:t>
      </w:r>
      <w:r>
        <w:rPr>
          <w:rFonts w:cs="Times New Roman"/>
          <w:smallCaps w:val="0"/>
          <w:szCs w:val="24"/>
        </w:rPr>
        <w:tab/>
      </w:r>
      <w:r>
        <w:rPr>
          <w:rStyle w:val="42"/>
          <w:rFonts w:cs="Times New Roman"/>
          <w:szCs w:val="24"/>
        </w:rPr>
        <w:t>制定标准的总体思路</w:t>
      </w:r>
      <w:r>
        <w:rPr>
          <w:rFonts w:cs="Times New Roman"/>
          <w:szCs w:val="24"/>
        </w:rPr>
        <w:tab/>
      </w:r>
      <w:r>
        <w:rPr>
          <w:rFonts w:cs="Times New Roman"/>
          <w:szCs w:val="24"/>
        </w:rPr>
        <w:fldChar w:fldCharType="begin"/>
      </w:r>
      <w:r>
        <w:rPr>
          <w:rFonts w:cs="Times New Roman"/>
          <w:szCs w:val="24"/>
        </w:rPr>
        <w:instrText xml:space="preserve"> PAGEREF _Toc75787648 \h </w:instrText>
      </w:r>
      <w:r>
        <w:rPr>
          <w:rFonts w:cs="Times New Roman"/>
          <w:szCs w:val="24"/>
        </w:rPr>
        <w:fldChar w:fldCharType="separate"/>
      </w:r>
      <w:r>
        <w:rPr>
          <w:rFonts w:cs="Times New Roman"/>
          <w:szCs w:val="24"/>
        </w:rPr>
        <w:t>- 42 -</w:t>
      </w:r>
      <w:r>
        <w:rPr>
          <w:rFonts w:cs="Times New Roman"/>
          <w:szCs w:val="24"/>
        </w:rPr>
        <w:fldChar w:fldCharType="end"/>
      </w:r>
      <w:r>
        <w:rPr>
          <w:rFonts w:cs="Times New Roman"/>
          <w:szCs w:val="24"/>
        </w:rPr>
        <w:fldChar w:fldCharType="end"/>
      </w:r>
    </w:p>
    <w:p>
      <w:pPr>
        <w:pStyle w:val="25"/>
        <w:tabs>
          <w:tab w:val="left" w:pos="1260"/>
          <w:tab w:val="right" w:leader="dot" w:pos="8296"/>
        </w:tabs>
        <w:spacing w:before="0" w:after="0" w:line="360" w:lineRule="auto"/>
        <w:rPr>
          <w:rFonts w:eastAsia="宋体" w:cs="Times New Roman"/>
          <w:b w:val="0"/>
          <w:bCs w:val="0"/>
          <w:caps w:val="0"/>
          <w:kern w:val="2"/>
          <w:sz w:val="24"/>
          <w:szCs w:val="24"/>
        </w:rPr>
      </w:pPr>
      <w:r>
        <w:fldChar w:fldCharType="begin"/>
      </w:r>
      <w:r>
        <w:instrText xml:space="preserve"> HYPERLINK \l "_Toc75787649" </w:instrText>
      </w:r>
      <w:r>
        <w:fldChar w:fldCharType="separate"/>
      </w:r>
      <w:r>
        <w:rPr>
          <w:rStyle w:val="42"/>
          <w:rFonts w:eastAsia="宋体" w:cs="Times New Roman"/>
          <w:b w:val="0"/>
          <w:bCs w:val="0"/>
          <w:sz w:val="24"/>
          <w:szCs w:val="24"/>
        </w:rPr>
        <w:t>第7章</w:t>
      </w:r>
      <w:r>
        <w:rPr>
          <w:rFonts w:eastAsia="宋体" w:cs="Times New Roman"/>
          <w:b w:val="0"/>
          <w:bCs w:val="0"/>
          <w:caps w:val="0"/>
          <w:kern w:val="2"/>
          <w:sz w:val="24"/>
          <w:szCs w:val="24"/>
        </w:rPr>
        <w:tab/>
      </w:r>
      <w:r>
        <w:rPr>
          <w:rStyle w:val="42"/>
          <w:rFonts w:eastAsia="宋体" w:cs="Times New Roman"/>
          <w:b w:val="0"/>
          <w:bCs w:val="0"/>
          <w:sz w:val="24"/>
          <w:szCs w:val="24"/>
        </w:rPr>
        <w:t>标准的主要技术内容</w:t>
      </w:r>
      <w:r>
        <w:rPr>
          <w:rFonts w:eastAsia="宋体" w:cs="Times New Roman"/>
          <w:b w:val="0"/>
          <w:bCs w:val="0"/>
          <w:sz w:val="24"/>
          <w:szCs w:val="24"/>
        </w:rPr>
        <w:tab/>
      </w:r>
      <w:r>
        <w:rPr>
          <w:rFonts w:eastAsia="宋体" w:cs="Times New Roman"/>
          <w:b w:val="0"/>
          <w:bCs w:val="0"/>
          <w:sz w:val="24"/>
          <w:szCs w:val="24"/>
        </w:rPr>
        <w:fldChar w:fldCharType="begin"/>
      </w:r>
      <w:r>
        <w:rPr>
          <w:rFonts w:eastAsia="宋体" w:cs="Times New Roman"/>
          <w:b w:val="0"/>
          <w:bCs w:val="0"/>
          <w:sz w:val="24"/>
          <w:szCs w:val="24"/>
        </w:rPr>
        <w:instrText xml:space="preserve"> PAGEREF _Toc75787649 \h </w:instrText>
      </w:r>
      <w:r>
        <w:rPr>
          <w:rFonts w:eastAsia="宋体" w:cs="Times New Roman"/>
          <w:b w:val="0"/>
          <w:bCs w:val="0"/>
          <w:sz w:val="24"/>
          <w:szCs w:val="24"/>
        </w:rPr>
        <w:fldChar w:fldCharType="separate"/>
      </w:r>
      <w:r>
        <w:rPr>
          <w:rFonts w:eastAsia="宋体" w:cs="Times New Roman"/>
          <w:b w:val="0"/>
          <w:bCs w:val="0"/>
          <w:sz w:val="24"/>
          <w:szCs w:val="24"/>
        </w:rPr>
        <w:t>- 43 -</w:t>
      </w:r>
      <w:r>
        <w:rPr>
          <w:rFonts w:eastAsia="宋体" w:cs="Times New Roman"/>
          <w:b w:val="0"/>
          <w:bCs w:val="0"/>
          <w:sz w:val="24"/>
          <w:szCs w:val="24"/>
        </w:rPr>
        <w:fldChar w:fldCharType="end"/>
      </w:r>
      <w:r>
        <w:rPr>
          <w:rFonts w:eastAsia="宋体" w:cs="Times New Roman"/>
          <w:b w:val="0"/>
          <w:bCs w:val="0"/>
          <w:sz w:val="24"/>
          <w:szCs w:val="24"/>
        </w:rPr>
        <w:fldChar w:fldCharType="end"/>
      </w:r>
    </w:p>
    <w:p>
      <w:pPr>
        <w:pStyle w:val="29"/>
        <w:tabs>
          <w:tab w:val="left" w:pos="1050"/>
          <w:tab w:val="right" w:leader="dot" w:pos="8296"/>
        </w:tabs>
        <w:spacing w:line="360" w:lineRule="auto"/>
        <w:ind w:left="420"/>
        <w:rPr>
          <w:rFonts w:cs="Times New Roman"/>
          <w:smallCaps w:val="0"/>
          <w:szCs w:val="24"/>
        </w:rPr>
      </w:pPr>
      <w:r>
        <w:fldChar w:fldCharType="begin"/>
      </w:r>
      <w:r>
        <w:instrText xml:space="preserve"> HYPERLINK \l "_Toc75787650" </w:instrText>
      </w:r>
      <w:r>
        <w:fldChar w:fldCharType="separate"/>
      </w:r>
      <w:r>
        <w:rPr>
          <w:rStyle w:val="42"/>
          <w:rFonts w:cs="Times New Roman"/>
          <w:szCs w:val="24"/>
        </w:rPr>
        <w:t>7.1</w:t>
      </w:r>
      <w:r>
        <w:rPr>
          <w:rFonts w:cs="Times New Roman"/>
          <w:smallCaps w:val="0"/>
          <w:szCs w:val="24"/>
        </w:rPr>
        <w:tab/>
      </w:r>
      <w:r>
        <w:rPr>
          <w:rStyle w:val="42"/>
          <w:rFonts w:cs="Times New Roman"/>
          <w:szCs w:val="24"/>
        </w:rPr>
        <w:t>标准内容设置</w:t>
      </w:r>
      <w:r>
        <w:rPr>
          <w:rFonts w:cs="Times New Roman"/>
          <w:szCs w:val="24"/>
        </w:rPr>
        <w:tab/>
      </w:r>
      <w:r>
        <w:rPr>
          <w:rFonts w:cs="Times New Roman"/>
          <w:szCs w:val="24"/>
        </w:rPr>
        <w:fldChar w:fldCharType="begin"/>
      </w:r>
      <w:r>
        <w:rPr>
          <w:rFonts w:cs="Times New Roman"/>
          <w:szCs w:val="24"/>
        </w:rPr>
        <w:instrText xml:space="preserve"> PAGEREF _Toc75787650 \h </w:instrText>
      </w:r>
      <w:r>
        <w:rPr>
          <w:rFonts w:cs="Times New Roman"/>
          <w:szCs w:val="24"/>
        </w:rPr>
        <w:fldChar w:fldCharType="separate"/>
      </w:r>
      <w:r>
        <w:rPr>
          <w:rFonts w:cs="Times New Roman"/>
          <w:szCs w:val="24"/>
        </w:rPr>
        <w:t>- 43 -</w:t>
      </w:r>
      <w:r>
        <w:rPr>
          <w:rFonts w:cs="Times New Roman"/>
          <w:szCs w:val="24"/>
        </w:rPr>
        <w:fldChar w:fldCharType="end"/>
      </w:r>
      <w:r>
        <w:rPr>
          <w:rFonts w:cs="Times New Roman"/>
          <w:szCs w:val="24"/>
        </w:rPr>
        <w:fldChar w:fldCharType="end"/>
      </w:r>
    </w:p>
    <w:p>
      <w:pPr>
        <w:pStyle w:val="29"/>
        <w:tabs>
          <w:tab w:val="left" w:pos="1050"/>
          <w:tab w:val="right" w:leader="dot" w:pos="8296"/>
        </w:tabs>
        <w:spacing w:line="360" w:lineRule="auto"/>
        <w:ind w:left="420"/>
        <w:rPr>
          <w:rFonts w:cs="Times New Roman"/>
          <w:smallCaps w:val="0"/>
          <w:szCs w:val="24"/>
        </w:rPr>
      </w:pPr>
      <w:r>
        <w:fldChar w:fldCharType="begin"/>
      </w:r>
      <w:r>
        <w:instrText xml:space="preserve"> HYPERLINK \l "_Toc75787651" </w:instrText>
      </w:r>
      <w:r>
        <w:fldChar w:fldCharType="separate"/>
      </w:r>
      <w:r>
        <w:rPr>
          <w:rStyle w:val="42"/>
          <w:rFonts w:cs="Times New Roman"/>
          <w:szCs w:val="24"/>
        </w:rPr>
        <w:t>7.2</w:t>
      </w:r>
      <w:r>
        <w:rPr>
          <w:rFonts w:cs="Times New Roman"/>
          <w:smallCaps w:val="0"/>
          <w:szCs w:val="24"/>
        </w:rPr>
        <w:tab/>
      </w:r>
      <w:r>
        <w:rPr>
          <w:rStyle w:val="42"/>
          <w:rFonts w:cs="Times New Roman"/>
          <w:szCs w:val="24"/>
        </w:rPr>
        <w:t>适用范围确定</w:t>
      </w:r>
      <w:r>
        <w:rPr>
          <w:rFonts w:cs="Times New Roman"/>
          <w:szCs w:val="24"/>
        </w:rPr>
        <w:tab/>
      </w:r>
      <w:r>
        <w:rPr>
          <w:rFonts w:cs="Times New Roman"/>
          <w:szCs w:val="24"/>
        </w:rPr>
        <w:fldChar w:fldCharType="begin"/>
      </w:r>
      <w:r>
        <w:rPr>
          <w:rFonts w:cs="Times New Roman"/>
          <w:szCs w:val="24"/>
        </w:rPr>
        <w:instrText xml:space="preserve"> PAGEREF _Toc75787651 \h </w:instrText>
      </w:r>
      <w:r>
        <w:rPr>
          <w:rFonts w:cs="Times New Roman"/>
          <w:szCs w:val="24"/>
        </w:rPr>
        <w:fldChar w:fldCharType="separate"/>
      </w:r>
      <w:r>
        <w:rPr>
          <w:rFonts w:cs="Times New Roman"/>
          <w:szCs w:val="24"/>
        </w:rPr>
        <w:t>- 45 -</w:t>
      </w:r>
      <w:r>
        <w:rPr>
          <w:rFonts w:cs="Times New Roman"/>
          <w:szCs w:val="24"/>
        </w:rPr>
        <w:fldChar w:fldCharType="end"/>
      </w:r>
      <w:r>
        <w:rPr>
          <w:rFonts w:cs="Times New Roman"/>
          <w:szCs w:val="24"/>
        </w:rPr>
        <w:fldChar w:fldCharType="end"/>
      </w:r>
    </w:p>
    <w:p>
      <w:pPr>
        <w:pStyle w:val="29"/>
        <w:tabs>
          <w:tab w:val="left" w:pos="1050"/>
          <w:tab w:val="right" w:leader="dot" w:pos="8296"/>
        </w:tabs>
        <w:spacing w:line="360" w:lineRule="auto"/>
        <w:ind w:left="420"/>
        <w:rPr>
          <w:rFonts w:cs="Times New Roman"/>
          <w:smallCaps w:val="0"/>
          <w:szCs w:val="24"/>
        </w:rPr>
      </w:pPr>
      <w:r>
        <w:fldChar w:fldCharType="begin"/>
      </w:r>
      <w:r>
        <w:instrText xml:space="preserve"> HYPERLINK \l "_Toc75787652" </w:instrText>
      </w:r>
      <w:r>
        <w:fldChar w:fldCharType="separate"/>
      </w:r>
      <w:r>
        <w:rPr>
          <w:rStyle w:val="42"/>
          <w:rFonts w:cs="Times New Roman"/>
          <w:szCs w:val="24"/>
        </w:rPr>
        <w:t>7.3</w:t>
      </w:r>
      <w:r>
        <w:rPr>
          <w:rFonts w:cs="Times New Roman"/>
          <w:smallCaps w:val="0"/>
          <w:szCs w:val="24"/>
        </w:rPr>
        <w:tab/>
      </w:r>
      <w:r>
        <w:rPr>
          <w:rStyle w:val="42"/>
          <w:rFonts w:cs="Times New Roman"/>
          <w:szCs w:val="24"/>
        </w:rPr>
        <w:t>标准组织框架</w:t>
      </w:r>
      <w:r>
        <w:rPr>
          <w:rFonts w:cs="Times New Roman"/>
          <w:szCs w:val="24"/>
        </w:rPr>
        <w:tab/>
      </w:r>
      <w:r>
        <w:rPr>
          <w:rFonts w:cs="Times New Roman"/>
          <w:szCs w:val="24"/>
        </w:rPr>
        <w:fldChar w:fldCharType="begin"/>
      </w:r>
      <w:r>
        <w:rPr>
          <w:rFonts w:cs="Times New Roman"/>
          <w:szCs w:val="24"/>
        </w:rPr>
        <w:instrText xml:space="preserve"> PAGEREF _Toc75787652 \h </w:instrText>
      </w:r>
      <w:r>
        <w:rPr>
          <w:rFonts w:cs="Times New Roman"/>
          <w:szCs w:val="24"/>
        </w:rPr>
        <w:fldChar w:fldCharType="separate"/>
      </w:r>
      <w:r>
        <w:rPr>
          <w:rFonts w:cs="Times New Roman"/>
          <w:szCs w:val="24"/>
        </w:rPr>
        <w:t>- 46 -</w:t>
      </w:r>
      <w:r>
        <w:rPr>
          <w:rFonts w:cs="Times New Roman"/>
          <w:szCs w:val="24"/>
        </w:rPr>
        <w:fldChar w:fldCharType="end"/>
      </w:r>
      <w:r>
        <w:rPr>
          <w:rFonts w:cs="Times New Roman"/>
          <w:szCs w:val="24"/>
        </w:rPr>
        <w:fldChar w:fldCharType="end"/>
      </w:r>
    </w:p>
    <w:p>
      <w:pPr>
        <w:pStyle w:val="29"/>
        <w:tabs>
          <w:tab w:val="left" w:pos="1050"/>
          <w:tab w:val="right" w:leader="dot" w:pos="8296"/>
        </w:tabs>
        <w:spacing w:line="360" w:lineRule="auto"/>
        <w:ind w:left="420"/>
        <w:rPr>
          <w:rFonts w:cs="Times New Roman"/>
          <w:smallCaps w:val="0"/>
          <w:szCs w:val="24"/>
        </w:rPr>
      </w:pPr>
      <w:r>
        <w:fldChar w:fldCharType="begin"/>
      </w:r>
      <w:r>
        <w:instrText xml:space="preserve"> HYPERLINK \l "_Toc75787653" </w:instrText>
      </w:r>
      <w:r>
        <w:fldChar w:fldCharType="separate"/>
      </w:r>
      <w:r>
        <w:rPr>
          <w:rStyle w:val="42"/>
          <w:rFonts w:cs="Times New Roman"/>
          <w:szCs w:val="24"/>
        </w:rPr>
        <w:t>7.4</w:t>
      </w:r>
      <w:r>
        <w:rPr>
          <w:rFonts w:cs="Times New Roman"/>
          <w:smallCaps w:val="0"/>
          <w:szCs w:val="24"/>
        </w:rPr>
        <w:tab/>
      </w:r>
      <w:r>
        <w:rPr>
          <w:rStyle w:val="42"/>
          <w:rFonts w:cs="Times New Roman"/>
          <w:szCs w:val="24"/>
        </w:rPr>
        <w:t>术语与定义</w:t>
      </w:r>
      <w:r>
        <w:rPr>
          <w:rFonts w:cs="Times New Roman"/>
          <w:szCs w:val="24"/>
        </w:rPr>
        <w:tab/>
      </w:r>
      <w:r>
        <w:rPr>
          <w:rFonts w:cs="Times New Roman"/>
          <w:szCs w:val="24"/>
        </w:rPr>
        <w:fldChar w:fldCharType="begin"/>
      </w:r>
      <w:r>
        <w:rPr>
          <w:rFonts w:cs="Times New Roman"/>
          <w:szCs w:val="24"/>
        </w:rPr>
        <w:instrText xml:space="preserve"> PAGEREF _Toc75787653 \h </w:instrText>
      </w:r>
      <w:r>
        <w:rPr>
          <w:rFonts w:cs="Times New Roman"/>
          <w:szCs w:val="24"/>
        </w:rPr>
        <w:fldChar w:fldCharType="separate"/>
      </w:r>
      <w:r>
        <w:rPr>
          <w:rFonts w:cs="Times New Roman"/>
          <w:szCs w:val="24"/>
        </w:rPr>
        <w:t>- 46 -</w:t>
      </w:r>
      <w:r>
        <w:rPr>
          <w:rFonts w:cs="Times New Roman"/>
          <w:szCs w:val="24"/>
        </w:rPr>
        <w:fldChar w:fldCharType="end"/>
      </w:r>
      <w:r>
        <w:rPr>
          <w:rFonts w:cs="Times New Roman"/>
          <w:szCs w:val="24"/>
        </w:rPr>
        <w:fldChar w:fldCharType="end"/>
      </w:r>
    </w:p>
    <w:p>
      <w:pPr>
        <w:pStyle w:val="29"/>
        <w:tabs>
          <w:tab w:val="left" w:pos="1050"/>
          <w:tab w:val="right" w:leader="dot" w:pos="8296"/>
        </w:tabs>
        <w:spacing w:line="360" w:lineRule="auto"/>
        <w:ind w:left="420"/>
        <w:rPr>
          <w:rFonts w:cs="Times New Roman"/>
          <w:smallCaps w:val="0"/>
          <w:szCs w:val="24"/>
        </w:rPr>
      </w:pPr>
      <w:r>
        <w:fldChar w:fldCharType="begin"/>
      </w:r>
      <w:r>
        <w:instrText xml:space="preserve"> HYPERLINK \l "_Toc75787654" </w:instrText>
      </w:r>
      <w:r>
        <w:fldChar w:fldCharType="separate"/>
      </w:r>
      <w:r>
        <w:rPr>
          <w:rStyle w:val="42"/>
          <w:rFonts w:cs="Times New Roman"/>
          <w:szCs w:val="24"/>
        </w:rPr>
        <w:t>7.5</w:t>
      </w:r>
      <w:r>
        <w:rPr>
          <w:rFonts w:cs="Times New Roman"/>
          <w:smallCaps w:val="0"/>
          <w:szCs w:val="24"/>
        </w:rPr>
        <w:tab/>
      </w:r>
      <w:r>
        <w:rPr>
          <w:rStyle w:val="42"/>
          <w:rFonts w:cs="Times New Roman"/>
          <w:szCs w:val="24"/>
        </w:rPr>
        <w:t>污染物控制项目确定</w:t>
      </w:r>
      <w:r>
        <w:rPr>
          <w:rFonts w:cs="Times New Roman"/>
          <w:szCs w:val="24"/>
        </w:rPr>
        <w:tab/>
      </w:r>
      <w:r>
        <w:rPr>
          <w:rFonts w:cs="Times New Roman"/>
          <w:szCs w:val="24"/>
        </w:rPr>
        <w:fldChar w:fldCharType="begin"/>
      </w:r>
      <w:r>
        <w:rPr>
          <w:rFonts w:cs="Times New Roman"/>
          <w:szCs w:val="24"/>
        </w:rPr>
        <w:instrText xml:space="preserve"> PAGEREF _Toc75787654 \h </w:instrText>
      </w:r>
      <w:r>
        <w:rPr>
          <w:rFonts w:cs="Times New Roman"/>
          <w:szCs w:val="24"/>
        </w:rPr>
        <w:fldChar w:fldCharType="separate"/>
      </w:r>
      <w:r>
        <w:rPr>
          <w:rFonts w:cs="Times New Roman"/>
          <w:szCs w:val="24"/>
        </w:rPr>
        <w:t>- 46 -</w:t>
      </w:r>
      <w:r>
        <w:rPr>
          <w:rFonts w:cs="Times New Roman"/>
          <w:szCs w:val="24"/>
        </w:rPr>
        <w:fldChar w:fldCharType="end"/>
      </w:r>
      <w:r>
        <w:rPr>
          <w:rFonts w:cs="Times New Roman"/>
          <w:szCs w:val="24"/>
        </w:rPr>
        <w:fldChar w:fldCharType="end"/>
      </w:r>
    </w:p>
    <w:p>
      <w:pPr>
        <w:pStyle w:val="29"/>
        <w:tabs>
          <w:tab w:val="left" w:pos="1050"/>
          <w:tab w:val="right" w:leader="dot" w:pos="8296"/>
        </w:tabs>
        <w:spacing w:line="360" w:lineRule="auto"/>
        <w:ind w:left="420"/>
        <w:rPr>
          <w:rFonts w:cs="Times New Roman"/>
          <w:smallCaps w:val="0"/>
          <w:szCs w:val="24"/>
        </w:rPr>
      </w:pPr>
      <w:r>
        <w:fldChar w:fldCharType="begin"/>
      </w:r>
      <w:r>
        <w:instrText xml:space="preserve"> HYPERLINK \l "_Toc75787655" </w:instrText>
      </w:r>
      <w:r>
        <w:fldChar w:fldCharType="separate"/>
      </w:r>
      <w:r>
        <w:rPr>
          <w:rStyle w:val="42"/>
          <w:rFonts w:cs="Times New Roman"/>
          <w:szCs w:val="24"/>
        </w:rPr>
        <w:t>7.6</w:t>
      </w:r>
      <w:r>
        <w:rPr>
          <w:rFonts w:cs="Times New Roman"/>
          <w:smallCaps w:val="0"/>
          <w:szCs w:val="24"/>
        </w:rPr>
        <w:tab/>
      </w:r>
      <w:r>
        <w:rPr>
          <w:rStyle w:val="42"/>
          <w:rFonts w:cs="Times New Roman"/>
          <w:szCs w:val="24"/>
        </w:rPr>
        <w:t>标准限值确定</w:t>
      </w:r>
      <w:r>
        <w:rPr>
          <w:rFonts w:cs="Times New Roman"/>
          <w:szCs w:val="24"/>
        </w:rPr>
        <w:tab/>
      </w:r>
      <w:r>
        <w:rPr>
          <w:rFonts w:cs="Times New Roman"/>
          <w:szCs w:val="24"/>
        </w:rPr>
        <w:fldChar w:fldCharType="begin"/>
      </w:r>
      <w:r>
        <w:rPr>
          <w:rFonts w:cs="Times New Roman"/>
          <w:szCs w:val="24"/>
        </w:rPr>
        <w:instrText xml:space="preserve"> PAGEREF _Toc75787655 \h </w:instrText>
      </w:r>
      <w:r>
        <w:rPr>
          <w:rFonts w:cs="Times New Roman"/>
          <w:szCs w:val="24"/>
        </w:rPr>
        <w:fldChar w:fldCharType="separate"/>
      </w:r>
      <w:r>
        <w:rPr>
          <w:rFonts w:cs="Times New Roman"/>
          <w:szCs w:val="24"/>
        </w:rPr>
        <w:t>- 53 -</w:t>
      </w:r>
      <w:r>
        <w:rPr>
          <w:rFonts w:cs="Times New Roman"/>
          <w:szCs w:val="24"/>
        </w:rPr>
        <w:fldChar w:fldCharType="end"/>
      </w:r>
      <w:r>
        <w:rPr>
          <w:rFonts w:cs="Times New Roman"/>
          <w:szCs w:val="24"/>
        </w:rPr>
        <w:fldChar w:fldCharType="end"/>
      </w:r>
    </w:p>
    <w:p>
      <w:pPr>
        <w:pStyle w:val="29"/>
        <w:tabs>
          <w:tab w:val="left" w:pos="1050"/>
          <w:tab w:val="right" w:leader="dot" w:pos="8296"/>
        </w:tabs>
        <w:spacing w:line="360" w:lineRule="auto"/>
        <w:ind w:left="420"/>
        <w:rPr>
          <w:rFonts w:cs="Times New Roman"/>
          <w:smallCaps w:val="0"/>
          <w:szCs w:val="24"/>
        </w:rPr>
      </w:pPr>
      <w:r>
        <w:fldChar w:fldCharType="begin"/>
      </w:r>
      <w:r>
        <w:instrText xml:space="preserve"> HYPERLINK \l "_Toc75787656" </w:instrText>
      </w:r>
      <w:r>
        <w:fldChar w:fldCharType="separate"/>
      </w:r>
      <w:r>
        <w:rPr>
          <w:rStyle w:val="42"/>
          <w:rFonts w:cs="Times New Roman"/>
          <w:szCs w:val="24"/>
        </w:rPr>
        <w:t>7.7</w:t>
      </w:r>
      <w:r>
        <w:rPr>
          <w:rFonts w:cs="Times New Roman"/>
          <w:smallCaps w:val="0"/>
          <w:szCs w:val="24"/>
        </w:rPr>
        <w:tab/>
      </w:r>
      <w:r>
        <w:rPr>
          <w:rStyle w:val="42"/>
          <w:rFonts w:cs="Times New Roman"/>
          <w:szCs w:val="24"/>
        </w:rPr>
        <w:t>与国内外标准限值比较</w:t>
      </w:r>
      <w:r>
        <w:rPr>
          <w:rFonts w:cs="Times New Roman"/>
          <w:szCs w:val="24"/>
        </w:rPr>
        <w:tab/>
      </w:r>
      <w:r>
        <w:rPr>
          <w:rFonts w:cs="Times New Roman"/>
          <w:szCs w:val="24"/>
        </w:rPr>
        <w:fldChar w:fldCharType="begin"/>
      </w:r>
      <w:r>
        <w:rPr>
          <w:rFonts w:cs="Times New Roman"/>
          <w:szCs w:val="24"/>
        </w:rPr>
        <w:instrText xml:space="preserve"> PAGEREF _Toc75787656 \h </w:instrText>
      </w:r>
      <w:r>
        <w:rPr>
          <w:rFonts w:cs="Times New Roman"/>
          <w:szCs w:val="24"/>
        </w:rPr>
        <w:fldChar w:fldCharType="separate"/>
      </w:r>
      <w:r>
        <w:rPr>
          <w:rFonts w:cs="Times New Roman"/>
          <w:szCs w:val="24"/>
        </w:rPr>
        <w:t>- 77 -</w:t>
      </w:r>
      <w:r>
        <w:rPr>
          <w:rFonts w:cs="Times New Roman"/>
          <w:szCs w:val="24"/>
        </w:rPr>
        <w:fldChar w:fldCharType="end"/>
      </w:r>
      <w:r>
        <w:rPr>
          <w:rFonts w:cs="Times New Roman"/>
          <w:szCs w:val="24"/>
        </w:rPr>
        <w:fldChar w:fldCharType="end"/>
      </w:r>
    </w:p>
    <w:p>
      <w:pPr>
        <w:pStyle w:val="29"/>
        <w:tabs>
          <w:tab w:val="left" w:pos="1050"/>
          <w:tab w:val="right" w:leader="dot" w:pos="8296"/>
        </w:tabs>
        <w:spacing w:line="360" w:lineRule="auto"/>
        <w:ind w:left="420"/>
        <w:rPr>
          <w:rFonts w:cs="Times New Roman"/>
          <w:smallCaps w:val="0"/>
          <w:szCs w:val="24"/>
        </w:rPr>
      </w:pPr>
      <w:r>
        <w:fldChar w:fldCharType="begin"/>
      </w:r>
      <w:r>
        <w:instrText xml:space="preserve"> HYPERLINK \l "_Toc75787657" </w:instrText>
      </w:r>
      <w:r>
        <w:fldChar w:fldCharType="separate"/>
      </w:r>
      <w:r>
        <w:rPr>
          <w:rStyle w:val="42"/>
          <w:rFonts w:cs="Times New Roman"/>
          <w:szCs w:val="24"/>
        </w:rPr>
        <w:t>7.8</w:t>
      </w:r>
      <w:r>
        <w:rPr>
          <w:rFonts w:cs="Times New Roman"/>
          <w:smallCaps w:val="0"/>
          <w:szCs w:val="24"/>
        </w:rPr>
        <w:tab/>
      </w:r>
      <w:r>
        <w:rPr>
          <w:rStyle w:val="42"/>
          <w:rFonts w:cs="Times New Roman"/>
          <w:szCs w:val="24"/>
        </w:rPr>
        <w:t>其它污染控制要求</w:t>
      </w:r>
      <w:r>
        <w:rPr>
          <w:rFonts w:cs="Times New Roman"/>
          <w:szCs w:val="24"/>
        </w:rPr>
        <w:tab/>
      </w:r>
      <w:r>
        <w:rPr>
          <w:rFonts w:cs="Times New Roman"/>
          <w:szCs w:val="24"/>
        </w:rPr>
        <w:fldChar w:fldCharType="begin"/>
      </w:r>
      <w:r>
        <w:rPr>
          <w:rFonts w:cs="Times New Roman"/>
          <w:szCs w:val="24"/>
        </w:rPr>
        <w:instrText xml:space="preserve"> PAGEREF _Toc75787657 \h </w:instrText>
      </w:r>
      <w:r>
        <w:rPr>
          <w:rFonts w:cs="Times New Roman"/>
          <w:szCs w:val="24"/>
        </w:rPr>
        <w:fldChar w:fldCharType="separate"/>
      </w:r>
      <w:r>
        <w:rPr>
          <w:rFonts w:cs="Times New Roman"/>
          <w:szCs w:val="24"/>
        </w:rPr>
        <w:t>- 80 -</w:t>
      </w:r>
      <w:r>
        <w:rPr>
          <w:rFonts w:cs="Times New Roman"/>
          <w:szCs w:val="24"/>
        </w:rPr>
        <w:fldChar w:fldCharType="end"/>
      </w:r>
      <w:r>
        <w:rPr>
          <w:rFonts w:cs="Times New Roman"/>
          <w:szCs w:val="24"/>
        </w:rPr>
        <w:fldChar w:fldCharType="end"/>
      </w:r>
    </w:p>
    <w:p>
      <w:pPr>
        <w:pStyle w:val="29"/>
        <w:tabs>
          <w:tab w:val="left" w:pos="1050"/>
          <w:tab w:val="right" w:leader="dot" w:pos="8296"/>
        </w:tabs>
        <w:spacing w:line="360" w:lineRule="auto"/>
        <w:ind w:left="420"/>
        <w:rPr>
          <w:rFonts w:cs="Times New Roman"/>
          <w:smallCaps w:val="0"/>
          <w:szCs w:val="24"/>
        </w:rPr>
      </w:pPr>
      <w:r>
        <w:fldChar w:fldCharType="begin"/>
      </w:r>
      <w:r>
        <w:instrText xml:space="preserve"> HYPERLINK \l "_Toc75787658" </w:instrText>
      </w:r>
      <w:r>
        <w:fldChar w:fldCharType="separate"/>
      </w:r>
      <w:r>
        <w:rPr>
          <w:rStyle w:val="42"/>
          <w:rFonts w:cs="Times New Roman"/>
          <w:szCs w:val="24"/>
        </w:rPr>
        <w:t>7.9</w:t>
      </w:r>
      <w:r>
        <w:rPr>
          <w:rFonts w:cs="Times New Roman"/>
          <w:smallCaps w:val="0"/>
          <w:szCs w:val="24"/>
        </w:rPr>
        <w:tab/>
      </w:r>
      <w:r>
        <w:rPr>
          <w:rStyle w:val="42"/>
          <w:rFonts w:cs="Times New Roman"/>
          <w:szCs w:val="24"/>
        </w:rPr>
        <w:t>污染物监测要求</w:t>
      </w:r>
      <w:r>
        <w:rPr>
          <w:rFonts w:cs="Times New Roman"/>
          <w:szCs w:val="24"/>
        </w:rPr>
        <w:tab/>
      </w:r>
      <w:r>
        <w:rPr>
          <w:rFonts w:cs="Times New Roman"/>
          <w:szCs w:val="24"/>
        </w:rPr>
        <w:fldChar w:fldCharType="begin"/>
      </w:r>
      <w:r>
        <w:rPr>
          <w:rFonts w:cs="Times New Roman"/>
          <w:szCs w:val="24"/>
        </w:rPr>
        <w:instrText xml:space="preserve"> PAGEREF _Toc75787658 \h </w:instrText>
      </w:r>
      <w:r>
        <w:rPr>
          <w:rFonts w:cs="Times New Roman"/>
          <w:szCs w:val="24"/>
        </w:rPr>
        <w:fldChar w:fldCharType="separate"/>
      </w:r>
      <w:r>
        <w:rPr>
          <w:rFonts w:cs="Times New Roman"/>
          <w:szCs w:val="24"/>
        </w:rPr>
        <w:t>- 82 -</w:t>
      </w:r>
      <w:r>
        <w:rPr>
          <w:rFonts w:cs="Times New Roman"/>
          <w:szCs w:val="24"/>
        </w:rPr>
        <w:fldChar w:fldCharType="end"/>
      </w:r>
      <w:r>
        <w:rPr>
          <w:rFonts w:cs="Times New Roman"/>
          <w:szCs w:val="24"/>
        </w:rPr>
        <w:fldChar w:fldCharType="end"/>
      </w:r>
    </w:p>
    <w:p>
      <w:pPr>
        <w:pStyle w:val="25"/>
        <w:tabs>
          <w:tab w:val="left" w:pos="1260"/>
          <w:tab w:val="right" w:leader="dot" w:pos="8296"/>
        </w:tabs>
        <w:spacing w:before="0" w:after="0" w:line="360" w:lineRule="auto"/>
        <w:rPr>
          <w:rFonts w:eastAsia="宋体" w:cs="Times New Roman"/>
          <w:b w:val="0"/>
          <w:bCs w:val="0"/>
          <w:caps w:val="0"/>
          <w:kern w:val="2"/>
          <w:sz w:val="24"/>
          <w:szCs w:val="24"/>
        </w:rPr>
      </w:pPr>
      <w:r>
        <w:fldChar w:fldCharType="begin"/>
      </w:r>
      <w:r>
        <w:instrText xml:space="preserve"> HYPERLINK \l "_Toc75787659" </w:instrText>
      </w:r>
      <w:r>
        <w:fldChar w:fldCharType="separate"/>
      </w:r>
      <w:r>
        <w:rPr>
          <w:rStyle w:val="42"/>
          <w:rFonts w:eastAsia="宋体" w:cs="Times New Roman"/>
          <w:b w:val="0"/>
          <w:bCs w:val="0"/>
          <w:sz w:val="24"/>
          <w:szCs w:val="24"/>
        </w:rPr>
        <w:t>第8章</w:t>
      </w:r>
      <w:r>
        <w:rPr>
          <w:rFonts w:eastAsia="宋体" w:cs="Times New Roman"/>
          <w:b w:val="0"/>
          <w:bCs w:val="0"/>
          <w:caps w:val="0"/>
          <w:kern w:val="2"/>
          <w:sz w:val="24"/>
          <w:szCs w:val="24"/>
        </w:rPr>
        <w:tab/>
      </w:r>
      <w:r>
        <w:rPr>
          <w:rStyle w:val="42"/>
          <w:rFonts w:eastAsia="宋体" w:cs="Times New Roman"/>
          <w:b w:val="0"/>
          <w:bCs w:val="0"/>
          <w:sz w:val="24"/>
          <w:szCs w:val="24"/>
        </w:rPr>
        <w:t>实施本标准的环境效益和经济技术分析</w:t>
      </w:r>
      <w:r>
        <w:rPr>
          <w:rFonts w:eastAsia="宋体" w:cs="Times New Roman"/>
          <w:b w:val="0"/>
          <w:bCs w:val="0"/>
          <w:sz w:val="24"/>
          <w:szCs w:val="24"/>
        </w:rPr>
        <w:tab/>
      </w:r>
      <w:r>
        <w:rPr>
          <w:rFonts w:eastAsia="宋体" w:cs="Times New Roman"/>
          <w:b w:val="0"/>
          <w:bCs w:val="0"/>
          <w:sz w:val="24"/>
          <w:szCs w:val="24"/>
        </w:rPr>
        <w:fldChar w:fldCharType="begin"/>
      </w:r>
      <w:r>
        <w:rPr>
          <w:rFonts w:eastAsia="宋体" w:cs="Times New Roman"/>
          <w:b w:val="0"/>
          <w:bCs w:val="0"/>
          <w:sz w:val="24"/>
          <w:szCs w:val="24"/>
        </w:rPr>
        <w:instrText xml:space="preserve"> PAGEREF _Toc75787659 \h </w:instrText>
      </w:r>
      <w:r>
        <w:rPr>
          <w:rFonts w:eastAsia="宋体" w:cs="Times New Roman"/>
          <w:b w:val="0"/>
          <w:bCs w:val="0"/>
          <w:sz w:val="24"/>
          <w:szCs w:val="24"/>
        </w:rPr>
        <w:fldChar w:fldCharType="separate"/>
      </w:r>
      <w:r>
        <w:rPr>
          <w:rFonts w:eastAsia="宋体" w:cs="Times New Roman"/>
          <w:b w:val="0"/>
          <w:bCs w:val="0"/>
          <w:sz w:val="24"/>
          <w:szCs w:val="24"/>
        </w:rPr>
        <w:t>- 83 -</w:t>
      </w:r>
      <w:r>
        <w:rPr>
          <w:rFonts w:eastAsia="宋体" w:cs="Times New Roman"/>
          <w:b w:val="0"/>
          <w:bCs w:val="0"/>
          <w:sz w:val="24"/>
          <w:szCs w:val="24"/>
        </w:rPr>
        <w:fldChar w:fldCharType="end"/>
      </w:r>
      <w:r>
        <w:rPr>
          <w:rFonts w:eastAsia="宋体" w:cs="Times New Roman"/>
          <w:b w:val="0"/>
          <w:bCs w:val="0"/>
          <w:sz w:val="24"/>
          <w:szCs w:val="24"/>
        </w:rPr>
        <w:fldChar w:fldCharType="end"/>
      </w:r>
    </w:p>
    <w:p>
      <w:pPr>
        <w:pStyle w:val="29"/>
        <w:tabs>
          <w:tab w:val="left" w:pos="1050"/>
          <w:tab w:val="right" w:leader="dot" w:pos="8296"/>
        </w:tabs>
        <w:spacing w:line="360" w:lineRule="auto"/>
        <w:ind w:left="420"/>
        <w:rPr>
          <w:rFonts w:cs="Times New Roman"/>
          <w:smallCaps w:val="0"/>
          <w:szCs w:val="24"/>
        </w:rPr>
      </w:pPr>
      <w:r>
        <w:fldChar w:fldCharType="begin"/>
      </w:r>
      <w:r>
        <w:instrText xml:space="preserve"> HYPERLINK \l "_Toc75787660" </w:instrText>
      </w:r>
      <w:r>
        <w:fldChar w:fldCharType="separate"/>
      </w:r>
      <w:r>
        <w:rPr>
          <w:rStyle w:val="42"/>
          <w:rFonts w:cs="Times New Roman"/>
          <w:szCs w:val="24"/>
        </w:rPr>
        <w:t>8.1</w:t>
      </w:r>
      <w:r>
        <w:rPr>
          <w:rFonts w:cs="Times New Roman"/>
          <w:smallCaps w:val="0"/>
          <w:szCs w:val="24"/>
        </w:rPr>
        <w:tab/>
      </w:r>
      <w:r>
        <w:rPr>
          <w:rStyle w:val="42"/>
          <w:rFonts w:cs="Times New Roman"/>
          <w:szCs w:val="24"/>
        </w:rPr>
        <w:t>实施本标准的环境效益</w:t>
      </w:r>
      <w:r>
        <w:rPr>
          <w:rFonts w:cs="Times New Roman"/>
          <w:szCs w:val="24"/>
        </w:rPr>
        <w:tab/>
      </w:r>
      <w:r>
        <w:rPr>
          <w:rFonts w:cs="Times New Roman"/>
          <w:szCs w:val="24"/>
        </w:rPr>
        <w:fldChar w:fldCharType="begin"/>
      </w:r>
      <w:r>
        <w:rPr>
          <w:rFonts w:cs="Times New Roman"/>
          <w:szCs w:val="24"/>
        </w:rPr>
        <w:instrText xml:space="preserve"> PAGEREF _Toc75787660 \h </w:instrText>
      </w:r>
      <w:r>
        <w:rPr>
          <w:rFonts w:cs="Times New Roman"/>
          <w:szCs w:val="24"/>
        </w:rPr>
        <w:fldChar w:fldCharType="separate"/>
      </w:r>
      <w:r>
        <w:rPr>
          <w:rFonts w:cs="Times New Roman"/>
          <w:szCs w:val="24"/>
        </w:rPr>
        <w:t>- 83 -</w:t>
      </w:r>
      <w:r>
        <w:rPr>
          <w:rFonts w:cs="Times New Roman"/>
          <w:szCs w:val="24"/>
        </w:rPr>
        <w:fldChar w:fldCharType="end"/>
      </w:r>
      <w:r>
        <w:rPr>
          <w:rFonts w:cs="Times New Roman"/>
          <w:szCs w:val="24"/>
        </w:rPr>
        <w:fldChar w:fldCharType="end"/>
      </w:r>
    </w:p>
    <w:p>
      <w:pPr>
        <w:pStyle w:val="29"/>
        <w:tabs>
          <w:tab w:val="left" w:pos="1050"/>
          <w:tab w:val="right" w:leader="dot" w:pos="8296"/>
        </w:tabs>
        <w:spacing w:line="360" w:lineRule="auto"/>
        <w:ind w:left="420"/>
        <w:rPr>
          <w:rFonts w:cs="Times New Roman"/>
          <w:smallCaps w:val="0"/>
          <w:szCs w:val="24"/>
        </w:rPr>
      </w:pPr>
      <w:r>
        <w:fldChar w:fldCharType="begin"/>
      </w:r>
      <w:r>
        <w:instrText xml:space="preserve"> HYPERLINK \l "_Toc75787661" </w:instrText>
      </w:r>
      <w:r>
        <w:fldChar w:fldCharType="separate"/>
      </w:r>
      <w:r>
        <w:rPr>
          <w:rStyle w:val="42"/>
          <w:rFonts w:cs="Times New Roman"/>
          <w:szCs w:val="24"/>
        </w:rPr>
        <w:t>8.2</w:t>
      </w:r>
      <w:r>
        <w:rPr>
          <w:rFonts w:cs="Times New Roman"/>
          <w:smallCaps w:val="0"/>
          <w:szCs w:val="24"/>
        </w:rPr>
        <w:tab/>
      </w:r>
      <w:r>
        <w:rPr>
          <w:rStyle w:val="42"/>
          <w:rFonts w:cs="Times New Roman"/>
          <w:szCs w:val="24"/>
        </w:rPr>
        <w:t>实施本标准的经济技术分析</w:t>
      </w:r>
      <w:r>
        <w:rPr>
          <w:rFonts w:cs="Times New Roman"/>
          <w:szCs w:val="24"/>
        </w:rPr>
        <w:tab/>
      </w:r>
      <w:r>
        <w:rPr>
          <w:rFonts w:cs="Times New Roman"/>
          <w:szCs w:val="24"/>
        </w:rPr>
        <w:fldChar w:fldCharType="begin"/>
      </w:r>
      <w:r>
        <w:rPr>
          <w:rFonts w:cs="Times New Roman"/>
          <w:szCs w:val="24"/>
        </w:rPr>
        <w:instrText xml:space="preserve"> PAGEREF _Toc75787661 \h </w:instrText>
      </w:r>
      <w:r>
        <w:rPr>
          <w:rFonts w:cs="Times New Roman"/>
          <w:szCs w:val="24"/>
        </w:rPr>
        <w:fldChar w:fldCharType="separate"/>
      </w:r>
      <w:r>
        <w:rPr>
          <w:rFonts w:cs="Times New Roman"/>
          <w:szCs w:val="24"/>
        </w:rPr>
        <w:t>- 83 -</w:t>
      </w:r>
      <w:r>
        <w:rPr>
          <w:rFonts w:cs="Times New Roman"/>
          <w:szCs w:val="24"/>
        </w:rPr>
        <w:fldChar w:fldCharType="end"/>
      </w:r>
      <w:r>
        <w:rPr>
          <w:rFonts w:cs="Times New Roman"/>
          <w:szCs w:val="24"/>
        </w:rPr>
        <w:fldChar w:fldCharType="end"/>
      </w:r>
    </w:p>
    <w:p>
      <w:pPr>
        <w:pStyle w:val="29"/>
        <w:tabs>
          <w:tab w:val="left" w:pos="1050"/>
          <w:tab w:val="right" w:leader="dot" w:pos="8296"/>
        </w:tabs>
        <w:spacing w:line="360" w:lineRule="auto"/>
        <w:ind w:left="420"/>
        <w:rPr>
          <w:rFonts w:cs="Times New Roman"/>
          <w:smallCaps w:val="0"/>
          <w:szCs w:val="24"/>
        </w:rPr>
      </w:pPr>
      <w:r>
        <w:fldChar w:fldCharType="begin"/>
      </w:r>
      <w:r>
        <w:instrText xml:space="preserve"> HYPERLINK \l "_Toc75787662" </w:instrText>
      </w:r>
      <w:r>
        <w:fldChar w:fldCharType="separate"/>
      </w:r>
      <w:r>
        <w:rPr>
          <w:rStyle w:val="42"/>
          <w:rFonts w:cs="Times New Roman"/>
          <w:szCs w:val="24"/>
        </w:rPr>
        <w:t>8.3</w:t>
      </w:r>
      <w:r>
        <w:rPr>
          <w:rFonts w:cs="Times New Roman"/>
          <w:smallCaps w:val="0"/>
          <w:szCs w:val="24"/>
        </w:rPr>
        <w:tab/>
      </w:r>
      <w:r>
        <w:rPr>
          <w:rStyle w:val="42"/>
          <w:rFonts w:cs="Times New Roman"/>
          <w:szCs w:val="24"/>
        </w:rPr>
        <w:t>标准实施建议</w:t>
      </w:r>
      <w:r>
        <w:rPr>
          <w:rFonts w:cs="Times New Roman"/>
          <w:szCs w:val="24"/>
        </w:rPr>
        <w:tab/>
      </w:r>
      <w:r>
        <w:rPr>
          <w:rFonts w:cs="Times New Roman"/>
          <w:szCs w:val="24"/>
        </w:rPr>
        <w:fldChar w:fldCharType="begin"/>
      </w:r>
      <w:r>
        <w:rPr>
          <w:rFonts w:cs="Times New Roman"/>
          <w:szCs w:val="24"/>
        </w:rPr>
        <w:instrText xml:space="preserve"> PAGEREF _Toc75787662 \h </w:instrText>
      </w:r>
      <w:r>
        <w:rPr>
          <w:rFonts w:cs="Times New Roman"/>
          <w:szCs w:val="24"/>
        </w:rPr>
        <w:fldChar w:fldCharType="separate"/>
      </w:r>
      <w:r>
        <w:rPr>
          <w:rFonts w:cs="Times New Roman"/>
          <w:szCs w:val="24"/>
        </w:rPr>
        <w:t>- 86 -</w:t>
      </w:r>
      <w:r>
        <w:rPr>
          <w:rFonts w:cs="Times New Roman"/>
          <w:szCs w:val="24"/>
        </w:rPr>
        <w:fldChar w:fldCharType="end"/>
      </w:r>
      <w:r>
        <w:rPr>
          <w:rFonts w:cs="Times New Roman"/>
          <w:szCs w:val="24"/>
        </w:rPr>
        <w:fldChar w:fldCharType="end"/>
      </w:r>
    </w:p>
    <w:p>
      <w:pPr>
        <w:spacing w:line="360" w:lineRule="auto"/>
        <w:jc w:val="center"/>
        <w:rPr>
          <w:rFonts w:ascii="Times New Roman" w:hAnsi="Times New Roman"/>
        </w:rPr>
      </w:pPr>
      <w:r>
        <w:rPr>
          <w:rFonts w:ascii="Times New Roman" w:hAnsi="Times New Roman"/>
          <w:i/>
          <w:iCs/>
          <w:kern w:val="4"/>
          <w:sz w:val="24"/>
          <w:szCs w:val="24"/>
        </w:rPr>
        <w:fldChar w:fldCharType="end"/>
      </w:r>
      <w:r>
        <w:rPr>
          <w:rFonts w:ascii="Times New Roman" w:hAnsi="Times New Roman"/>
        </w:rPr>
        <w:br w:type="page"/>
      </w:r>
    </w:p>
    <w:p>
      <w:pPr>
        <w:widowControl/>
        <w:jc w:val="left"/>
        <w:rPr>
          <w:rFonts w:ascii="Times New Roman" w:hAnsi="Times New Roman"/>
        </w:rPr>
        <w:sectPr>
          <w:headerReference r:id="rId6" w:type="default"/>
          <w:footerReference r:id="rId8" w:type="default"/>
          <w:headerReference r:id="rId7" w:type="even"/>
          <w:pgSz w:w="11906" w:h="16838"/>
          <w:pgMar w:top="1440" w:right="1800" w:bottom="1440" w:left="1800" w:header="851" w:footer="992" w:gutter="0"/>
          <w:pgNumType w:fmt="upperRoman" w:start="1"/>
          <w:cols w:space="425" w:num="1"/>
          <w:docGrid w:type="lines" w:linePitch="312" w:charSpace="0"/>
        </w:sectPr>
      </w:pPr>
    </w:p>
    <w:p>
      <w:pPr>
        <w:pStyle w:val="2"/>
        <w:numPr>
          <w:ilvl w:val="0"/>
          <w:numId w:val="1"/>
        </w:numPr>
        <w:ind w:left="0" w:firstLine="0"/>
        <w:jc w:val="center"/>
        <w:rPr>
          <w:rFonts w:ascii="Times New Roman" w:hAnsi="Times New Roman"/>
        </w:rPr>
      </w:pPr>
      <w:bookmarkStart w:id="2" w:name="_Toc75787626"/>
      <w:r>
        <w:rPr>
          <w:rFonts w:ascii="Times New Roman" w:hAnsi="Times New Roman"/>
        </w:rPr>
        <w:t>项目背景</w:t>
      </w:r>
      <w:bookmarkEnd w:id="2"/>
    </w:p>
    <w:p>
      <w:pPr>
        <w:pStyle w:val="3"/>
        <w:ind w:left="0" w:firstLine="0"/>
      </w:pPr>
      <w:bookmarkStart w:id="3" w:name="_Toc75787627"/>
      <w:r>
        <w:t>任务来源</w:t>
      </w:r>
      <w:bookmarkEnd w:id="3"/>
    </w:p>
    <w:bookmarkEnd w:id="1"/>
    <w:p>
      <w:pPr>
        <w:pStyle w:val="68"/>
        <w:rPr>
          <w:rFonts w:cs="Times New Roman"/>
        </w:rPr>
      </w:pPr>
      <w:r>
        <w:rPr>
          <w:rFonts w:cs="Times New Roman"/>
        </w:rPr>
        <w:t>根据国务院印发的《打赢蓝天保卫战三年行动计划》及广东省人民政府印发的《广东省打赢蓝天保卫战实施方案（2018-2020年）》，挥发性有机物</w:t>
      </w:r>
      <w:r>
        <w:rPr>
          <w:rFonts w:hint="eastAsia" w:cs="Times New Roman"/>
        </w:rPr>
        <w:t>(</w:t>
      </w:r>
      <w:r>
        <w:rPr>
          <w:rFonts w:cs="Times New Roman"/>
        </w:rPr>
        <w:t>VOCs)的治理已成为环境保护的重点工作。固定污染源是挥发性有机物排放的重要来源之一，为确保完成挥发性有机物的治理任务，亟需制定固定污染源挥发性有机物综合排放标准，以完善我省环保管理体系，规范我省固定污染源挥发性有机物污染排放，实现挥发性有机物的科学监管。2018年8月，原广东省环境保护厅下达了广东省《固定污染源挥发性有机物综合排放标准》研究的制定任务，广东省环境科学研究院牵头承担标准编制工作。</w:t>
      </w:r>
    </w:p>
    <w:p>
      <w:pPr>
        <w:pStyle w:val="3"/>
        <w:ind w:left="0" w:firstLine="0"/>
      </w:pPr>
      <w:bookmarkStart w:id="4" w:name="_Toc75787628"/>
      <w:r>
        <w:t>工作过程</w:t>
      </w:r>
      <w:bookmarkEnd w:id="4"/>
    </w:p>
    <w:p>
      <w:pPr>
        <w:pStyle w:val="68"/>
        <w:rPr>
          <w:rFonts w:cs="Times New Roman"/>
        </w:rPr>
      </w:pPr>
      <w:r>
        <w:rPr>
          <w:rFonts w:cs="Times New Roman"/>
        </w:rPr>
        <w:t>（1）2018年8月，成立广东省《固定污染源挥发性有机物综合排放标准》编制组。</w:t>
      </w:r>
    </w:p>
    <w:p>
      <w:pPr>
        <w:pStyle w:val="68"/>
        <w:rPr>
          <w:rFonts w:cs="Times New Roman"/>
        </w:rPr>
      </w:pPr>
      <w:r>
        <w:rPr>
          <w:rFonts w:cs="Times New Roman"/>
        </w:rPr>
        <w:t>（2）2018年8月~12月，开展VOCs相关的环保政策研究，分析新形势下VOCs大气环境管理需求；进行国内外VOCs污染排放特征及控制技术的相关材料调查和研究。</w:t>
      </w:r>
    </w:p>
    <w:p>
      <w:pPr>
        <w:pStyle w:val="68"/>
        <w:rPr>
          <w:rFonts w:cs="Times New Roman"/>
        </w:rPr>
      </w:pPr>
      <w:r>
        <w:rPr>
          <w:rFonts w:cs="Times New Roman"/>
        </w:rPr>
        <w:t>（3）2019年1月~2月，收集整理国家、国内各省市及世界卫生组织、美国、欧盟等发达国家和地区的相关标准和规范，对国内外相关标准体系进行研究，详细研究美国、欧盟等国家和地区的大气挥发性有机污染物排放标准体系，对比分析国家大气污染排放标准和各省市制定的相关地方排放标准。</w:t>
      </w:r>
    </w:p>
    <w:p>
      <w:pPr>
        <w:pStyle w:val="68"/>
        <w:rPr>
          <w:rFonts w:cs="Times New Roman"/>
        </w:rPr>
      </w:pPr>
      <w:r>
        <w:rPr>
          <w:rFonts w:cs="Times New Roman"/>
        </w:rPr>
        <w:t>（4）2019年3月~9月，确定标准制定的技术路线，开展全省VOCs重点排放行业企业以及废气处理设施设计单位等实地调研及现场考察工作，研究全省VOCs生产排污工艺和治理现状，对现行VOCs污染治理技术及其排放控制水平进行评估。</w:t>
      </w:r>
    </w:p>
    <w:p>
      <w:pPr>
        <w:pStyle w:val="68"/>
        <w:rPr>
          <w:rFonts w:cs="Times New Roman"/>
        </w:rPr>
      </w:pPr>
      <w:r>
        <w:rPr>
          <w:rFonts w:cs="Times New Roman"/>
        </w:rPr>
        <w:t>（5）2019年10~12月，组织召开多次讨论会，就标准体系设置方式、控制指标等关键问题进行咨询讨论，形成初步的标准体系并形成标准征求意见稿初稿和编制说明。</w:t>
      </w:r>
    </w:p>
    <w:p>
      <w:pPr>
        <w:pStyle w:val="68"/>
        <w:rPr>
          <w:rFonts w:cs="Times New Roman"/>
        </w:rPr>
      </w:pPr>
      <w:r>
        <w:rPr>
          <w:rFonts w:cs="Times New Roman"/>
        </w:rPr>
        <w:t>（6）2020年1~4月，对标准文本（征求意见稿</w:t>
      </w:r>
      <w:r>
        <w:rPr>
          <w:rFonts w:hint="eastAsia" w:cs="Times New Roman"/>
        </w:rPr>
        <w:t>初稿</w:t>
      </w:r>
      <w:r>
        <w:rPr>
          <w:rFonts w:cs="Times New Roman"/>
        </w:rPr>
        <w:t>）和编制说明多次修改完善，经多次沟通、交流与修改完善，最终形成标准文本（征求意见稿）和编制说明。</w:t>
      </w:r>
    </w:p>
    <w:p>
      <w:pPr>
        <w:spacing w:line="360" w:lineRule="auto"/>
        <w:ind w:firstLine="480" w:firstLineChars="200"/>
        <w:rPr>
          <w:sz w:val="24"/>
          <w:szCs w:val="20"/>
        </w:rPr>
      </w:pPr>
      <w:r>
        <w:rPr>
          <w:rFonts w:hint="eastAsia" w:ascii="Times New Roman" w:hAnsi="Times New Roman"/>
          <w:sz w:val="24"/>
          <w:szCs w:val="20"/>
        </w:rPr>
        <w:t>（7）2</w:t>
      </w:r>
      <w:r>
        <w:rPr>
          <w:rFonts w:ascii="Times New Roman" w:hAnsi="Times New Roman"/>
          <w:sz w:val="24"/>
          <w:szCs w:val="20"/>
        </w:rPr>
        <w:t>020</w:t>
      </w:r>
      <w:r>
        <w:rPr>
          <w:rFonts w:hint="eastAsia" w:ascii="Times New Roman" w:hAnsi="Times New Roman"/>
          <w:sz w:val="24"/>
          <w:szCs w:val="20"/>
        </w:rPr>
        <w:t>年4月2</w:t>
      </w:r>
      <w:r>
        <w:rPr>
          <w:rFonts w:ascii="Times New Roman" w:hAnsi="Times New Roman"/>
          <w:sz w:val="24"/>
          <w:szCs w:val="20"/>
        </w:rPr>
        <w:t>5</w:t>
      </w:r>
      <w:r>
        <w:rPr>
          <w:rFonts w:hint="eastAsia" w:ascii="Times New Roman" w:hAnsi="Times New Roman"/>
          <w:sz w:val="24"/>
          <w:szCs w:val="20"/>
        </w:rPr>
        <w:t>日，</w:t>
      </w:r>
      <w:r>
        <w:rPr>
          <w:rFonts w:ascii="Times New Roman" w:hAnsi="Times New Roman"/>
          <w:sz w:val="24"/>
          <w:szCs w:val="20"/>
        </w:rPr>
        <w:t>广东省生态环境厅印发《关于征求&lt;固定污染源挥</w:t>
      </w:r>
      <w:r>
        <w:rPr>
          <w:sz w:val="24"/>
          <w:szCs w:val="20"/>
        </w:rPr>
        <w:t>发性有机物综合排放标准（征求意见稿）&gt;意见的函》，向社会公开征求意见</w:t>
      </w:r>
      <w:r>
        <w:rPr>
          <w:rFonts w:hint="eastAsia"/>
          <w:sz w:val="24"/>
          <w:szCs w:val="20"/>
        </w:rPr>
        <w:t>。征求意见后，编制组对回复意见进行了认真处理，结合征求意见情况对标准文本和编制说明进一步修改。</w:t>
      </w:r>
    </w:p>
    <w:p>
      <w:pPr>
        <w:spacing w:line="360" w:lineRule="auto"/>
        <w:ind w:firstLine="480" w:firstLineChars="200"/>
        <w:rPr>
          <w:rFonts w:ascii="Times New Roman" w:hAnsi="Times New Roman"/>
          <w:sz w:val="24"/>
          <w:szCs w:val="20"/>
        </w:rPr>
      </w:pPr>
      <w:r>
        <w:rPr>
          <w:rFonts w:hint="eastAsia" w:ascii="Times New Roman" w:hAnsi="Times New Roman"/>
          <w:sz w:val="24"/>
          <w:szCs w:val="20"/>
        </w:rPr>
        <w:t>（8）2</w:t>
      </w:r>
      <w:r>
        <w:rPr>
          <w:rFonts w:ascii="Times New Roman" w:hAnsi="Times New Roman"/>
          <w:sz w:val="24"/>
          <w:szCs w:val="20"/>
        </w:rPr>
        <w:t>020</w:t>
      </w:r>
      <w:r>
        <w:rPr>
          <w:rFonts w:hint="eastAsia" w:ascii="Times New Roman" w:hAnsi="Times New Roman"/>
          <w:sz w:val="24"/>
          <w:szCs w:val="20"/>
        </w:rPr>
        <w:t>年7月1</w:t>
      </w:r>
      <w:r>
        <w:rPr>
          <w:rFonts w:ascii="Times New Roman" w:hAnsi="Times New Roman"/>
          <w:sz w:val="24"/>
          <w:szCs w:val="20"/>
        </w:rPr>
        <w:t>6</w:t>
      </w:r>
      <w:r>
        <w:rPr>
          <w:rFonts w:hint="eastAsia" w:ascii="Times New Roman" w:hAnsi="Times New Roman"/>
          <w:sz w:val="24"/>
          <w:szCs w:val="20"/>
        </w:rPr>
        <w:t>日，广东省生态环境厅组织召开《</w:t>
      </w:r>
      <w:r>
        <w:rPr>
          <w:rFonts w:ascii="Times New Roman" w:hAnsi="Times New Roman"/>
          <w:sz w:val="24"/>
          <w:szCs w:val="20"/>
        </w:rPr>
        <w:t>广东省固定污染源挥发性有机物综合排放标准</w:t>
      </w:r>
      <w:r>
        <w:rPr>
          <w:rFonts w:hint="eastAsia" w:ascii="Times New Roman" w:hAnsi="Times New Roman"/>
          <w:sz w:val="24"/>
          <w:szCs w:val="20"/>
        </w:rPr>
        <w:t>》（征求意见稿）专家咨询会。</w:t>
      </w:r>
    </w:p>
    <w:p>
      <w:pPr>
        <w:spacing w:line="360" w:lineRule="auto"/>
        <w:ind w:firstLine="480" w:firstLineChars="200"/>
        <w:rPr>
          <w:rFonts w:ascii="Times New Roman" w:hAnsi="Times New Roman"/>
          <w:sz w:val="24"/>
          <w:szCs w:val="20"/>
        </w:rPr>
      </w:pPr>
      <w:r>
        <w:rPr>
          <w:rFonts w:hint="eastAsia" w:ascii="Times New Roman" w:hAnsi="Times New Roman"/>
          <w:sz w:val="24"/>
          <w:szCs w:val="20"/>
        </w:rPr>
        <w:t>（9）2</w:t>
      </w:r>
      <w:r>
        <w:rPr>
          <w:rFonts w:ascii="Times New Roman" w:hAnsi="Times New Roman"/>
          <w:sz w:val="24"/>
          <w:szCs w:val="20"/>
        </w:rPr>
        <w:t>020</w:t>
      </w:r>
      <w:r>
        <w:rPr>
          <w:rFonts w:hint="eastAsia" w:ascii="Times New Roman" w:hAnsi="Times New Roman"/>
          <w:sz w:val="24"/>
          <w:szCs w:val="20"/>
        </w:rPr>
        <w:t>年8月~</w:t>
      </w:r>
      <w:r>
        <w:rPr>
          <w:rFonts w:ascii="Times New Roman" w:hAnsi="Times New Roman"/>
          <w:sz w:val="24"/>
          <w:szCs w:val="20"/>
        </w:rPr>
        <w:t>2021</w:t>
      </w:r>
      <w:r>
        <w:rPr>
          <w:rFonts w:hint="eastAsia" w:ascii="Times New Roman" w:hAnsi="Times New Roman"/>
          <w:sz w:val="24"/>
          <w:szCs w:val="20"/>
        </w:rPr>
        <w:t>年2月，编制组根据专家意见对标准内容修改完善，同时进一步优化标准设置内容。</w:t>
      </w:r>
    </w:p>
    <w:p>
      <w:pPr>
        <w:spacing w:line="360" w:lineRule="auto"/>
        <w:ind w:firstLine="480" w:firstLineChars="200"/>
        <w:rPr>
          <w:sz w:val="24"/>
          <w:szCs w:val="20"/>
        </w:rPr>
      </w:pPr>
      <w:r>
        <w:rPr>
          <w:rFonts w:hint="eastAsia" w:ascii="Times New Roman" w:hAnsi="Times New Roman"/>
          <w:sz w:val="24"/>
          <w:szCs w:val="20"/>
        </w:rPr>
        <w:t>（</w:t>
      </w:r>
      <w:r>
        <w:rPr>
          <w:rFonts w:ascii="Times New Roman" w:hAnsi="Times New Roman"/>
          <w:sz w:val="24"/>
          <w:szCs w:val="20"/>
        </w:rPr>
        <w:t>10</w:t>
      </w:r>
      <w:r>
        <w:rPr>
          <w:rFonts w:hint="eastAsia" w:ascii="Times New Roman" w:hAnsi="Times New Roman"/>
          <w:sz w:val="24"/>
          <w:szCs w:val="20"/>
        </w:rPr>
        <w:t>）2</w:t>
      </w:r>
      <w:r>
        <w:rPr>
          <w:rFonts w:ascii="Times New Roman" w:hAnsi="Times New Roman"/>
          <w:sz w:val="24"/>
          <w:szCs w:val="20"/>
        </w:rPr>
        <w:t>021</w:t>
      </w:r>
      <w:r>
        <w:rPr>
          <w:rFonts w:hint="eastAsia" w:ascii="Times New Roman" w:hAnsi="Times New Roman"/>
          <w:sz w:val="24"/>
          <w:szCs w:val="20"/>
        </w:rPr>
        <w:t>年3月，</w:t>
      </w:r>
      <w:r>
        <w:rPr>
          <w:rFonts w:ascii="Times New Roman" w:hAnsi="Times New Roman"/>
          <w:sz w:val="24"/>
          <w:szCs w:val="20"/>
        </w:rPr>
        <w:t>广东省生态环境厅印发《关于征求&lt;固定污染源挥</w:t>
      </w:r>
      <w:r>
        <w:rPr>
          <w:sz w:val="24"/>
          <w:szCs w:val="20"/>
        </w:rPr>
        <w:t>发性有机物综合排放标准（征求意见稿）&gt;意见的函》</w:t>
      </w:r>
      <w:r>
        <w:rPr>
          <w:rFonts w:hint="eastAsia"/>
          <w:sz w:val="24"/>
          <w:szCs w:val="20"/>
        </w:rPr>
        <w:t>，向生态环境部征求意见。</w:t>
      </w:r>
    </w:p>
    <w:p>
      <w:pPr>
        <w:spacing w:line="360" w:lineRule="auto"/>
        <w:ind w:firstLine="480" w:firstLineChars="200"/>
        <w:rPr>
          <w:rFonts w:ascii="Times New Roman" w:hAnsi="Times New Roman"/>
          <w:sz w:val="24"/>
          <w:szCs w:val="20"/>
        </w:rPr>
      </w:pPr>
      <w:r>
        <w:rPr>
          <w:rFonts w:hint="eastAsia" w:ascii="Times New Roman" w:hAnsi="Times New Roman"/>
          <w:sz w:val="24"/>
          <w:szCs w:val="20"/>
        </w:rPr>
        <w:t>（1</w:t>
      </w:r>
      <w:r>
        <w:rPr>
          <w:rFonts w:ascii="Times New Roman" w:hAnsi="Times New Roman"/>
          <w:sz w:val="24"/>
          <w:szCs w:val="20"/>
        </w:rPr>
        <w:t>1</w:t>
      </w:r>
      <w:r>
        <w:rPr>
          <w:rFonts w:hint="eastAsia" w:ascii="Times New Roman" w:hAnsi="Times New Roman"/>
          <w:sz w:val="24"/>
          <w:szCs w:val="20"/>
        </w:rPr>
        <w:t>）2</w:t>
      </w:r>
      <w:r>
        <w:rPr>
          <w:rFonts w:ascii="Times New Roman" w:hAnsi="Times New Roman"/>
          <w:sz w:val="24"/>
          <w:szCs w:val="20"/>
        </w:rPr>
        <w:t>021</w:t>
      </w:r>
      <w:r>
        <w:rPr>
          <w:rFonts w:hint="eastAsia" w:ascii="Times New Roman" w:hAnsi="Times New Roman"/>
          <w:sz w:val="24"/>
          <w:szCs w:val="20"/>
        </w:rPr>
        <w:t>年4~</w:t>
      </w:r>
      <w:r>
        <w:rPr>
          <w:rFonts w:ascii="Times New Roman" w:hAnsi="Times New Roman"/>
          <w:sz w:val="24"/>
          <w:szCs w:val="20"/>
        </w:rPr>
        <w:t>6</w:t>
      </w:r>
      <w:r>
        <w:rPr>
          <w:rFonts w:hint="eastAsia" w:ascii="Times New Roman" w:hAnsi="Times New Roman"/>
          <w:sz w:val="24"/>
          <w:szCs w:val="20"/>
        </w:rPr>
        <w:t>月，编制组对生态环境部回复意见进行了认真处理，结合征求意见情况对标准文本和编制说明进一步修改。</w:t>
      </w:r>
    </w:p>
    <w:p>
      <w:pPr>
        <w:pStyle w:val="2"/>
        <w:numPr>
          <w:ilvl w:val="0"/>
          <w:numId w:val="1"/>
        </w:numPr>
        <w:ind w:left="0" w:firstLine="0"/>
        <w:jc w:val="center"/>
        <w:rPr>
          <w:rFonts w:ascii="Times New Roman" w:hAnsi="Times New Roman"/>
        </w:rPr>
      </w:pPr>
      <w:bookmarkStart w:id="5" w:name="_Toc37692817"/>
      <w:bookmarkEnd w:id="5"/>
      <w:bookmarkStart w:id="6" w:name="_Toc37692627"/>
      <w:bookmarkEnd w:id="6"/>
      <w:bookmarkStart w:id="7" w:name="_Toc75787629"/>
      <w:r>
        <w:rPr>
          <w:rFonts w:ascii="Times New Roman" w:hAnsi="Times New Roman"/>
        </w:rPr>
        <w:t>标准编制的必要性</w:t>
      </w:r>
      <w:bookmarkEnd w:id="7"/>
    </w:p>
    <w:p>
      <w:pPr>
        <w:pStyle w:val="3"/>
        <w:ind w:left="-105" w:leftChars="-50" w:firstLine="0"/>
      </w:pPr>
      <w:bookmarkStart w:id="8" w:name="_Toc75787630"/>
      <w:r>
        <w:rPr>
          <w:rFonts w:hint="eastAsia"/>
        </w:rPr>
        <w:t>VOCs</w:t>
      </w:r>
      <w:r>
        <w:t>的危害</w:t>
      </w:r>
      <w:bookmarkEnd w:id="8"/>
    </w:p>
    <w:p>
      <w:pPr>
        <w:pStyle w:val="68"/>
        <w:rPr>
          <w:rFonts w:cs="Times New Roman"/>
        </w:rPr>
      </w:pPr>
      <w:r>
        <w:rPr>
          <w:rFonts w:hint="eastAsia" w:cs="Times New Roman"/>
        </w:rPr>
        <w:t>V</w:t>
      </w:r>
      <w:r>
        <w:rPr>
          <w:rFonts w:cs="Times New Roman"/>
        </w:rPr>
        <w:t>OC</w:t>
      </w:r>
      <w:r>
        <w:rPr>
          <w:rFonts w:hint="eastAsia" w:cs="Times New Roman"/>
        </w:rPr>
        <w:t>s对</w:t>
      </w:r>
      <w:r>
        <w:rPr>
          <w:rFonts w:cs="Times New Roman"/>
        </w:rPr>
        <w:t>大气污染</w:t>
      </w:r>
      <w:r>
        <w:rPr>
          <w:rFonts w:hint="eastAsia" w:cs="Times New Roman"/>
        </w:rPr>
        <w:t>的影响主要包括</w:t>
      </w:r>
      <w:r>
        <w:rPr>
          <w:rFonts w:cs="Times New Roman"/>
        </w:rPr>
        <w:t>臭氧（O</w:t>
      </w:r>
      <w:r>
        <w:rPr>
          <w:rFonts w:cs="Times New Roman"/>
          <w:vertAlign w:val="subscript"/>
        </w:rPr>
        <w:t>3</w:t>
      </w:r>
      <w:r>
        <w:rPr>
          <w:rFonts w:cs="Times New Roman"/>
        </w:rPr>
        <w:t>）污染、细颗粒物（PM</w:t>
      </w:r>
      <w:r>
        <w:rPr>
          <w:rFonts w:cs="Times New Roman"/>
          <w:vertAlign w:val="subscript"/>
        </w:rPr>
        <w:t>2.5</w:t>
      </w:r>
      <w:r>
        <w:rPr>
          <w:rFonts w:cs="Times New Roman"/>
        </w:rPr>
        <w:t>）污染，有害空气污染物（Hazardous Air Pollutants，HAPs）污染和臭味污染。</w:t>
      </w:r>
    </w:p>
    <w:p>
      <w:pPr>
        <w:pStyle w:val="68"/>
        <w:rPr>
          <w:rFonts w:cs="Times New Roman"/>
        </w:rPr>
      </w:pPr>
      <w:r>
        <w:rPr>
          <w:rFonts w:hint="eastAsia" w:cs="Times New Roman"/>
        </w:rPr>
        <w:t>①</w:t>
      </w:r>
      <w:r>
        <w:rPr>
          <w:rFonts w:cs="Times New Roman"/>
        </w:rPr>
        <w:t>臭氧污染。大部分的 VOCs 具有高度的光化学反应性，在阳光下经由紫外线照射，这些VOCs与大气中其它化学成分如NO反应形成高浓度的O</w:t>
      </w:r>
      <w:r>
        <w:rPr>
          <w:rFonts w:cs="Times New Roman"/>
          <w:vertAlign w:val="subscript"/>
        </w:rPr>
        <w:t>3</w:t>
      </w:r>
      <w:r>
        <w:rPr>
          <w:rFonts w:cs="Times New Roman"/>
        </w:rPr>
        <w:t>。O</w:t>
      </w:r>
      <w:r>
        <w:rPr>
          <w:rFonts w:cs="Times New Roman"/>
          <w:vertAlign w:val="subscript"/>
        </w:rPr>
        <w:t>3</w:t>
      </w:r>
      <w:r>
        <w:rPr>
          <w:rFonts w:cs="Times New Roman"/>
        </w:rPr>
        <w:t>是强氧化剂，会刺激和破坏深呼吸道粘膜和组织，对眼睛有轻度刺激性。</w:t>
      </w:r>
      <w:r>
        <w:rPr>
          <w:rFonts w:hint="eastAsia" w:cs="Times New Roman"/>
        </w:rPr>
        <w:t>并且</w:t>
      </w:r>
      <w:r>
        <w:rPr>
          <w:rFonts w:cs="Times New Roman"/>
        </w:rPr>
        <w:t>O</w:t>
      </w:r>
      <w:r>
        <w:rPr>
          <w:kern w:val="0"/>
          <w:sz w:val="16"/>
          <w:szCs w:val="16"/>
        </w:rPr>
        <w:t>3</w:t>
      </w:r>
      <w:r>
        <w:rPr>
          <w:rFonts w:hint="eastAsia" w:cs="Times New Roman"/>
        </w:rPr>
        <w:t>能通过植物气孔进入植物体内，影响农作物产量。此外，近地面</w:t>
      </w:r>
      <w:r>
        <w:rPr>
          <w:rFonts w:cs="Times New Roman"/>
        </w:rPr>
        <w:t>O</w:t>
      </w:r>
      <w:r>
        <w:rPr>
          <w:rFonts w:cs="Times New Roman"/>
          <w:vertAlign w:val="subscript"/>
        </w:rPr>
        <w:t>3</w:t>
      </w:r>
      <w:r>
        <w:rPr>
          <w:rFonts w:hint="eastAsia" w:cs="Times New Roman"/>
        </w:rPr>
        <w:t>也是第三大温室气体，对气候变化甚至全球生态平衡都具有严重危害。</w:t>
      </w:r>
    </w:p>
    <w:p>
      <w:pPr>
        <w:pStyle w:val="68"/>
        <w:rPr>
          <w:rFonts w:cs="Times New Roman"/>
        </w:rPr>
      </w:pPr>
      <w:r>
        <w:rPr>
          <w:rFonts w:hint="eastAsia" w:cs="Times New Roman"/>
        </w:rPr>
        <w:t>②</w:t>
      </w:r>
      <w:r>
        <w:rPr>
          <w:rFonts w:cs="Times New Roman"/>
        </w:rPr>
        <w:t>细颗粒物污染。VOCs参与了大气中二次气溶胶的形成。二次气溶胶大多数在细颗粒（PM</w:t>
      </w:r>
      <w:r>
        <w:rPr>
          <w:rFonts w:cs="Times New Roman"/>
          <w:vertAlign w:val="subscript"/>
        </w:rPr>
        <w:t>2.5</w:t>
      </w:r>
      <w:r>
        <w:rPr>
          <w:rFonts w:cs="Times New Roman"/>
        </w:rPr>
        <w:t>）范围，不易沉降，能较长时间滞留于空中，对光线的散射力较强，从而显著降低大气能见度，形成灰霾天气。</w:t>
      </w:r>
      <w:r>
        <w:rPr>
          <w:rFonts w:hint="eastAsia" w:cs="Times New Roman"/>
        </w:rPr>
        <w:t>由于P</w:t>
      </w:r>
      <w:r>
        <w:rPr>
          <w:rFonts w:cs="Times New Roman"/>
        </w:rPr>
        <w:t>M</w:t>
      </w:r>
      <w:r>
        <w:rPr>
          <w:rFonts w:cs="Times New Roman"/>
          <w:vertAlign w:val="subscript"/>
        </w:rPr>
        <w:t>2.5</w:t>
      </w:r>
      <w:r>
        <w:rPr>
          <w:rFonts w:hint="eastAsia" w:cs="Times New Roman"/>
        </w:rPr>
        <w:t>粒径较小，很容易进入人体呼吸道和肺部，会对人体健康造成严重危害。</w:t>
      </w:r>
    </w:p>
    <w:p>
      <w:pPr>
        <w:pStyle w:val="68"/>
        <w:rPr>
          <w:rFonts w:cs="Times New Roman"/>
        </w:rPr>
      </w:pPr>
      <w:r>
        <w:rPr>
          <w:rFonts w:hint="eastAsia" w:cs="Times New Roman"/>
        </w:rPr>
        <w:t>③</w:t>
      </w:r>
      <w:r>
        <w:rPr>
          <w:rFonts w:cs="Times New Roman"/>
        </w:rPr>
        <w:t>有害空气污染物污染。1990年美国《清洁空气法（Clean Air Act）》公告的 189 种有害空气污染物中，VOCs占70%以上。我国《工业场所有害因素职业接触限值》（GBZ 2－2002）所列的有害物，绝大多数也是VOCs。VOCs最主要的健康影响，在于长时间低浓度暴露下将使人体致癌几率增加。</w:t>
      </w:r>
    </w:p>
    <w:p>
      <w:pPr>
        <w:pStyle w:val="68"/>
        <w:rPr>
          <w:rFonts w:cs="Times New Roman"/>
        </w:rPr>
      </w:pPr>
      <w:r>
        <w:rPr>
          <w:rFonts w:hint="eastAsia" w:cs="Times New Roman"/>
        </w:rPr>
        <w:t>④</w:t>
      </w:r>
      <w:r>
        <w:rPr>
          <w:rFonts w:cs="Times New Roman"/>
        </w:rPr>
        <w:t>臭味污染。臭味是人体受物质刺激感受的嗅觉反应，当人对某种气味感到厌恶，即构成臭味污染。多数 VOCs 具有特殊的气味，部分含还原态氮或硫的VOCs物质气味浓烈，且VOCs具有挥发性高的特点，易造成臭味污染。</w:t>
      </w:r>
    </w:p>
    <w:p>
      <w:pPr>
        <w:pStyle w:val="3"/>
        <w:ind w:left="-105" w:leftChars="-50" w:firstLine="0"/>
      </w:pPr>
      <w:bookmarkStart w:id="9" w:name="_Toc75787631"/>
      <w:r>
        <w:t>空气质量持续改善的需要</w:t>
      </w:r>
      <w:bookmarkEnd w:id="9"/>
    </w:p>
    <w:p>
      <w:pPr>
        <w:pStyle w:val="68"/>
        <w:rPr>
          <w:rFonts w:cs="Times New Roman"/>
        </w:rPr>
      </w:pPr>
      <w:r>
        <w:rPr>
          <w:rFonts w:cs="Times New Roman"/>
        </w:rPr>
        <w:t>大气污染是当前我国面临的重要环境问题之一，从扬尘污染控制、酸沉降防治到霾污染防控，中央和地方政府决心坚定、投入巨大，取得了显著成效，保障了在经济快速增长过程中主要大气污染物排放和环境浓度的下降。广东省在这一历程中，一直发挥着先行先试的引领作用，特别是近年来，广东省通过持续滚动实施清洁空气行动计划，深化治污举措，PM</w:t>
      </w:r>
      <w:r>
        <w:rPr>
          <w:rFonts w:cs="Times New Roman"/>
          <w:vertAlign w:val="subscript"/>
        </w:rPr>
        <w:t>2.5</w:t>
      </w:r>
      <w:r>
        <w:rPr>
          <w:rFonts w:cs="Times New Roman"/>
        </w:rPr>
        <w:t>平均浓度持续稳步下降，成为全国第一个达到国家环境空气质量二级标准的城市群，也是继欧洲和美国南加州之后的第三个全球大气污染区域防控的示范区。</w:t>
      </w:r>
    </w:p>
    <w:p>
      <w:pPr>
        <w:pStyle w:val="68"/>
        <w:rPr>
          <w:rFonts w:cs="Times New Roman"/>
        </w:rPr>
      </w:pPr>
      <w:r>
        <w:rPr>
          <w:rFonts w:cs="Times New Roman"/>
        </w:rPr>
        <w:t>广东省空气质量</w:t>
      </w:r>
      <w:r>
        <w:rPr>
          <w:rFonts w:hint="eastAsia" w:cs="Times New Roman"/>
        </w:rPr>
        <w:t>虽率先</w:t>
      </w:r>
      <w:r>
        <w:rPr>
          <w:rFonts w:cs="Times New Roman"/>
        </w:rPr>
        <w:t>实现“稳定达标、持续改善”的目标，也面临着严峻的挑战。首先，PM</w:t>
      </w:r>
      <w:r>
        <w:rPr>
          <w:rFonts w:cs="Times New Roman"/>
          <w:vertAlign w:val="subscript"/>
        </w:rPr>
        <w:t>2.5</w:t>
      </w:r>
      <w:r>
        <w:rPr>
          <w:rFonts w:cs="Times New Roman"/>
        </w:rPr>
        <w:t>浓度在现在基础上进一步下降，削减的重点将转变为硫酸盐、硝酸盐和二次有机气溶胶（SOA）等二次成分，二次成分的形成不仅与排放有关，也与大气转化和传输有关，二次污染的有效防控在全球范围内都是一个难题；其次，大气臭氧污染问题逐渐凸显，已经成为广东省环保工作的一块短板，臭氧污染问题日趋严重。</w:t>
      </w:r>
    </w:p>
    <w:p>
      <w:pPr>
        <w:pStyle w:val="68"/>
        <w:rPr>
          <w:rFonts w:cs="Times New Roman"/>
        </w:rPr>
      </w:pPr>
      <w:r>
        <w:rPr>
          <w:rFonts w:cs="Times New Roman"/>
        </w:rPr>
        <w:t>VOCs在大气化学过程中扮演着极其重要的角色，不仅是近地面臭氧和二次有机气溶胶的重要前体物，而且对大气的氧化能力、人体健康等都具有重要影响。广东省《大气污染防治强化措施及分工方案》（粤办函（2017）471号）已明确提出强化VOCs治理，要求重点城市应全面开展VOCs污染治理，大力推进13个VOCs重点行业整治；《广东省打赢蓝天保卫战实施方案（2018—2020年）》（粤府（2018）128号）提出了57条具体工作任务，旨在坚决打赢蓝天保卫战，推动全省环境空气质量持续改善。为确保完成VOCs治理任务，有效改善空气质量，亟需制定</w:t>
      </w:r>
      <w:r>
        <w:rPr>
          <w:rFonts w:hint="eastAsia" w:cs="Times New Roman"/>
        </w:rPr>
        <w:t>固定污染源</w:t>
      </w:r>
      <w:r>
        <w:rPr>
          <w:rFonts w:cs="Times New Roman"/>
        </w:rPr>
        <w:t>VOCs</w:t>
      </w:r>
      <w:r>
        <w:rPr>
          <w:rFonts w:hint="eastAsia" w:cs="Times New Roman"/>
        </w:rPr>
        <w:t>综合</w:t>
      </w:r>
      <w:r>
        <w:rPr>
          <w:rFonts w:cs="Times New Roman"/>
        </w:rPr>
        <w:t>排放标准。</w:t>
      </w:r>
    </w:p>
    <w:p>
      <w:pPr>
        <w:pStyle w:val="3"/>
        <w:ind w:left="-105" w:leftChars="-50" w:firstLine="0"/>
      </w:pPr>
      <w:bookmarkStart w:id="10" w:name="_Toc75787632"/>
      <w:r>
        <w:t>完善广东省VOCs排放标准体系的需要</w:t>
      </w:r>
      <w:bookmarkEnd w:id="10"/>
    </w:p>
    <w:p>
      <w:pPr>
        <w:pStyle w:val="68"/>
        <w:rPr>
          <w:rFonts w:cs="Times New Roman"/>
        </w:rPr>
      </w:pPr>
      <w:r>
        <w:rPr>
          <w:rFonts w:cs="Times New Roman"/>
        </w:rPr>
        <w:t>目前，国家或我省已经出台了</w:t>
      </w:r>
      <w:r>
        <w:rPr>
          <w:rFonts w:hint="eastAsia" w:cs="Times New Roman"/>
        </w:rPr>
        <w:t>部分</w:t>
      </w:r>
      <w:r>
        <w:rPr>
          <w:rFonts w:cs="Times New Roman"/>
        </w:rPr>
        <w:t>行业排放标准对VOCs排放及控制</w:t>
      </w:r>
      <w:r>
        <w:rPr>
          <w:rFonts w:hint="eastAsia" w:cs="Times New Roman"/>
        </w:rPr>
        <w:t>，具体包括</w:t>
      </w:r>
      <w:r>
        <w:rPr>
          <w:rFonts w:cs="Times New Roman"/>
        </w:rPr>
        <w:t>石油炼制、石油化学、</w:t>
      </w:r>
      <w:r>
        <w:rPr>
          <w:rFonts w:hint="eastAsia" w:cs="Times New Roman"/>
        </w:rPr>
        <w:t>合成树脂、涂料、油墨及胶粘剂、制药、</w:t>
      </w:r>
      <w:r>
        <w:rPr>
          <w:rFonts w:cs="Times New Roman"/>
        </w:rPr>
        <w:t>印刷、家具制造、制鞋、表面涂装（汽车制造）和集装箱制造行业。</w:t>
      </w:r>
    </w:p>
    <w:p>
      <w:pPr>
        <w:pStyle w:val="68"/>
        <w:rPr>
          <w:rFonts w:cs="Times New Roman"/>
        </w:rPr>
      </w:pPr>
      <w:r>
        <w:rPr>
          <w:rFonts w:hint="eastAsia" w:cs="Times New Roman"/>
        </w:rPr>
        <w:t>但</w:t>
      </w:r>
      <w:r>
        <w:rPr>
          <w:rFonts w:cs="Times New Roman"/>
        </w:rPr>
        <w:t>由于广东省涉VOCs排放的行业众多</w:t>
      </w:r>
      <w:r>
        <w:rPr>
          <w:rFonts w:hint="eastAsia" w:cs="Times New Roman"/>
        </w:rPr>
        <w:t>，</w:t>
      </w:r>
      <w:r>
        <w:rPr>
          <w:rFonts w:cs="Times New Roman"/>
        </w:rPr>
        <w:t>单独依靠</w:t>
      </w:r>
      <w:r>
        <w:rPr>
          <w:rFonts w:hint="eastAsia" w:cs="Times New Roman"/>
        </w:rPr>
        <w:t>现有</w:t>
      </w:r>
      <w:r>
        <w:rPr>
          <w:rFonts w:cs="Times New Roman"/>
        </w:rPr>
        <w:t>行业排放标准无法</w:t>
      </w:r>
      <w:r>
        <w:rPr>
          <w:rFonts w:hint="eastAsia" w:cs="Times New Roman"/>
        </w:rPr>
        <w:t>达到</w:t>
      </w:r>
      <w:r>
        <w:rPr>
          <w:rFonts w:cs="Times New Roman"/>
        </w:rPr>
        <w:t>全面覆盖VOCs排放控制的目标。对于无专门行业排放标准的行业仍执行《大气污染物综合排放标准》（GB16297-1996）、《恶臭污染物排放标准》（GB14554-1993）</w:t>
      </w:r>
      <w:r>
        <w:rPr>
          <w:rFonts w:hint="eastAsia" w:cs="Times New Roman"/>
        </w:rPr>
        <w:t>和</w:t>
      </w:r>
      <w:r>
        <w:rPr>
          <w:rFonts w:cs="Times New Roman"/>
        </w:rPr>
        <w:t>《广东省大气污染物综合排放限值要求》（DB44/27-2001）。由于以上</w:t>
      </w:r>
      <w:r>
        <w:rPr>
          <w:rFonts w:hint="eastAsia" w:cs="Times New Roman"/>
        </w:rPr>
        <w:t>三</w:t>
      </w:r>
      <w:r>
        <w:rPr>
          <w:rFonts w:cs="Times New Roman"/>
        </w:rPr>
        <w:t>个综合排放标准制定时间较早，</w:t>
      </w:r>
      <w:r>
        <w:rPr>
          <w:rFonts w:hint="eastAsia" w:cs="Times New Roman"/>
        </w:rPr>
        <w:t>标准限值明显偏松，</w:t>
      </w:r>
      <w:r>
        <w:rPr>
          <w:rFonts w:cs="Times New Roman"/>
        </w:rPr>
        <w:t>已经无法满足目前的VOCs排放控制管理要求，不利于监管企业有效控制VOCs排放。</w:t>
      </w:r>
    </w:p>
    <w:p>
      <w:pPr>
        <w:pStyle w:val="68"/>
        <w:rPr>
          <w:rFonts w:cs="Times New Roman"/>
        </w:rPr>
      </w:pPr>
      <w:r>
        <w:rPr>
          <w:rFonts w:cs="Times New Roman"/>
        </w:rPr>
        <w:t>我国多省市已经出台了工业</w:t>
      </w:r>
      <w:r>
        <w:rPr>
          <w:rFonts w:hint="eastAsia" w:cs="Times New Roman"/>
        </w:rPr>
        <w:t>VOCs</w:t>
      </w:r>
      <w:r>
        <w:rPr>
          <w:rFonts w:cs="Times New Roman"/>
        </w:rPr>
        <w:t>综合排放标准，以弥补行业标准缺失的不足，</w:t>
      </w:r>
      <w:r>
        <w:rPr>
          <w:rFonts w:hint="eastAsia" w:cs="Times New Roman"/>
        </w:rPr>
        <w:t>对众多涉VOCs排放的固定污染源实施监督管理。</w:t>
      </w:r>
      <w:r>
        <w:rPr>
          <w:rFonts w:cs="Times New Roman"/>
        </w:rPr>
        <w:t>为适应我省更加严格的大气环境管理需求，从严控制VOCs排放，有必要制定</w:t>
      </w:r>
      <w:r>
        <w:rPr>
          <w:rFonts w:hint="eastAsia" w:cs="Times New Roman"/>
        </w:rPr>
        <w:t>固定污染源</w:t>
      </w:r>
      <w:r>
        <w:rPr>
          <w:rFonts w:cs="Times New Roman"/>
        </w:rPr>
        <w:t>VOCs综合排放标准，打破当前我省VOCs环境监管面临的困局，使VOCs排放企业的大气污染排放管理工作有法可依。标准的制定不但可以减少臭氧和二次有机气溶胶的水平，还可以减少VOCs中有毒有害物质的排放量，对改善区域大气环境质量具有重要意义。此外，标准的制定还有利于推动行业的技术</w:t>
      </w:r>
      <w:r>
        <w:rPr>
          <w:rFonts w:hint="eastAsia" w:cs="Times New Roman"/>
        </w:rPr>
        <w:t>进步</w:t>
      </w:r>
      <w:r>
        <w:rPr>
          <w:rFonts w:cs="Times New Roman"/>
        </w:rPr>
        <w:t>，促进行业的健康可持续发展，社会经济效益显著。</w:t>
      </w:r>
    </w:p>
    <w:p>
      <w:pPr>
        <w:pStyle w:val="68"/>
        <w:rPr>
          <w:rFonts w:cs="Times New Roman"/>
        </w:rPr>
      </w:pPr>
      <w:r>
        <w:rPr>
          <w:rFonts w:cs="Times New Roman"/>
        </w:rPr>
        <w:t>因此，《广东省打赢蓝天保卫战实施方案（2018—2020年）》（粤府（2018）128号）第27条</w:t>
      </w:r>
      <w:r>
        <w:rPr>
          <w:rFonts w:hint="eastAsia" w:cs="Times New Roman"/>
        </w:rPr>
        <w:t>明确</w:t>
      </w:r>
      <w:r>
        <w:rPr>
          <w:rFonts w:cs="Times New Roman"/>
        </w:rPr>
        <w:t>提出研究制定重点工业行业VOCs排放标准</w:t>
      </w:r>
      <w:r>
        <w:rPr>
          <w:rFonts w:hint="eastAsia" w:cs="Times New Roman"/>
        </w:rPr>
        <w:t>的要求</w:t>
      </w:r>
      <w:r>
        <w:rPr>
          <w:rFonts w:cs="Times New Roman"/>
        </w:rPr>
        <w:t>。</w:t>
      </w:r>
    </w:p>
    <w:p>
      <w:pPr>
        <w:widowControl/>
        <w:jc w:val="left"/>
        <w:rPr>
          <w:rFonts w:ascii="Times New Roman" w:hAnsi="Times New Roman"/>
          <w:sz w:val="24"/>
          <w:szCs w:val="20"/>
        </w:rPr>
      </w:pPr>
      <w:r>
        <w:rPr>
          <w:rFonts w:ascii="Times New Roman" w:hAnsi="Times New Roman"/>
        </w:rPr>
        <w:br w:type="page"/>
      </w:r>
    </w:p>
    <w:p>
      <w:pPr>
        <w:pStyle w:val="2"/>
        <w:numPr>
          <w:ilvl w:val="0"/>
          <w:numId w:val="1"/>
        </w:numPr>
        <w:ind w:left="0" w:firstLine="0"/>
        <w:jc w:val="center"/>
        <w:rPr>
          <w:rFonts w:ascii="Times New Roman" w:hAnsi="Times New Roman"/>
        </w:rPr>
      </w:pPr>
      <w:bookmarkStart w:id="11" w:name="_Toc37692587"/>
      <w:bookmarkEnd w:id="11"/>
      <w:bookmarkStart w:id="12" w:name="_Toc37692780"/>
      <w:bookmarkEnd w:id="12"/>
      <w:bookmarkStart w:id="13" w:name="_Toc37692588"/>
      <w:bookmarkEnd w:id="13"/>
      <w:bookmarkStart w:id="14" w:name="_Toc37692781"/>
      <w:bookmarkEnd w:id="14"/>
      <w:bookmarkStart w:id="15" w:name="_Toc37692589"/>
      <w:bookmarkEnd w:id="15"/>
      <w:bookmarkStart w:id="16" w:name="_Toc37692782"/>
      <w:bookmarkEnd w:id="16"/>
      <w:bookmarkStart w:id="17" w:name="_Toc37692590"/>
      <w:bookmarkEnd w:id="17"/>
      <w:bookmarkStart w:id="18" w:name="_Toc37692783"/>
      <w:bookmarkEnd w:id="18"/>
      <w:bookmarkStart w:id="19" w:name="_Toc37692591"/>
      <w:bookmarkEnd w:id="19"/>
      <w:bookmarkStart w:id="20" w:name="_Toc37692784"/>
      <w:bookmarkEnd w:id="20"/>
      <w:bookmarkStart w:id="21" w:name="_Toc37692592"/>
      <w:bookmarkEnd w:id="21"/>
      <w:bookmarkStart w:id="22" w:name="_Toc37692785"/>
      <w:bookmarkEnd w:id="22"/>
      <w:bookmarkStart w:id="23" w:name="_Toc37692593"/>
      <w:bookmarkEnd w:id="23"/>
      <w:bookmarkStart w:id="24" w:name="_Toc37692786"/>
      <w:bookmarkEnd w:id="24"/>
      <w:bookmarkStart w:id="25" w:name="_Toc37692594"/>
      <w:bookmarkEnd w:id="25"/>
      <w:bookmarkStart w:id="26" w:name="_Toc37692787"/>
      <w:bookmarkEnd w:id="26"/>
      <w:bookmarkStart w:id="27" w:name="_Toc37692595"/>
      <w:bookmarkEnd w:id="27"/>
      <w:bookmarkStart w:id="28" w:name="_Toc37692788"/>
      <w:bookmarkEnd w:id="28"/>
      <w:bookmarkStart w:id="29" w:name="_Toc37692596"/>
      <w:bookmarkEnd w:id="29"/>
      <w:bookmarkStart w:id="30" w:name="_Toc37692789"/>
      <w:bookmarkEnd w:id="30"/>
      <w:bookmarkStart w:id="31" w:name="_Toc37692597"/>
      <w:bookmarkEnd w:id="31"/>
      <w:bookmarkStart w:id="32" w:name="_Toc37692790"/>
      <w:bookmarkEnd w:id="32"/>
      <w:bookmarkStart w:id="33" w:name="_Toc37692598"/>
      <w:bookmarkEnd w:id="33"/>
      <w:bookmarkStart w:id="34" w:name="_Toc37692791"/>
      <w:bookmarkEnd w:id="34"/>
      <w:bookmarkStart w:id="35" w:name="_Toc37692599"/>
      <w:bookmarkEnd w:id="35"/>
      <w:bookmarkStart w:id="36" w:name="_Toc37692792"/>
      <w:bookmarkEnd w:id="36"/>
      <w:bookmarkStart w:id="37" w:name="_Toc37692600"/>
      <w:bookmarkEnd w:id="37"/>
      <w:bookmarkStart w:id="38" w:name="_Toc37692793"/>
      <w:bookmarkEnd w:id="38"/>
      <w:bookmarkStart w:id="39" w:name="_Toc37692601"/>
      <w:bookmarkEnd w:id="39"/>
      <w:bookmarkStart w:id="40" w:name="_Toc37692794"/>
      <w:bookmarkEnd w:id="40"/>
      <w:bookmarkStart w:id="41" w:name="_Toc37692602"/>
      <w:bookmarkEnd w:id="41"/>
      <w:bookmarkStart w:id="42" w:name="_Toc37692795"/>
      <w:bookmarkEnd w:id="42"/>
      <w:bookmarkStart w:id="43" w:name="_Toc37692603"/>
      <w:bookmarkEnd w:id="43"/>
      <w:bookmarkStart w:id="44" w:name="_Toc37692796"/>
      <w:bookmarkEnd w:id="44"/>
      <w:bookmarkStart w:id="45" w:name="_Toc37692604"/>
      <w:bookmarkEnd w:id="45"/>
      <w:bookmarkStart w:id="46" w:name="_Toc37692797"/>
      <w:bookmarkEnd w:id="46"/>
      <w:bookmarkStart w:id="47" w:name="_Toc37692605"/>
      <w:bookmarkEnd w:id="47"/>
      <w:bookmarkStart w:id="48" w:name="_Toc37692798"/>
      <w:bookmarkEnd w:id="48"/>
      <w:bookmarkStart w:id="49" w:name="_Toc37692606"/>
      <w:bookmarkEnd w:id="49"/>
      <w:bookmarkStart w:id="50" w:name="_Toc37692799"/>
      <w:bookmarkEnd w:id="50"/>
      <w:bookmarkStart w:id="51" w:name="_Toc37692607"/>
      <w:bookmarkEnd w:id="51"/>
      <w:bookmarkStart w:id="52" w:name="_Toc37692800"/>
      <w:bookmarkEnd w:id="52"/>
      <w:bookmarkStart w:id="53" w:name="_Toc37692608"/>
      <w:bookmarkEnd w:id="53"/>
      <w:bookmarkStart w:id="54" w:name="_Toc37692801"/>
      <w:bookmarkEnd w:id="54"/>
      <w:bookmarkStart w:id="55" w:name="_Toc37692609"/>
      <w:bookmarkEnd w:id="55"/>
      <w:bookmarkStart w:id="56" w:name="_Toc37692802"/>
      <w:bookmarkEnd w:id="56"/>
      <w:bookmarkStart w:id="57" w:name="_Toc37692610"/>
      <w:bookmarkEnd w:id="57"/>
      <w:bookmarkStart w:id="58" w:name="_Toc37692803"/>
      <w:bookmarkEnd w:id="58"/>
      <w:bookmarkStart w:id="59" w:name="_Toc37692611"/>
      <w:bookmarkEnd w:id="59"/>
      <w:bookmarkStart w:id="60" w:name="_Toc37692804"/>
      <w:bookmarkEnd w:id="60"/>
      <w:bookmarkStart w:id="61" w:name="_Toc37692612"/>
      <w:bookmarkEnd w:id="61"/>
      <w:bookmarkStart w:id="62" w:name="_Toc37692805"/>
      <w:bookmarkEnd w:id="62"/>
      <w:bookmarkStart w:id="63" w:name="_Toc37692613"/>
      <w:bookmarkEnd w:id="63"/>
      <w:bookmarkStart w:id="64" w:name="_Toc37692806"/>
      <w:bookmarkEnd w:id="64"/>
      <w:bookmarkStart w:id="65" w:name="_Toc37692614"/>
      <w:bookmarkEnd w:id="65"/>
      <w:bookmarkStart w:id="66" w:name="_Toc37692807"/>
      <w:bookmarkEnd w:id="66"/>
      <w:bookmarkStart w:id="67" w:name="_Toc37692615"/>
      <w:bookmarkEnd w:id="67"/>
      <w:bookmarkStart w:id="68" w:name="_Toc37692808"/>
      <w:bookmarkEnd w:id="68"/>
      <w:bookmarkStart w:id="69" w:name="_Toc37692616"/>
      <w:bookmarkEnd w:id="69"/>
      <w:bookmarkStart w:id="70" w:name="_Toc37692809"/>
      <w:bookmarkEnd w:id="70"/>
      <w:bookmarkStart w:id="71" w:name="_Toc37692617"/>
      <w:bookmarkEnd w:id="71"/>
      <w:bookmarkStart w:id="72" w:name="_Toc37692810"/>
      <w:bookmarkEnd w:id="72"/>
      <w:bookmarkStart w:id="73" w:name="_Toc37692618"/>
      <w:bookmarkEnd w:id="73"/>
      <w:bookmarkStart w:id="74" w:name="_Toc37692811"/>
      <w:bookmarkEnd w:id="74"/>
      <w:bookmarkStart w:id="75" w:name="_Toc75787633"/>
      <w:r>
        <w:rPr>
          <w:rFonts w:ascii="Times New Roman" w:hAnsi="Times New Roman"/>
        </w:rPr>
        <w:t>VOCs排放行业概况及产排污情况</w:t>
      </w:r>
      <w:bookmarkEnd w:id="75"/>
    </w:p>
    <w:p>
      <w:pPr>
        <w:pStyle w:val="3"/>
        <w:ind w:left="578" w:hanging="578"/>
      </w:pPr>
      <w:bookmarkStart w:id="76" w:name="_主要VOCs排放行业现状"/>
      <w:bookmarkEnd w:id="76"/>
      <w:bookmarkStart w:id="77" w:name="_Toc75787634"/>
      <w:r>
        <w:t>VOCs排放行业概况</w:t>
      </w:r>
      <w:bookmarkEnd w:id="77"/>
    </w:p>
    <w:p>
      <w:pPr>
        <w:keepNext/>
        <w:keepLines/>
        <w:numPr>
          <w:ilvl w:val="2"/>
          <w:numId w:val="1"/>
        </w:numPr>
        <w:spacing w:before="260" w:after="260" w:line="415" w:lineRule="auto"/>
        <w:outlineLvl w:val="2"/>
        <w:rPr>
          <w:rFonts w:ascii="Times New Roman" w:hAnsi="Times New Roman"/>
          <w:b/>
          <w:bCs/>
          <w:sz w:val="30"/>
          <w:szCs w:val="32"/>
        </w:rPr>
      </w:pPr>
      <w:bookmarkStart w:id="78" w:name="_Toc26350759"/>
      <w:bookmarkStart w:id="79" w:name="_Toc1036442"/>
      <w:r>
        <w:rPr>
          <w:rFonts w:ascii="Times New Roman" w:hAnsi="Times New Roman"/>
          <w:b/>
          <w:bCs/>
          <w:sz w:val="30"/>
          <w:szCs w:val="32"/>
        </w:rPr>
        <w:t>VOCs排放企业数量</w:t>
      </w:r>
      <w:bookmarkEnd w:id="78"/>
      <w:bookmarkEnd w:id="79"/>
    </w:p>
    <w:p>
      <w:pPr>
        <w:pStyle w:val="68"/>
        <w:rPr>
          <w:rFonts w:cs="Times New Roman"/>
        </w:rPr>
      </w:pPr>
      <w:r>
        <w:rPr>
          <w:rFonts w:cs="Times New Roman"/>
        </w:rPr>
        <w:t>全国第二次污染源普查数据显示，广东省涉VOCs排放企业数量共计</w:t>
      </w:r>
      <w:r>
        <w:rPr>
          <w:rFonts w:hint="eastAsia" w:cs="Times New Roman"/>
        </w:rPr>
        <w:t>约</w:t>
      </w:r>
      <w:r>
        <w:rPr>
          <w:rFonts w:cs="Times New Roman"/>
        </w:rPr>
        <w:t>17</w:t>
      </w:r>
      <w:r>
        <w:rPr>
          <w:rFonts w:hint="eastAsia" w:cs="Times New Roman"/>
        </w:rPr>
        <w:t>万</w:t>
      </w:r>
      <w:r>
        <w:rPr>
          <w:rFonts w:cs="Times New Roman"/>
        </w:rPr>
        <w:t>家，主要VOCs排放行业企业数量分布如</w:t>
      </w:r>
      <w:r>
        <w:rPr>
          <w:rFonts w:cs="Times New Roman"/>
        </w:rPr>
        <w:fldChar w:fldCharType="begin"/>
      </w:r>
      <w:r>
        <w:rPr>
          <w:rFonts w:cs="Times New Roman"/>
        </w:rPr>
        <w:instrText xml:space="preserve"> REF _Ref26345731 \h  \* MERGEFORMAT </w:instrText>
      </w:r>
      <w:r>
        <w:rPr>
          <w:rFonts w:cs="Times New Roman"/>
        </w:rPr>
        <w:fldChar w:fldCharType="separate"/>
      </w:r>
      <w:r>
        <w:rPr>
          <w:rFonts w:cs="Times New Roman"/>
        </w:rPr>
        <w:t>表 3</w:t>
      </w:r>
      <w:r>
        <w:rPr>
          <w:rFonts w:cs="Times New Roman"/>
        </w:rPr>
        <w:noBreakHyphen/>
      </w:r>
      <w:r>
        <w:rPr>
          <w:rFonts w:cs="Times New Roman"/>
        </w:rPr>
        <w:t>1</w:t>
      </w:r>
      <w:r>
        <w:rPr>
          <w:rFonts w:cs="Times New Roman"/>
        </w:rPr>
        <w:fldChar w:fldCharType="end"/>
      </w:r>
      <w:r>
        <w:rPr>
          <w:rFonts w:cs="Times New Roman"/>
        </w:rPr>
        <w:t>所示。其中，企业数量占比较多的行业主要为橡胶和塑料制品业，计算机、通信和其他电子设备制造业，皮革、毛皮、羽毛及其制品和制鞋业，家具制造业，印刷和记录媒介复制业，金属制品业，电气机械和器材制造业，计算机、通信和其他电子设备制造业，造纸和纸制品业，非金属矿物制品业，专用设备制造业。目前国家和广东省已出台</w:t>
      </w:r>
      <w:r>
        <w:rPr>
          <w:rFonts w:hint="eastAsia" w:cs="Times New Roman"/>
        </w:rPr>
        <w:t>的</w:t>
      </w:r>
      <w:r>
        <w:rPr>
          <w:rFonts w:cs="Times New Roman"/>
        </w:rPr>
        <w:t>VOCs排放标准覆盖的企业数量占全部VOCs排放企业的54.6%，其它企业仍需执行《国家大气污染物综合排放标准》（GB 16297-1996）</w:t>
      </w:r>
      <w:r>
        <w:rPr>
          <w:rFonts w:hint="eastAsia" w:cs="Times New Roman"/>
        </w:rPr>
        <w:t>、</w:t>
      </w:r>
      <w:r>
        <w:rPr>
          <w:rFonts w:cs="Times New Roman"/>
        </w:rPr>
        <w:t>《恶臭污染物排放标准》（GB14554-1993）和《广东省大气污染物综合排放限值要求》（DB44/27-2001）。</w:t>
      </w:r>
    </w:p>
    <w:p>
      <w:pPr>
        <w:pStyle w:val="13"/>
        <w:spacing w:before="156" w:beforeLines="50" w:after="156" w:afterLines="50"/>
      </w:pPr>
      <w:bookmarkStart w:id="80" w:name="_Ref26345731"/>
      <w:bookmarkStart w:id="81" w:name="_Ref533083193"/>
      <w:r>
        <w:t xml:space="preserve">表 </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1</w:t>
      </w:r>
      <w:r>
        <w:fldChar w:fldCharType="end"/>
      </w:r>
      <w:bookmarkEnd w:id="80"/>
      <w:r>
        <w:t xml:space="preserve">  2017</w:t>
      </w:r>
      <w:r>
        <w:rPr>
          <w:rFonts w:hint="eastAsia"/>
        </w:rPr>
        <w:t>年</w:t>
      </w:r>
      <w:r>
        <w:t>广东省</w:t>
      </w:r>
      <w:r>
        <w:rPr>
          <w:rFonts w:hint="eastAsia"/>
        </w:rPr>
        <w:t>涉V</w:t>
      </w:r>
      <w:r>
        <w:t>OC</w:t>
      </w:r>
      <w:r>
        <w:rPr>
          <w:rFonts w:hint="eastAsia"/>
        </w:rPr>
        <w:t>s</w:t>
      </w:r>
      <w:r>
        <w:t>工业企业的行业分布情况</w:t>
      </w:r>
      <w:bookmarkEnd w:id="81"/>
    </w:p>
    <w:tbl>
      <w:tblPr>
        <w:tblStyle w:val="102"/>
        <w:tblW w:w="49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2563"/>
        <w:gridCol w:w="1221"/>
        <w:gridCol w:w="465"/>
        <w:gridCol w:w="2563"/>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blHeader/>
        </w:trPr>
        <w:tc>
          <w:tcPr>
            <w:tcW w:w="276" w:type="pct"/>
            <w:vAlign w:val="center"/>
          </w:tcPr>
          <w:p>
            <w:pPr>
              <w:widowControl/>
              <w:adjustRightInd w:val="0"/>
              <w:snapToGrid w:val="0"/>
              <w:jc w:val="center"/>
              <w:rPr>
                <w:rFonts w:ascii="Times New Roman" w:hAnsi="Times New Roman"/>
                <w:b/>
                <w:color w:val="000000"/>
                <w:kern w:val="0"/>
                <w:sz w:val="18"/>
                <w:szCs w:val="18"/>
              </w:rPr>
            </w:pPr>
            <w:r>
              <w:rPr>
                <w:rFonts w:hint="eastAsia" w:ascii="Times New Roman" w:hAnsi="Times New Roman"/>
                <w:b/>
                <w:color w:val="000000"/>
                <w:kern w:val="0"/>
                <w:sz w:val="18"/>
                <w:szCs w:val="18"/>
              </w:rPr>
              <w:t>序号</w:t>
            </w:r>
          </w:p>
        </w:tc>
        <w:tc>
          <w:tcPr>
            <w:tcW w:w="1508" w:type="pct"/>
            <w:vAlign w:val="center"/>
          </w:tcPr>
          <w:p>
            <w:pPr>
              <w:widowControl/>
              <w:adjustRightInd w:val="0"/>
              <w:snapToGrid w:val="0"/>
              <w:jc w:val="center"/>
              <w:rPr>
                <w:rFonts w:ascii="Times New Roman" w:hAnsi="Times New Roman"/>
                <w:b/>
                <w:color w:val="000000"/>
                <w:kern w:val="0"/>
                <w:sz w:val="18"/>
                <w:szCs w:val="18"/>
              </w:rPr>
            </w:pPr>
            <w:r>
              <w:rPr>
                <w:rFonts w:ascii="Times New Roman" w:hAnsi="Times New Roman"/>
                <w:b/>
                <w:color w:val="000000"/>
                <w:kern w:val="0"/>
                <w:sz w:val="18"/>
                <w:szCs w:val="18"/>
              </w:rPr>
              <w:t>行业类别</w:t>
            </w:r>
          </w:p>
        </w:tc>
        <w:tc>
          <w:tcPr>
            <w:tcW w:w="719" w:type="pct"/>
            <w:noWrap/>
            <w:vAlign w:val="center"/>
          </w:tcPr>
          <w:p>
            <w:pPr>
              <w:widowControl/>
              <w:adjustRightInd w:val="0"/>
              <w:snapToGrid w:val="0"/>
              <w:jc w:val="center"/>
              <w:rPr>
                <w:rFonts w:ascii="Times New Roman" w:hAnsi="Times New Roman"/>
                <w:b/>
                <w:color w:val="000000"/>
                <w:kern w:val="0"/>
                <w:sz w:val="18"/>
                <w:szCs w:val="18"/>
              </w:rPr>
            </w:pPr>
            <w:r>
              <w:rPr>
                <w:rFonts w:ascii="Times New Roman" w:hAnsi="Times New Roman"/>
                <w:b/>
                <w:color w:val="000000"/>
                <w:kern w:val="0"/>
                <w:sz w:val="18"/>
                <w:szCs w:val="18"/>
              </w:rPr>
              <w:t>企业数量占比（%）</w:t>
            </w:r>
          </w:p>
        </w:tc>
        <w:tc>
          <w:tcPr>
            <w:tcW w:w="274" w:type="pct"/>
            <w:vAlign w:val="center"/>
          </w:tcPr>
          <w:p>
            <w:pPr>
              <w:widowControl/>
              <w:adjustRightInd w:val="0"/>
              <w:snapToGrid w:val="0"/>
              <w:jc w:val="center"/>
              <w:rPr>
                <w:rFonts w:ascii="Times New Roman" w:hAnsi="Times New Roman"/>
                <w:b/>
                <w:color w:val="000000"/>
                <w:kern w:val="0"/>
                <w:sz w:val="18"/>
                <w:szCs w:val="18"/>
              </w:rPr>
            </w:pPr>
            <w:r>
              <w:rPr>
                <w:rFonts w:hint="eastAsia" w:ascii="Times New Roman" w:hAnsi="Times New Roman"/>
                <w:b/>
                <w:color w:val="000000"/>
                <w:kern w:val="0"/>
                <w:sz w:val="18"/>
                <w:szCs w:val="18"/>
              </w:rPr>
              <w:t>序号</w:t>
            </w:r>
          </w:p>
        </w:tc>
        <w:tc>
          <w:tcPr>
            <w:tcW w:w="1508" w:type="pct"/>
            <w:vAlign w:val="center"/>
          </w:tcPr>
          <w:p>
            <w:pPr>
              <w:widowControl/>
              <w:adjustRightInd w:val="0"/>
              <w:snapToGrid w:val="0"/>
              <w:jc w:val="center"/>
              <w:rPr>
                <w:rFonts w:ascii="Times New Roman" w:hAnsi="Times New Roman"/>
                <w:b/>
                <w:color w:val="000000"/>
                <w:kern w:val="0"/>
                <w:sz w:val="18"/>
                <w:szCs w:val="18"/>
              </w:rPr>
            </w:pPr>
            <w:r>
              <w:rPr>
                <w:rFonts w:ascii="Times New Roman" w:hAnsi="Times New Roman"/>
                <w:b/>
                <w:color w:val="000000"/>
                <w:kern w:val="0"/>
                <w:sz w:val="18"/>
                <w:szCs w:val="18"/>
              </w:rPr>
              <w:t>行业类别</w:t>
            </w:r>
          </w:p>
        </w:tc>
        <w:tc>
          <w:tcPr>
            <w:tcW w:w="715" w:type="pct"/>
            <w:vAlign w:val="center"/>
          </w:tcPr>
          <w:p>
            <w:pPr>
              <w:widowControl/>
              <w:adjustRightInd w:val="0"/>
              <w:snapToGrid w:val="0"/>
              <w:jc w:val="center"/>
              <w:rPr>
                <w:rFonts w:ascii="Times New Roman" w:hAnsi="Times New Roman"/>
                <w:b/>
                <w:color w:val="000000"/>
                <w:kern w:val="0"/>
                <w:sz w:val="18"/>
                <w:szCs w:val="18"/>
              </w:rPr>
            </w:pPr>
            <w:r>
              <w:rPr>
                <w:rFonts w:ascii="Times New Roman" w:hAnsi="Times New Roman"/>
                <w:b/>
                <w:color w:val="000000"/>
                <w:kern w:val="0"/>
                <w:sz w:val="18"/>
                <w:szCs w:val="18"/>
              </w:rPr>
              <w:t>企业数量占比（%）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6"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1</w:t>
            </w:r>
          </w:p>
        </w:tc>
        <w:tc>
          <w:tcPr>
            <w:tcW w:w="1508" w:type="pct"/>
            <w:vAlign w:val="center"/>
          </w:tcPr>
          <w:p>
            <w:pPr>
              <w:widowControl/>
              <w:adjustRightInd w:val="0"/>
              <w:snapToGrid w:val="0"/>
              <w:rPr>
                <w:rFonts w:ascii="Times New Roman" w:hAnsi="Times New Roman"/>
                <w:color w:val="000000"/>
                <w:kern w:val="0"/>
                <w:sz w:val="18"/>
                <w:szCs w:val="18"/>
              </w:rPr>
            </w:pPr>
            <w:r>
              <w:rPr>
                <w:rFonts w:ascii="Times New Roman" w:hAnsi="Times New Roman"/>
                <w:sz w:val="18"/>
                <w:szCs w:val="18"/>
              </w:rPr>
              <w:t>橡胶和塑料制品业</w:t>
            </w:r>
          </w:p>
        </w:tc>
        <w:tc>
          <w:tcPr>
            <w:tcW w:w="719" w:type="pct"/>
            <w:noWrap/>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sz w:val="18"/>
                <w:szCs w:val="18"/>
              </w:rPr>
              <w:t>22.3</w:t>
            </w:r>
          </w:p>
        </w:tc>
        <w:tc>
          <w:tcPr>
            <w:tcW w:w="274"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2</w:t>
            </w:r>
            <w:r>
              <w:rPr>
                <w:rFonts w:ascii="Times New Roman" w:hAnsi="Times New Roman"/>
                <w:sz w:val="18"/>
                <w:szCs w:val="18"/>
              </w:rPr>
              <w:t>0</w:t>
            </w:r>
          </w:p>
        </w:tc>
        <w:tc>
          <w:tcPr>
            <w:tcW w:w="1508" w:type="pct"/>
            <w:vAlign w:val="center"/>
          </w:tcPr>
          <w:p>
            <w:pPr>
              <w:widowControl/>
              <w:adjustRightInd w:val="0"/>
              <w:snapToGrid w:val="0"/>
              <w:rPr>
                <w:rFonts w:ascii="Times New Roman" w:hAnsi="Times New Roman"/>
                <w:sz w:val="18"/>
                <w:szCs w:val="18"/>
              </w:rPr>
            </w:pPr>
            <w:r>
              <w:rPr>
                <w:rFonts w:ascii="Times New Roman" w:hAnsi="Times New Roman"/>
                <w:sz w:val="18"/>
                <w:szCs w:val="18"/>
              </w:rPr>
              <w:t>汽车制造业</w:t>
            </w:r>
          </w:p>
        </w:tc>
        <w:tc>
          <w:tcPr>
            <w:tcW w:w="715" w:type="pct"/>
            <w:vAlign w:val="center"/>
          </w:tcPr>
          <w:p>
            <w:pPr>
              <w:widowControl/>
              <w:adjustRightInd w:val="0"/>
              <w:snapToGrid w:val="0"/>
              <w:jc w:val="center"/>
              <w:rPr>
                <w:rFonts w:ascii="Times New Roman" w:hAnsi="Times New Roman"/>
                <w:sz w:val="18"/>
                <w:szCs w:val="18"/>
              </w:rPr>
            </w:pPr>
            <w:r>
              <w:rPr>
                <w:rFonts w:ascii="Times New Roman" w:hAnsi="Times New Roman"/>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6"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2</w:t>
            </w:r>
          </w:p>
        </w:tc>
        <w:tc>
          <w:tcPr>
            <w:tcW w:w="1508" w:type="pct"/>
            <w:vAlign w:val="center"/>
          </w:tcPr>
          <w:p>
            <w:pPr>
              <w:widowControl/>
              <w:adjustRightInd w:val="0"/>
              <w:snapToGrid w:val="0"/>
              <w:rPr>
                <w:rFonts w:ascii="Times New Roman" w:hAnsi="Times New Roman"/>
                <w:color w:val="000000"/>
                <w:kern w:val="0"/>
                <w:sz w:val="18"/>
                <w:szCs w:val="18"/>
              </w:rPr>
            </w:pPr>
            <w:r>
              <w:rPr>
                <w:rFonts w:ascii="Times New Roman" w:hAnsi="Times New Roman"/>
                <w:sz w:val="18"/>
                <w:szCs w:val="18"/>
              </w:rPr>
              <w:t>计算机、通信和其他电子设备制造业</w:t>
            </w:r>
          </w:p>
        </w:tc>
        <w:tc>
          <w:tcPr>
            <w:tcW w:w="719" w:type="pct"/>
            <w:noWrap/>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sz w:val="18"/>
                <w:szCs w:val="18"/>
              </w:rPr>
              <w:t>9.0</w:t>
            </w:r>
          </w:p>
        </w:tc>
        <w:tc>
          <w:tcPr>
            <w:tcW w:w="274"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2</w:t>
            </w:r>
            <w:r>
              <w:rPr>
                <w:rFonts w:ascii="Times New Roman" w:hAnsi="Times New Roman"/>
                <w:sz w:val="18"/>
                <w:szCs w:val="18"/>
              </w:rPr>
              <w:t>1</w:t>
            </w:r>
          </w:p>
        </w:tc>
        <w:tc>
          <w:tcPr>
            <w:tcW w:w="1508" w:type="pct"/>
            <w:vAlign w:val="center"/>
          </w:tcPr>
          <w:p>
            <w:pPr>
              <w:widowControl/>
              <w:adjustRightInd w:val="0"/>
              <w:snapToGrid w:val="0"/>
              <w:rPr>
                <w:rFonts w:ascii="Times New Roman" w:hAnsi="Times New Roman"/>
                <w:sz w:val="18"/>
                <w:szCs w:val="18"/>
              </w:rPr>
            </w:pPr>
            <w:r>
              <w:rPr>
                <w:rFonts w:ascii="Times New Roman" w:hAnsi="Times New Roman"/>
                <w:sz w:val="18"/>
                <w:szCs w:val="18"/>
              </w:rPr>
              <w:t>金属制品、机械和设备修理业</w:t>
            </w:r>
          </w:p>
        </w:tc>
        <w:tc>
          <w:tcPr>
            <w:tcW w:w="715" w:type="pct"/>
            <w:vAlign w:val="center"/>
          </w:tcPr>
          <w:p>
            <w:pPr>
              <w:widowControl/>
              <w:adjustRightInd w:val="0"/>
              <w:snapToGrid w:val="0"/>
              <w:jc w:val="center"/>
              <w:rPr>
                <w:rFonts w:ascii="Times New Roman" w:hAnsi="Times New Roman"/>
                <w:sz w:val="18"/>
                <w:szCs w:val="18"/>
              </w:rPr>
            </w:pPr>
            <w:r>
              <w:rPr>
                <w:rFonts w:ascii="Times New Roman" w:hAnsi="Times New Roman"/>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6"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3</w:t>
            </w:r>
          </w:p>
        </w:tc>
        <w:tc>
          <w:tcPr>
            <w:tcW w:w="1508" w:type="pct"/>
            <w:vAlign w:val="center"/>
          </w:tcPr>
          <w:p>
            <w:pPr>
              <w:widowControl/>
              <w:adjustRightInd w:val="0"/>
              <w:snapToGrid w:val="0"/>
              <w:rPr>
                <w:rFonts w:ascii="Times New Roman" w:hAnsi="Times New Roman"/>
                <w:color w:val="000000"/>
                <w:kern w:val="0"/>
                <w:sz w:val="18"/>
                <w:szCs w:val="18"/>
              </w:rPr>
            </w:pPr>
            <w:r>
              <w:rPr>
                <w:rFonts w:ascii="Times New Roman" w:hAnsi="Times New Roman"/>
                <w:sz w:val="18"/>
                <w:szCs w:val="18"/>
              </w:rPr>
              <w:t>皮革、毛皮、羽毛及其制品和制鞋业</w:t>
            </w:r>
          </w:p>
        </w:tc>
        <w:tc>
          <w:tcPr>
            <w:tcW w:w="719" w:type="pct"/>
            <w:noWrap/>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sz w:val="18"/>
                <w:szCs w:val="18"/>
              </w:rPr>
              <w:t>8.5</w:t>
            </w:r>
          </w:p>
        </w:tc>
        <w:tc>
          <w:tcPr>
            <w:tcW w:w="274"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2</w:t>
            </w:r>
            <w:r>
              <w:rPr>
                <w:rFonts w:ascii="Times New Roman" w:hAnsi="Times New Roman"/>
                <w:sz w:val="18"/>
                <w:szCs w:val="18"/>
              </w:rPr>
              <w:t>2</w:t>
            </w:r>
          </w:p>
        </w:tc>
        <w:tc>
          <w:tcPr>
            <w:tcW w:w="1508" w:type="pct"/>
            <w:vAlign w:val="center"/>
          </w:tcPr>
          <w:p>
            <w:pPr>
              <w:widowControl/>
              <w:adjustRightInd w:val="0"/>
              <w:snapToGrid w:val="0"/>
              <w:rPr>
                <w:rFonts w:ascii="Times New Roman" w:hAnsi="Times New Roman"/>
                <w:sz w:val="18"/>
                <w:szCs w:val="18"/>
              </w:rPr>
            </w:pPr>
            <w:r>
              <w:rPr>
                <w:rFonts w:ascii="Times New Roman" w:hAnsi="Times New Roman"/>
                <w:sz w:val="18"/>
                <w:szCs w:val="18"/>
              </w:rPr>
              <w:t>酒、饮料和精制茶制造业</w:t>
            </w:r>
          </w:p>
        </w:tc>
        <w:tc>
          <w:tcPr>
            <w:tcW w:w="715" w:type="pct"/>
            <w:vAlign w:val="center"/>
          </w:tcPr>
          <w:p>
            <w:pPr>
              <w:widowControl/>
              <w:adjustRightInd w:val="0"/>
              <w:snapToGrid w:val="0"/>
              <w:jc w:val="center"/>
              <w:rPr>
                <w:rFonts w:ascii="Times New Roman" w:hAnsi="Times New Roman"/>
                <w:sz w:val="18"/>
                <w:szCs w:val="18"/>
              </w:rPr>
            </w:pPr>
            <w:r>
              <w:rPr>
                <w:rFonts w:ascii="Times New Roman" w:hAnsi="Times New Roman"/>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6"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4</w:t>
            </w:r>
          </w:p>
        </w:tc>
        <w:tc>
          <w:tcPr>
            <w:tcW w:w="1508" w:type="pct"/>
            <w:vAlign w:val="center"/>
          </w:tcPr>
          <w:p>
            <w:pPr>
              <w:widowControl/>
              <w:adjustRightInd w:val="0"/>
              <w:snapToGrid w:val="0"/>
              <w:rPr>
                <w:rFonts w:ascii="Times New Roman" w:hAnsi="Times New Roman"/>
                <w:color w:val="000000"/>
                <w:kern w:val="0"/>
                <w:sz w:val="18"/>
                <w:szCs w:val="18"/>
              </w:rPr>
            </w:pPr>
            <w:r>
              <w:rPr>
                <w:rFonts w:ascii="Times New Roman" w:hAnsi="Times New Roman"/>
                <w:sz w:val="18"/>
                <w:szCs w:val="18"/>
              </w:rPr>
              <w:t>电气机械和器材制造业</w:t>
            </w:r>
          </w:p>
        </w:tc>
        <w:tc>
          <w:tcPr>
            <w:tcW w:w="719" w:type="pct"/>
            <w:noWrap/>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sz w:val="18"/>
                <w:szCs w:val="18"/>
              </w:rPr>
              <w:t>7.5</w:t>
            </w:r>
          </w:p>
        </w:tc>
        <w:tc>
          <w:tcPr>
            <w:tcW w:w="274"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2</w:t>
            </w:r>
            <w:r>
              <w:rPr>
                <w:rFonts w:ascii="Times New Roman" w:hAnsi="Times New Roman"/>
                <w:sz w:val="18"/>
                <w:szCs w:val="18"/>
              </w:rPr>
              <w:t>3</w:t>
            </w:r>
          </w:p>
        </w:tc>
        <w:tc>
          <w:tcPr>
            <w:tcW w:w="1508" w:type="pct"/>
            <w:vAlign w:val="center"/>
          </w:tcPr>
          <w:p>
            <w:pPr>
              <w:widowControl/>
              <w:adjustRightInd w:val="0"/>
              <w:snapToGrid w:val="0"/>
              <w:rPr>
                <w:rFonts w:ascii="Times New Roman" w:hAnsi="Times New Roman"/>
                <w:sz w:val="18"/>
                <w:szCs w:val="18"/>
              </w:rPr>
            </w:pPr>
            <w:r>
              <w:rPr>
                <w:rFonts w:ascii="Times New Roman" w:hAnsi="Times New Roman"/>
                <w:sz w:val="18"/>
                <w:szCs w:val="18"/>
              </w:rPr>
              <w:t>其他制造业</w:t>
            </w:r>
          </w:p>
        </w:tc>
        <w:tc>
          <w:tcPr>
            <w:tcW w:w="715" w:type="pct"/>
            <w:vAlign w:val="center"/>
          </w:tcPr>
          <w:p>
            <w:pPr>
              <w:widowControl/>
              <w:adjustRightInd w:val="0"/>
              <w:snapToGrid w:val="0"/>
              <w:jc w:val="center"/>
              <w:rPr>
                <w:rFonts w:ascii="Times New Roman" w:hAnsi="Times New Roman"/>
                <w:sz w:val="18"/>
                <w:szCs w:val="18"/>
              </w:rPr>
            </w:pPr>
            <w:r>
              <w:rPr>
                <w:rFonts w:ascii="Times New Roman" w:hAnsi="Times New Roman"/>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6"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5</w:t>
            </w:r>
          </w:p>
        </w:tc>
        <w:tc>
          <w:tcPr>
            <w:tcW w:w="1508" w:type="pct"/>
            <w:vAlign w:val="center"/>
          </w:tcPr>
          <w:p>
            <w:pPr>
              <w:widowControl/>
              <w:adjustRightInd w:val="0"/>
              <w:snapToGrid w:val="0"/>
              <w:rPr>
                <w:rFonts w:ascii="Times New Roman" w:hAnsi="Times New Roman"/>
                <w:color w:val="000000"/>
                <w:kern w:val="0"/>
                <w:sz w:val="18"/>
                <w:szCs w:val="18"/>
              </w:rPr>
            </w:pPr>
            <w:r>
              <w:rPr>
                <w:rFonts w:ascii="Times New Roman" w:hAnsi="Times New Roman"/>
                <w:sz w:val="18"/>
                <w:szCs w:val="18"/>
              </w:rPr>
              <w:t>印刷和记录媒介复制业</w:t>
            </w:r>
          </w:p>
        </w:tc>
        <w:tc>
          <w:tcPr>
            <w:tcW w:w="719" w:type="pct"/>
            <w:noWrap/>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sz w:val="18"/>
                <w:szCs w:val="18"/>
              </w:rPr>
              <w:t>6.8</w:t>
            </w:r>
          </w:p>
        </w:tc>
        <w:tc>
          <w:tcPr>
            <w:tcW w:w="274"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2</w:t>
            </w:r>
            <w:r>
              <w:rPr>
                <w:rFonts w:ascii="Times New Roman" w:hAnsi="Times New Roman"/>
                <w:sz w:val="18"/>
                <w:szCs w:val="18"/>
              </w:rPr>
              <w:t>4</w:t>
            </w:r>
          </w:p>
        </w:tc>
        <w:tc>
          <w:tcPr>
            <w:tcW w:w="1508" w:type="pct"/>
            <w:vAlign w:val="center"/>
          </w:tcPr>
          <w:p>
            <w:pPr>
              <w:widowControl/>
              <w:adjustRightInd w:val="0"/>
              <w:snapToGrid w:val="0"/>
              <w:rPr>
                <w:rFonts w:ascii="Times New Roman" w:hAnsi="Times New Roman"/>
                <w:sz w:val="18"/>
                <w:szCs w:val="18"/>
              </w:rPr>
            </w:pPr>
            <w:r>
              <w:rPr>
                <w:rFonts w:ascii="Times New Roman" w:hAnsi="Times New Roman"/>
                <w:sz w:val="18"/>
                <w:szCs w:val="18"/>
              </w:rPr>
              <w:t>非金属矿采选业</w:t>
            </w:r>
          </w:p>
        </w:tc>
        <w:tc>
          <w:tcPr>
            <w:tcW w:w="715" w:type="pct"/>
            <w:vAlign w:val="center"/>
          </w:tcPr>
          <w:p>
            <w:pPr>
              <w:widowControl/>
              <w:adjustRightInd w:val="0"/>
              <w:snapToGrid w:val="0"/>
              <w:jc w:val="center"/>
              <w:rPr>
                <w:rFonts w:ascii="Times New Roman" w:hAnsi="Times New Roman"/>
                <w:sz w:val="18"/>
                <w:szCs w:val="18"/>
              </w:rPr>
            </w:pPr>
            <w:r>
              <w:rPr>
                <w:rFonts w:ascii="Times New Roman" w:hAnsi="Times New Roman"/>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6"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6</w:t>
            </w:r>
          </w:p>
        </w:tc>
        <w:tc>
          <w:tcPr>
            <w:tcW w:w="1508" w:type="pct"/>
            <w:vAlign w:val="center"/>
          </w:tcPr>
          <w:p>
            <w:pPr>
              <w:widowControl/>
              <w:adjustRightInd w:val="0"/>
              <w:snapToGrid w:val="0"/>
              <w:rPr>
                <w:rFonts w:ascii="Times New Roman" w:hAnsi="Times New Roman"/>
                <w:color w:val="000000"/>
                <w:kern w:val="0"/>
                <w:sz w:val="18"/>
                <w:szCs w:val="18"/>
              </w:rPr>
            </w:pPr>
            <w:r>
              <w:rPr>
                <w:rFonts w:ascii="Times New Roman" w:hAnsi="Times New Roman"/>
                <w:sz w:val="18"/>
                <w:szCs w:val="18"/>
              </w:rPr>
              <w:t>金属制品业</w:t>
            </w:r>
          </w:p>
        </w:tc>
        <w:tc>
          <w:tcPr>
            <w:tcW w:w="719" w:type="pct"/>
            <w:noWrap/>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sz w:val="18"/>
                <w:szCs w:val="18"/>
              </w:rPr>
              <w:t>6.7</w:t>
            </w:r>
          </w:p>
        </w:tc>
        <w:tc>
          <w:tcPr>
            <w:tcW w:w="274"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2</w:t>
            </w:r>
            <w:r>
              <w:rPr>
                <w:rFonts w:ascii="Times New Roman" w:hAnsi="Times New Roman"/>
                <w:sz w:val="18"/>
                <w:szCs w:val="18"/>
              </w:rPr>
              <w:t>5</w:t>
            </w:r>
          </w:p>
        </w:tc>
        <w:tc>
          <w:tcPr>
            <w:tcW w:w="1508" w:type="pct"/>
            <w:vAlign w:val="center"/>
          </w:tcPr>
          <w:p>
            <w:pPr>
              <w:widowControl/>
              <w:adjustRightInd w:val="0"/>
              <w:snapToGrid w:val="0"/>
              <w:rPr>
                <w:rFonts w:ascii="Times New Roman" w:hAnsi="Times New Roman"/>
                <w:sz w:val="18"/>
                <w:szCs w:val="18"/>
              </w:rPr>
            </w:pPr>
            <w:r>
              <w:rPr>
                <w:rFonts w:ascii="Times New Roman" w:hAnsi="Times New Roman"/>
                <w:sz w:val="18"/>
                <w:szCs w:val="18"/>
              </w:rPr>
              <w:t>有色金属冶炼和压延加工业</w:t>
            </w:r>
          </w:p>
        </w:tc>
        <w:tc>
          <w:tcPr>
            <w:tcW w:w="715" w:type="pct"/>
            <w:vAlign w:val="center"/>
          </w:tcPr>
          <w:p>
            <w:pPr>
              <w:widowControl/>
              <w:adjustRightInd w:val="0"/>
              <w:snapToGrid w:val="0"/>
              <w:jc w:val="center"/>
              <w:rPr>
                <w:rFonts w:ascii="Times New Roman" w:hAnsi="Times New Roman"/>
                <w:sz w:val="18"/>
                <w:szCs w:val="18"/>
              </w:rPr>
            </w:pPr>
            <w:r>
              <w:rPr>
                <w:rFonts w:ascii="Times New Roman" w:hAnsi="Times New Roman"/>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6"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7</w:t>
            </w:r>
          </w:p>
        </w:tc>
        <w:tc>
          <w:tcPr>
            <w:tcW w:w="1508" w:type="pct"/>
            <w:vAlign w:val="center"/>
          </w:tcPr>
          <w:p>
            <w:pPr>
              <w:widowControl/>
              <w:adjustRightInd w:val="0"/>
              <w:snapToGrid w:val="0"/>
              <w:rPr>
                <w:rFonts w:ascii="Times New Roman" w:hAnsi="Times New Roman"/>
                <w:color w:val="000000"/>
                <w:kern w:val="0"/>
                <w:sz w:val="18"/>
                <w:szCs w:val="18"/>
              </w:rPr>
            </w:pPr>
            <w:r>
              <w:rPr>
                <w:rFonts w:ascii="Times New Roman" w:hAnsi="Times New Roman"/>
                <w:sz w:val="18"/>
                <w:szCs w:val="18"/>
              </w:rPr>
              <w:t>家具制造业</w:t>
            </w:r>
          </w:p>
        </w:tc>
        <w:tc>
          <w:tcPr>
            <w:tcW w:w="719" w:type="pct"/>
            <w:noWrap/>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sz w:val="18"/>
                <w:szCs w:val="18"/>
              </w:rPr>
              <w:t>6.1</w:t>
            </w:r>
          </w:p>
        </w:tc>
        <w:tc>
          <w:tcPr>
            <w:tcW w:w="274"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2</w:t>
            </w:r>
            <w:r>
              <w:rPr>
                <w:rFonts w:ascii="Times New Roman" w:hAnsi="Times New Roman"/>
                <w:sz w:val="18"/>
                <w:szCs w:val="18"/>
              </w:rPr>
              <w:t>6</w:t>
            </w:r>
          </w:p>
        </w:tc>
        <w:tc>
          <w:tcPr>
            <w:tcW w:w="1508" w:type="pct"/>
            <w:vAlign w:val="center"/>
          </w:tcPr>
          <w:p>
            <w:pPr>
              <w:widowControl/>
              <w:adjustRightInd w:val="0"/>
              <w:snapToGrid w:val="0"/>
              <w:rPr>
                <w:rFonts w:ascii="Times New Roman" w:hAnsi="Times New Roman"/>
                <w:sz w:val="18"/>
                <w:szCs w:val="18"/>
              </w:rPr>
            </w:pPr>
            <w:r>
              <w:rPr>
                <w:rFonts w:ascii="Times New Roman" w:hAnsi="Times New Roman"/>
                <w:sz w:val="18"/>
                <w:szCs w:val="18"/>
              </w:rPr>
              <w:t>铁路、船舶、航空航天和其他运输设备制造业</w:t>
            </w:r>
          </w:p>
        </w:tc>
        <w:tc>
          <w:tcPr>
            <w:tcW w:w="715" w:type="pct"/>
            <w:vAlign w:val="center"/>
          </w:tcPr>
          <w:p>
            <w:pPr>
              <w:widowControl/>
              <w:adjustRightInd w:val="0"/>
              <w:snapToGrid w:val="0"/>
              <w:jc w:val="center"/>
              <w:rPr>
                <w:rFonts w:ascii="Times New Roman" w:hAnsi="Times New Roman"/>
                <w:sz w:val="18"/>
                <w:szCs w:val="18"/>
              </w:rPr>
            </w:pPr>
            <w:r>
              <w:rPr>
                <w:rFonts w:ascii="Times New Roman" w:hAnsi="Times New Roman"/>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6"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8</w:t>
            </w:r>
          </w:p>
        </w:tc>
        <w:tc>
          <w:tcPr>
            <w:tcW w:w="1508" w:type="pct"/>
            <w:vAlign w:val="center"/>
          </w:tcPr>
          <w:p>
            <w:pPr>
              <w:widowControl/>
              <w:adjustRightInd w:val="0"/>
              <w:snapToGrid w:val="0"/>
              <w:rPr>
                <w:rFonts w:ascii="Times New Roman" w:hAnsi="Times New Roman"/>
                <w:color w:val="000000"/>
                <w:kern w:val="0"/>
                <w:sz w:val="18"/>
                <w:szCs w:val="18"/>
              </w:rPr>
            </w:pPr>
            <w:r>
              <w:rPr>
                <w:rFonts w:ascii="Times New Roman" w:hAnsi="Times New Roman"/>
                <w:sz w:val="18"/>
                <w:szCs w:val="18"/>
              </w:rPr>
              <w:t>造纸和纸制品业</w:t>
            </w:r>
          </w:p>
        </w:tc>
        <w:tc>
          <w:tcPr>
            <w:tcW w:w="719" w:type="pct"/>
            <w:noWrap/>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sz w:val="18"/>
                <w:szCs w:val="18"/>
              </w:rPr>
              <w:t>5.0</w:t>
            </w:r>
          </w:p>
        </w:tc>
        <w:tc>
          <w:tcPr>
            <w:tcW w:w="274"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2</w:t>
            </w:r>
            <w:r>
              <w:rPr>
                <w:rFonts w:ascii="Times New Roman" w:hAnsi="Times New Roman"/>
                <w:sz w:val="18"/>
                <w:szCs w:val="18"/>
              </w:rPr>
              <w:t>7</w:t>
            </w:r>
          </w:p>
        </w:tc>
        <w:tc>
          <w:tcPr>
            <w:tcW w:w="1508" w:type="pct"/>
            <w:vAlign w:val="center"/>
          </w:tcPr>
          <w:p>
            <w:pPr>
              <w:widowControl/>
              <w:adjustRightInd w:val="0"/>
              <w:snapToGrid w:val="0"/>
              <w:rPr>
                <w:rFonts w:ascii="Times New Roman" w:hAnsi="Times New Roman"/>
                <w:sz w:val="18"/>
                <w:szCs w:val="18"/>
              </w:rPr>
            </w:pPr>
            <w:r>
              <w:rPr>
                <w:rFonts w:ascii="Times New Roman" w:hAnsi="Times New Roman"/>
                <w:sz w:val="18"/>
                <w:szCs w:val="18"/>
              </w:rPr>
              <w:t>医药制造业</w:t>
            </w:r>
          </w:p>
        </w:tc>
        <w:tc>
          <w:tcPr>
            <w:tcW w:w="715" w:type="pct"/>
            <w:vAlign w:val="center"/>
          </w:tcPr>
          <w:p>
            <w:pPr>
              <w:widowControl/>
              <w:adjustRightInd w:val="0"/>
              <w:snapToGrid w:val="0"/>
              <w:jc w:val="center"/>
              <w:rPr>
                <w:rFonts w:ascii="Times New Roman" w:hAnsi="Times New Roman"/>
                <w:sz w:val="18"/>
                <w:szCs w:val="18"/>
              </w:rPr>
            </w:pPr>
            <w:r>
              <w:rPr>
                <w:rFonts w:ascii="Times New Roman" w:hAnsi="Times New Roman"/>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6"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9</w:t>
            </w:r>
          </w:p>
        </w:tc>
        <w:tc>
          <w:tcPr>
            <w:tcW w:w="1508" w:type="pct"/>
            <w:vAlign w:val="center"/>
          </w:tcPr>
          <w:p>
            <w:pPr>
              <w:widowControl/>
              <w:adjustRightInd w:val="0"/>
              <w:snapToGrid w:val="0"/>
              <w:rPr>
                <w:rFonts w:ascii="Times New Roman" w:hAnsi="Times New Roman"/>
                <w:color w:val="000000"/>
                <w:kern w:val="0"/>
                <w:sz w:val="18"/>
                <w:szCs w:val="18"/>
              </w:rPr>
            </w:pPr>
            <w:r>
              <w:rPr>
                <w:rFonts w:ascii="Times New Roman" w:hAnsi="Times New Roman"/>
                <w:sz w:val="18"/>
                <w:szCs w:val="18"/>
              </w:rPr>
              <w:t>非金属矿物制品业</w:t>
            </w:r>
          </w:p>
        </w:tc>
        <w:tc>
          <w:tcPr>
            <w:tcW w:w="719" w:type="pct"/>
            <w:noWrap/>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sz w:val="18"/>
                <w:szCs w:val="18"/>
              </w:rPr>
              <w:t>4.6</w:t>
            </w:r>
          </w:p>
        </w:tc>
        <w:tc>
          <w:tcPr>
            <w:tcW w:w="274"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2</w:t>
            </w:r>
            <w:r>
              <w:rPr>
                <w:rFonts w:ascii="Times New Roman" w:hAnsi="Times New Roman"/>
                <w:sz w:val="18"/>
                <w:szCs w:val="18"/>
              </w:rPr>
              <w:t>8</w:t>
            </w:r>
          </w:p>
        </w:tc>
        <w:tc>
          <w:tcPr>
            <w:tcW w:w="1508" w:type="pct"/>
            <w:vAlign w:val="center"/>
          </w:tcPr>
          <w:p>
            <w:pPr>
              <w:widowControl/>
              <w:adjustRightInd w:val="0"/>
              <w:snapToGrid w:val="0"/>
              <w:rPr>
                <w:rFonts w:ascii="Times New Roman" w:hAnsi="Times New Roman"/>
                <w:sz w:val="18"/>
                <w:szCs w:val="18"/>
              </w:rPr>
            </w:pPr>
            <w:r>
              <w:rPr>
                <w:rFonts w:ascii="Times New Roman" w:hAnsi="Times New Roman"/>
                <w:sz w:val="18"/>
                <w:szCs w:val="18"/>
              </w:rPr>
              <w:t>废弃资源综合利用业</w:t>
            </w:r>
          </w:p>
        </w:tc>
        <w:tc>
          <w:tcPr>
            <w:tcW w:w="715" w:type="pct"/>
            <w:vAlign w:val="center"/>
          </w:tcPr>
          <w:p>
            <w:pPr>
              <w:widowControl/>
              <w:adjustRightInd w:val="0"/>
              <w:snapToGrid w:val="0"/>
              <w:jc w:val="center"/>
              <w:rPr>
                <w:rFonts w:ascii="Times New Roman" w:hAnsi="Times New Roman"/>
                <w:sz w:val="18"/>
                <w:szCs w:val="18"/>
              </w:rPr>
            </w:pPr>
            <w:r>
              <w:rPr>
                <w:rFonts w:ascii="Times New Roman" w:hAnsi="Times New Roman"/>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6"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1</w:t>
            </w:r>
            <w:r>
              <w:rPr>
                <w:rFonts w:ascii="Times New Roman" w:hAnsi="Times New Roman"/>
                <w:sz w:val="18"/>
                <w:szCs w:val="18"/>
              </w:rPr>
              <w:t>0</w:t>
            </w:r>
          </w:p>
        </w:tc>
        <w:tc>
          <w:tcPr>
            <w:tcW w:w="1508" w:type="pct"/>
            <w:vAlign w:val="center"/>
          </w:tcPr>
          <w:p>
            <w:pPr>
              <w:widowControl/>
              <w:adjustRightInd w:val="0"/>
              <w:snapToGrid w:val="0"/>
              <w:rPr>
                <w:rFonts w:ascii="Times New Roman" w:hAnsi="Times New Roman"/>
                <w:color w:val="000000"/>
                <w:kern w:val="0"/>
                <w:sz w:val="18"/>
                <w:szCs w:val="18"/>
              </w:rPr>
            </w:pPr>
            <w:r>
              <w:rPr>
                <w:rFonts w:ascii="Times New Roman" w:hAnsi="Times New Roman"/>
                <w:sz w:val="18"/>
                <w:szCs w:val="18"/>
              </w:rPr>
              <w:t>专用设备制造业</w:t>
            </w:r>
          </w:p>
        </w:tc>
        <w:tc>
          <w:tcPr>
            <w:tcW w:w="719" w:type="pct"/>
            <w:noWrap/>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sz w:val="18"/>
                <w:szCs w:val="18"/>
              </w:rPr>
              <w:t>3.7</w:t>
            </w:r>
          </w:p>
        </w:tc>
        <w:tc>
          <w:tcPr>
            <w:tcW w:w="274"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2</w:t>
            </w:r>
            <w:r>
              <w:rPr>
                <w:rFonts w:ascii="Times New Roman" w:hAnsi="Times New Roman"/>
                <w:sz w:val="18"/>
                <w:szCs w:val="18"/>
              </w:rPr>
              <w:t>9</w:t>
            </w:r>
          </w:p>
        </w:tc>
        <w:tc>
          <w:tcPr>
            <w:tcW w:w="1508" w:type="pct"/>
            <w:vAlign w:val="center"/>
          </w:tcPr>
          <w:p>
            <w:pPr>
              <w:widowControl/>
              <w:adjustRightInd w:val="0"/>
              <w:snapToGrid w:val="0"/>
              <w:rPr>
                <w:rFonts w:ascii="Times New Roman" w:hAnsi="Times New Roman"/>
                <w:sz w:val="18"/>
                <w:szCs w:val="18"/>
              </w:rPr>
            </w:pPr>
            <w:r>
              <w:rPr>
                <w:rFonts w:ascii="Times New Roman" w:hAnsi="Times New Roman"/>
                <w:sz w:val="18"/>
                <w:szCs w:val="18"/>
              </w:rPr>
              <w:t>黑色金属冶炼和压延加工业</w:t>
            </w:r>
          </w:p>
        </w:tc>
        <w:tc>
          <w:tcPr>
            <w:tcW w:w="715" w:type="pct"/>
            <w:vAlign w:val="center"/>
          </w:tcPr>
          <w:p>
            <w:pPr>
              <w:widowControl/>
              <w:adjustRightInd w:val="0"/>
              <w:snapToGrid w:val="0"/>
              <w:jc w:val="center"/>
              <w:rPr>
                <w:rFonts w:ascii="Times New Roman" w:hAnsi="Times New Roman"/>
                <w:sz w:val="18"/>
                <w:szCs w:val="18"/>
              </w:rPr>
            </w:pPr>
            <w:r>
              <w:rPr>
                <w:rFonts w:ascii="Times New Roman" w:hAnsi="Times New Roman"/>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6"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1</w:t>
            </w:r>
            <w:r>
              <w:rPr>
                <w:rFonts w:ascii="Times New Roman" w:hAnsi="Times New Roman"/>
                <w:sz w:val="18"/>
                <w:szCs w:val="18"/>
              </w:rPr>
              <w:t>1</w:t>
            </w:r>
          </w:p>
        </w:tc>
        <w:tc>
          <w:tcPr>
            <w:tcW w:w="1508" w:type="pct"/>
            <w:vAlign w:val="center"/>
          </w:tcPr>
          <w:p>
            <w:pPr>
              <w:widowControl/>
              <w:adjustRightInd w:val="0"/>
              <w:snapToGrid w:val="0"/>
              <w:rPr>
                <w:rFonts w:ascii="Times New Roman" w:hAnsi="Times New Roman"/>
                <w:color w:val="000000"/>
                <w:kern w:val="0"/>
                <w:sz w:val="18"/>
                <w:szCs w:val="18"/>
              </w:rPr>
            </w:pPr>
            <w:r>
              <w:rPr>
                <w:rFonts w:ascii="Times New Roman" w:hAnsi="Times New Roman"/>
                <w:sz w:val="18"/>
                <w:szCs w:val="18"/>
              </w:rPr>
              <w:t>文教、工美、体育和娱乐用品制造业</w:t>
            </w:r>
          </w:p>
        </w:tc>
        <w:tc>
          <w:tcPr>
            <w:tcW w:w="719" w:type="pct"/>
            <w:noWrap/>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sz w:val="18"/>
                <w:szCs w:val="18"/>
              </w:rPr>
              <w:t>3.5</w:t>
            </w:r>
          </w:p>
        </w:tc>
        <w:tc>
          <w:tcPr>
            <w:tcW w:w="274"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3</w:t>
            </w:r>
            <w:r>
              <w:rPr>
                <w:rFonts w:ascii="Times New Roman" w:hAnsi="Times New Roman"/>
                <w:sz w:val="18"/>
                <w:szCs w:val="18"/>
              </w:rPr>
              <w:t>0</w:t>
            </w:r>
          </w:p>
        </w:tc>
        <w:tc>
          <w:tcPr>
            <w:tcW w:w="1508" w:type="pct"/>
            <w:vAlign w:val="center"/>
          </w:tcPr>
          <w:p>
            <w:pPr>
              <w:widowControl/>
              <w:adjustRightInd w:val="0"/>
              <w:snapToGrid w:val="0"/>
              <w:rPr>
                <w:rFonts w:ascii="Times New Roman" w:hAnsi="Times New Roman"/>
                <w:sz w:val="18"/>
                <w:szCs w:val="18"/>
              </w:rPr>
            </w:pPr>
            <w:r>
              <w:rPr>
                <w:rFonts w:ascii="Times New Roman" w:hAnsi="Times New Roman"/>
                <w:sz w:val="18"/>
                <w:szCs w:val="18"/>
              </w:rPr>
              <w:t>石油、煤炭及其他燃料加工业</w:t>
            </w:r>
          </w:p>
        </w:tc>
        <w:tc>
          <w:tcPr>
            <w:tcW w:w="715" w:type="pct"/>
            <w:vAlign w:val="center"/>
          </w:tcPr>
          <w:p>
            <w:pPr>
              <w:widowControl/>
              <w:adjustRightInd w:val="0"/>
              <w:snapToGrid w:val="0"/>
              <w:jc w:val="center"/>
              <w:rPr>
                <w:rFonts w:ascii="Times New Roman" w:hAnsi="Times New Roman"/>
                <w:sz w:val="18"/>
                <w:szCs w:val="18"/>
              </w:rPr>
            </w:pPr>
            <w:r>
              <w:rPr>
                <w:rFonts w:ascii="Times New Roman" w:hAnsi="Times New Roman"/>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6"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1</w:t>
            </w:r>
            <w:r>
              <w:rPr>
                <w:rFonts w:ascii="Times New Roman" w:hAnsi="Times New Roman"/>
                <w:sz w:val="18"/>
                <w:szCs w:val="18"/>
              </w:rPr>
              <w:t>2</w:t>
            </w:r>
          </w:p>
        </w:tc>
        <w:tc>
          <w:tcPr>
            <w:tcW w:w="1508" w:type="pct"/>
            <w:vAlign w:val="center"/>
          </w:tcPr>
          <w:p>
            <w:pPr>
              <w:widowControl/>
              <w:adjustRightInd w:val="0"/>
              <w:snapToGrid w:val="0"/>
              <w:rPr>
                <w:rFonts w:ascii="Times New Roman" w:hAnsi="Times New Roman"/>
                <w:color w:val="000000"/>
                <w:kern w:val="0"/>
                <w:sz w:val="18"/>
                <w:szCs w:val="18"/>
              </w:rPr>
            </w:pPr>
            <w:r>
              <w:rPr>
                <w:rFonts w:ascii="Times New Roman" w:hAnsi="Times New Roman"/>
                <w:sz w:val="18"/>
                <w:szCs w:val="18"/>
              </w:rPr>
              <w:t>化学原料和化学制品制造业</w:t>
            </w:r>
          </w:p>
        </w:tc>
        <w:tc>
          <w:tcPr>
            <w:tcW w:w="719" w:type="pct"/>
            <w:noWrap/>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sz w:val="18"/>
                <w:szCs w:val="18"/>
              </w:rPr>
              <w:t>3.4</w:t>
            </w:r>
          </w:p>
        </w:tc>
        <w:tc>
          <w:tcPr>
            <w:tcW w:w="274"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3</w:t>
            </w:r>
            <w:r>
              <w:rPr>
                <w:rFonts w:ascii="Times New Roman" w:hAnsi="Times New Roman"/>
                <w:sz w:val="18"/>
                <w:szCs w:val="18"/>
              </w:rPr>
              <w:t>1</w:t>
            </w:r>
          </w:p>
        </w:tc>
        <w:tc>
          <w:tcPr>
            <w:tcW w:w="1508" w:type="pct"/>
            <w:vAlign w:val="center"/>
          </w:tcPr>
          <w:p>
            <w:pPr>
              <w:widowControl/>
              <w:adjustRightInd w:val="0"/>
              <w:snapToGrid w:val="0"/>
              <w:rPr>
                <w:rFonts w:ascii="Times New Roman" w:hAnsi="Times New Roman"/>
                <w:sz w:val="18"/>
                <w:szCs w:val="18"/>
              </w:rPr>
            </w:pPr>
            <w:r>
              <w:rPr>
                <w:rFonts w:ascii="Times New Roman" w:hAnsi="Times New Roman"/>
                <w:sz w:val="18"/>
                <w:szCs w:val="18"/>
              </w:rPr>
              <w:t>电力、热力生产和供应业</w:t>
            </w:r>
          </w:p>
        </w:tc>
        <w:tc>
          <w:tcPr>
            <w:tcW w:w="715" w:type="pct"/>
            <w:vAlign w:val="center"/>
          </w:tcPr>
          <w:p>
            <w:pPr>
              <w:widowControl/>
              <w:adjustRightInd w:val="0"/>
              <w:snapToGrid w:val="0"/>
              <w:jc w:val="center"/>
              <w:rPr>
                <w:rFonts w:ascii="Times New Roman" w:hAnsi="Times New Roman"/>
                <w:sz w:val="18"/>
                <w:szCs w:val="18"/>
              </w:rPr>
            </w:pPr>
            <w:r>
              <w:rPr>
                <w:rFonts w:ascii="Times New Roman" w:hAnsi="Times New Roman"/>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6"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1</w:t>
            </w:r>
            <w:r>
              <w:rPr>
                <w:rFonts w:ascii="Times New Roman" w:hAnsi="Times New Roman"/>
                <w:sz w:val="18"/>
                <w:szCs w:val="18"/>
              </w:rPr>
              <w:t>3</w:t>
            </w:r>
          </w:p>
        </w:tc>
        <w:tc>
          <w:tcPr>
            <w:tcW w:w="1508" w:type="pct"/>
            <w:vAlign w:val="center"/>
          </w:tcPr>
          <w:p>
            <w:pPr>
              <w:widowControl/>
              <w:adjustRightInd w:val="0"/>
              <w:snapToGrid w:val="0"/>
              <w:rPr>
                <w:rFonts w:ascii="Times New Roman" w:hAnsi="Times New Roman"/>
                <w:color w:val="000000"/>
                <w:kern w:val="0"/>
                <w:sz w:val="18"/>
                <w:szCs w:val="18"/>
              </w:rPr>
            </w:pPr>
            <w:r>
              <w:rPr>
                <w:rFonts w:ascii="Times New Roman" w:hAnsi="Times New Roman"/>
                <w:sz w:val="18"/>
                <w:szCs w:val="18"/>
              </w:rPr>
              <w:t>通用设备制造业</w:t>
            </w:r>
          </w:p>
        </w:tc>
        <w:tc>
          <w:tcPr>
            <w:tcW w:w="719" w:type="pct"/>
            <w:noWrap/>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sz w:val="18"/>
                <w:szCs w:val="18"/>
              </w:rPr>
              <w:t>3.0</w:t>
            </w:r>
          </w:p>
        </w:tc>
        <w:tc>
          <w:tcPr>
            <w:tcW w:w="274"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3</w:t>
            </w:r>
            <w:r>
              <w:rPr>
                <w:rFonts w:ascii="Times New Roman" w:hAnsi="Times New Roman"/>
                <w:sz w:val="18"/>
                <w:szCs w:val="18"/>
              </w:rPr>
              <w:t>2</w:t>
            </w:r>
          </w:p>
        </w:tc>
        <w:tc>
          <w:tcPr>
            <w:tcW w:w="1508" w:type="pct"/>
            <w:vAlign w:val="center"/>
          </w:tcPr>
          <w:p>
            <w:pPr>
              <w:widowControl/>
              <w:adjustRightInd w:val="0"/>
              <w:snapToGrid w:val="0"/>
              <w:rPr>
                <w:rFonts w:ascii="Times New Roman" w:hAnsi="Times New Roman"/>
                <w:sz w:val="18"/>
                <w:szCs w:val="18"/>
              </w:rPr>
            </w:pPr>
            <w:r>
              <w:rPr>
                <w:rFonts w:ascii="Times New Roman" w:hAnsi="Times New Roman"/>
                <w:sz w:val="18"/>
                <w:szCs w:val="18"/>
              </w:rPr>
              <w:t>化学纤维制造业</w:t>
            </w:r>
          </w:p>
        </w:tc>
        <w:tc>
          <w:tcPr>
            <w:tcW w:w="715" w:type="pct"/>
            <w:vAlign w:val="center"/>
          </w:tcPr>
          <w:p>
            <w:pPr>
              <w:widowControl/>
              <w:adjustRightInd w:val="0"/>
              <w:snapToGrid w:val="0"/>
              <w:jc w:val="center"/>
              <w:rPr>
                <w:rFonts w:ascii="Times New Roman" w:hAnsi="Times New Roman"/>
                <w:sz w:val="18"/>
                <w:szCs w:val="18"/>
              </w:rPr>
            </w:pPr>
            <w:r>
              <w:rPr>
                <w:rFonts w:ascii="Times New Roman" w:hAnsi="Times New Roman"/>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6"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1</w:t>
            </w:r>
            <w:r>
              <w:rPr>
                <w:rFonts w:ascii="Times New Roman" w:hAnsi="Times New Roman"/>
                <w:sz w:val="18"/>
                <w:szCs w:val="18"/>
              </w:rPr>
              <w:t>4</w:t>
            </w:r>
          </w:p>
        </w:tc>
        <w:tc>
          <w:tcPr>
            <w:tcW w:w="1508" w:type="pct"/>
            <w:vAlign w:val="center"/>
          </w:tcPr>
          <w:p>
            <w:pPr>
              <w:widowControl/>
              <w:adjustRightInd w:val="0"/>
              <w:snapToGrid w:val="0"/>
              <w:rPr>
                <w:rFonts w:ascii="Times New Roman" w:hAnsi="Times New Roman"/>
                <w:color w:val="000000"/>
                <w:kern w:val="0"/>
                <w:sz w:val="18"/>
                <w:szCs w:val="18"/>
              </w:rPr>
            </w:pPr>
            <w:r>
              <w:rPr>
                <w:rFonts w:ascii="Times New Roman" w:hAnsi="Times New Roman"/>
                <w:sz w:val="18"/>
                <w:szCs w:val="18"/>
              </w:rPr>
              <w:t>木材加工和木、竹、藤、棕、草制品业</w:t>
            </w:r>
          </w:p>
        </w:tc>
        <w:tc>
          <w:tcPr>
            <w:tcW w:w="719" w:type="pct"/>
            <w:noWrap/>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sz w:val="18"/>
                <w:szCs w:val="18"/>
              </w:rPr>
              <w:t>2.0</w:t>
            </w:r>
          </w:p>
        </w:tc>
        <w:tc>
          <w:tcPr>
            <w:tcW w:w="274"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3</w:t>
            </w:r>
            <w:r>
              <w:rPr>
                <w:rFonts w:ascii="Times New Roman" w:hAnsi="Times New Roman"/>
                <w:sz w:val="18"/>
                <w:szCs w:val="18"/>
              </w:rPr>
              <w:t>3</w:t>
            </w:r>
          </w:p>
        </w:tc>
        <w:tc>
          <w:tcPr>
            <w:tcW w:w="1508" w:type="pct"/>
            <w:vAlign w:val="center"/>
          </w:tcPr>
          <w:p>
            <w:pPr>
              <w:widowControl/>
              <w:adjustRightInd w:val="0"/>
              <w:snapToGrid w:val="0"/>
              <w:rPr>
                <w:rFonts w:ascii="Times New Roman" w:hAnsi="Times New Roman"/>
                <w:sz w:val="18"/>
                <w:szCs w:val="18"/>
              </w:rPr>
            </w:pPr>
            <w:r>
              <w:rPr>
                <w:rFonts w:ascii="Times New Roman" w:hAnsi="Times New Roman"/>
                <w:sz w:val="18"/>
                <w:szCs w:val="18"/>
              </w:rPr>
              <w:t>有色金属矿采选业</w:t>
            </w:r>
          </w:p>
        </w:tc>
        <w:tc>
          <w:tcPr>
            <w:tcW w:w="715" w:type="pct"/>
            <w:vAlign w:val="center"/>
          </w:tcPr>
          <w:p>
            <w:pPr>
              <w:widowControl/>
              <w:adjustRightInd w:val="0"/>
              <w:snapToGrid w:val="0"/>
              <w:jc w:val="center"/>
              <w:rPr>
                <w:rFonts w:ascii="Times New Roman" w:hAnsi="Times New Roman"/>
                <w:sz w:val="18"/>
                <w:szCs w:val="18"/>
              </w:rPr>
            </w:pPr>
            <w:r>
              <w:rPr>
                <w:rFonts w:ascii="Times New Roman" w:hAnsi="Times New Roman"/>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6"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1</w:t>
            </w:r>
            <w:r>
              <w:rPr>
                <w:rFonts w:ascii="Times New Roman" w:hAnsi="Times New Roman"/>
                <w:sz w:val="18"/>
                <w:szCs w:val="18"/>
              </w:rPr>
              <w:t>5</w:t>
            </w:r>
          </w:p>
        </w:tc>
        <w:tc>
          <w:tcPr>
            <w:tcW w:w="1508" w:type="pct"/>
            <w:vAlign w:val="center"/>
          </w:tcPr>
          <w:p>
            <w:pPr>
              <w:widowControl/>
              <w:adjustRightInd w:val="0"/>
              <w:snapToGrid w:val="0"/>
              <w:rPr>
                <w:rFonts w:ascii="Times New Roman" w:hAnsi="Times New Roman"/>
                <w:color w:val="000000"/>
                <w:kern w:val="0"/>
                <w:sz w:val="18"/>
                <w:szCs w:val="18"/>
              </w:rPr>
            </w:pPr>
            <w:r>
              <w:rPr>
                <w:rFonts w:ascii="Times New Roman" w:hAnsi="Times New Roman"/>
                <w:sz w:val="18"/>
                <w:szCs w:val="18"/>
              </w:rPr>
              <w:t>纺织业</w:t>
            </w:r>
          </w:p>
        </w:tc>
        <w:tc>
          <w:tcPr>
            <w:tcW w:w="719" w:type="pct"/>
            <w:noWrap/>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sz w:val="18"/>
                <w:szCs w:val="18"/>
              </w:rPr>
              <w:t>1.25</w:t>
            </w:r>
          </w:p>
        </w:tc>
        <w:tc>
          <w:tcPr>
            <w:tcW w:w="274"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3</w:t>
            </w:r>
            <w:r>
              <w:rPr>
                <w:rFonts w:ascii="Times New Roman" w:hAnsi="Times New Roman"/>
                <w:sz w:val="18"/>
                <w:szCs w:val="18"/>
              </w:rPr>
              <w:t>4</w:t>
            </w:r>
          </w:p>
        </w:tc>
        <w:tc>
          <w:tcPr>
            <w:tcW w:w="1508" w:type="pct"/>
            <w:vAlign w:val="center"/>
          </w:tcPr>
          <w:p>
            <w:pPr>
              <w:widowControl/>
              <w:adjustRightInd w:val="0"/>
              <w:snapToGrid w:val="0"/>
              <w:rPr>
                <w:rFonts w:ascii="Times New Roman" w:hAnsi="Times New Roman"/>
                <w:sz w:val="18"/>
                <w:szCs w:val="18"/>
              </w:rPr>
            </w:pPr>
            <w:r>
              <w:rPr>
                <w:rFonts w:ascii="Times New Roman" w:hAnsi="Times New Roman"/>
                <w:sz w:val="18"/>
                <w:szCs w:val="18"/>
              </w:rPr>
              <w:t>黑色金属矿采选业</w:t>
            </w:r>
          </w:p>
        </w:tc>
        <w:tc>
          <w:tcPr>
            <w:tcW w:w="715" w:type="pct"/>
            <w:vAlign w:val="center"/>
          </w:tcPr>
          <w:p>
            <w:pPr>
              <w:widowControl/>
              <w:adjustRightInd w:val="0"/>
              <w:snapToGrid w:val="0"/>
              <w:jc w:val="center"/>
              <w:rPr>
                <w:rFonts w:ascii="Times New Roman" w:hAnsi="Times New Roman"/>
                <w:sz w:val="18"/>
                <w:szCs w:val="18"/>
              </w:rPr>
            </w:pPr>
            <w:r>
              <w:rPr>
                <w:rFonts w:ascii="Times New Roman" w:hAnsi="Times New Roman"/>
                <w:sz w:val="18"/>
                <w:szCs w:val="18"/>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6"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1</w:t>
            </w:r>
            <w:r>
              <w:rPr>
                <w:rFonts w:ascii="Times New Roman" w:hAnsi="Times New Roman"/>
                <w:sz w:val="18"/>
                <w:szCs w:val="18"/>
              </w:rPr>
              <w:t>6</w:t>
            </w:r>
          </w:p>
        </w:tc>
        <w:tc>
          <w:tcPr>
            <w:tcW w:w="1508" w:type="pct"/>
            <w:vAlign w:val="center"/>
          </w:tcPr>
          <w:p>
            <w:pPr>
              <w:widowControl/>
              <w:adjustRightInd w:val="0"/>
              <w:snapToGrid w:val="0"/>
              <w:rPr>
                <w:rFonts w:ascii="Times New Roman" w:hAnsi="Times New Roman"/>
                <w:color w:val="000000"/>
                <w:kern w:val="0"/>
                <w:sz w:val="18"/>
                <w:szCs w:val="18"/>
              </w:rPr>
            </w:pPr>
            <w:r>
              <w:rPr>
                <w:rFonts w:ascii="Times New Roman" w:hAnsi="Times New Roman"/>
                <w:sz w:val="18"/>
                <w:szCs w:val="18"/>
              </w:rPr>
              <w:t>农副食品加工业</w:t>
            </w:r>
          </w:p>
        </w:tc>
        <w:tc>
          <w:tcPr>
            <w:tcW w:w="719" w:type="pct"/>
            <w:noWrap/>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sz w:val="18"/>
                <w:szCs w:val="18"/>
              </w:rPr>
              <w:t>1.09</w:t>
            </w:r>
          </w:p>
        </w:tc>
        <w:tc>
          <w:tcPr>
            <w:tcW w:w="274"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3</w:t>
            </w:r>
            <w:r>
              <w:rPr>
                <w:rFonts w:ascii="Times New Roman" w:hAnsi="Times New Roman"/>
                <w:sz w:val="18"/>
                <w:szCs w:val="18"/>
              </w:rPr>
              <w:t>5</w:t>
            </w:r>
          </w:p>
        </w:tc>
        <w:tc>
          <w:tcPr>
            <w:tcW w:w="1508" w:type="pct"/>
            <w:vAlign w:val="center"/>
          </w:tcPr>
          <w:p>
            <w:pPr>
              <w:widowControl/>
              <w:adjustRightInd w:val="0"/>
              <w:snapToGrid w:val="0"/>
              <w:rPr>
                <w:rFonts w:ascii="Times New Roman" w:hAnsi="Times New Roman"/>
                <w:sz w:val="18"/>
                <w:szCs w:val="18"/>
              </w:rPr>
            </w:pPr>
            <w:r>
              <w:rPr>
                <w:rFonts w:ascii="Times New Roman" w:hAnsi="Times New Roman"/>
                <w:sz w:val="18"/>
                <w:szCs w:val="18"/>
              </w:rPr>
              <w:t>水的生产和供应业</w:t>
            </w:r>
          </w:p>
        </w:tc>
        <w:tc>
          <w:tcPr>
            <w:tcW w:w="715" w:type="pct"/>
            <w:vAlign w:val="center"/>
          </w:tcPr>
          <w:p>
            <w:pPr>
              <w:widowControl/>
              <w:adjustRightInd w:val="0"/>
              <w:snapToGrid w:val="0"/>
              <w:jc w:val="center"/>
              <w:rPr>
                <w:rFonts w:ascii="Times New Roman" w:hAnsi="Times New Roman"/>
                <w:sz w:val="18"/>
                <w:szCs w:val="18"/>
              </w:rPr>
            </w:pPr>
            <w:r>
              <w:rPr>
                <w:rFonts w:ascii="Times New Roman" w:hAnsi="Times New Roman"/>
                <w:sz w:val="18"/>
                <w:szCs w:val="18"/>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6"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1</w:t>
            </w:r>
            <w:r>
              <w:rPr>
                <w:rFonts w:ascii="Times New Roman" w:hAnsi="Times New Roman"/>
                <w:sz w:val="18"/>
                <w:szCs w:val="18"/>
              </w:rPr>
              <w:t>7</w:t>
            </w:r>
          </w:p>
        </w:tc>
        <w:tc>
          <w:tcPr>
            <w:tcW w:w="1508" w:type="pct"/>
            <w:vAlign w:val="center"/>
          </w:tcPr>
          <w:p>
            <w:pPr>
              <w:widowControl/>
              <w:adjustRightInd w:val="0"/>
              <w:snapToGrid w:val="0"/>
              <w:rPr>
                <w:rFonts w:ascii="Times New Roman" w:hAnsi="Times New Roman"/>
                <w:color w:val="000000"/>
                <w:kern w:val="0"/>
                <w:sz w:val="18"/>
                <w:szCs w:val="18"/>
              </w:rPr>
            </w:pPr>
            <w:r>
              <w:rPr>
                <w:rFonts w:ascii="Times New Roman" w:hAnsi="Times New Roman"/>
                <w:sz w:val="18"/>
                <w:szCs w:val="18"/>
              </w:rPr>
              <w:t>纺织服装、服饰业</w:t>
            </w:r>
          </w:p>
        </w:tc>
        <w:tc>
          <w:tcPr>
            <w:tcW w:w="719" w:type="pct"/>
            <w:noWrap/>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sz w:val="18"/>
                <w:szCs w:val="18"/>
              </w:rPr>
              <w:t>0.92</w:t>
            </w:r>
          </w:p>
        </w:tc>
        <w:tc>
          <w:tcPr>
            <w:tcW w:w="274"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3</w:t>
            </w:r>
            <w:r>
              <w:rPr>
                <w:rFonts w:ascii="Times New Roman" w:hAnsi="Times New Roman"/>
                <w:sz w:val="18"/>
                <w:szCs w:val="18"/>
              </w:rPr>
              <w:t>6</w:t>
            </w:r>
          </w:p>
        </w:tc>
        <w:tc>
          <w:tcPr>
            <w:tcW w:w="1508" w:type="pct"/>
            <w:vAlign w:val="center"/>
          </w:tcPr>
          <w:p>
            <w:pPr>
              <w:widowControl/>
              <w:adjustRightInd w:val="0"/>
              <w:snapToGrid w:val="0"/>
              <w:rPr>
                <w:rFonts w:ascii="Times New Roman" w:hAnsi="Times New Roman"/>
                <w:sz w:val="18"/>
                <w:szCs w:val="18"/>
              </w:rPr>
            </w:pPr>
            <w:r>
              <w:rPr>
                <w:rFonts w:ascii="Times New Roman" w:hAnsi="Times New Roman"/>
                <w:sz w:val="18"/>
                <w:szCs w:val="18"/>
              </w:rPr>
              <w:t>烟草制品业</w:t>
            </w:r>
          </w:p>
        </w:tc>
        <w:tc>
          <w:tcPr>
            <w:tcW w:w="715" w:type="pct"/>
            <w:vAlign w:val="center"/>
          </w:tcPr>
          <w:p>
            <w:pPr>
              <w:widowControl/>
              <w:adjustRightInd w:val="0"/>
              <w:snapToGrid w:val="0"/>
              <w:jc w:val="center"/>
              <w:rPr>
                <w:rFonts w:ascii="Times New Roman" w:hAnsi="Times New Roman"/>
                <w:sz w:val="18"/>
                <w:szCs w:val="18"/>
              </w:rPr>
            </w:pPr>
            <w:r>
              <w:rPr>
                <w:rFonts w:ascii="Times New Roman" w:hAnsi="Times New Roman"/>
                <w:sz w:val="18"/>
                <w:szCs w:val="18"/>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6"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1</w:t>
            </w:r>
            <w:r>
              <w:rPr>
                <w:rFonts w:ascii="Times New Roman" w:hAnsi="Times New Roman"/>
                <w:sz w:val="18"/>
                <w:szCs w:val="18"/>
              </w:rPr>
              <w:t>8</w:t>
            </w:r>
          </w:p>
        </w:tc>
        <w:tc>
          <w:tcPr>
            <w:tcW w:w="1508" w:type="pct"/>
            <w:vAlign w:val="center"/>
          </w:tcPr>
          <w:p>
            <w:pPr>
              <w:widowControl/>
              <w:adjustRightInd w:val="0"/>
              <w:snapToGrid w:val="0"/>
              <w:rPr>
                <w:rFonts w:ascii="Times New Roman" w:hAnsi="Times New Roman"/>
                <w:color w:val="000000"/>
                <w:kern w:val="0"/>
                <w:sz w:val="18"/>
                <w:szCs w:val="18"/>
              </w:rPr>
            </w:pPr>
            <w:r>
              <w:rPr>
                <w:rFonts w:ascii="Times New Roman" w:hAnsi="Times New Roman"/>
                <w:sz w:val="18"/>
                <w:szCs w:val="18"/>
              </w:rPr>
              <w:t>食品制造业</w:t>
            </w:r>
          </w:p>
        </w:tc>
        <w:tc>
          <w:tcPr>
            <w:tcW w:w="719" w:type="pct"/>
            <w:noWrap/>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sz w:val="18"/>
                <w:szCs w:val="18"/>
              </w:rPr>
              <w:t>0.73</w:t>
            </w:r>
          </w:p>
        </w:tc>
        <w:tc>
          <w:tcPr>
            <w:tcW w:w="274"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3</w:t>
            </w:r>
            <w:r>
              <w:rPr>
                <w:rFonts w:ascii="Times New Roman" w:hAnsi="Times New Roman"/>
                <w:sz w:val="18"/>
                <w:szCs w:val="18"/>
              </w:rPr>
              <w:t>7</w:t>
            </w:r>
          </w:p>
        </w:tc>
        <w:tc>
          <w:tcPr>
            <w:tcW w:w="1508" w:type="pct"/>
            <w:vAlign w:val="center"/>
          </w:tcPr>
          <w:p>
            <w:pPr>
              <w:widowControl/>
              <w:adjustRightInd w:val="0"/>
              <w:snapToGrid w:val="0"/>
              <w:rPr>
                <w:rFonts w:ascii="Times New Roman" w:hAnsi="Times New Roman"/>
                <w:sz w:val="18"/>
                <w:szCs w:val="18"/>
              </w:rPr>
            </w:pPr>
            <w:r>
              <w:rPr>
                <w:rFonts w:ascii="Times New Roman" w:hAnsi="Times New Roman"/>
                <w:sz w:val="18"/>
                <w:szCs w:val="18"/>
              </w:rPr>
              <w:t>燃气生产和供应业</w:t>
            </w:r>
          </w:p>
        </w:tc>
        <w:tc>
          <w:tcPr>
            <w:tcW w:w="715" w:type="pct"/>
            <w:vAlign w:val="center"/>
          </w:tcPr>
          <w:p>
            <w:pPr>
              <w:widowControl/>
              <w:adjustRightInd w:val="0"/>
              <w:snapToGrid w:val="0"/>
              <w:jc w:val="center"/>
              <w:rPr>
                <w:rFonts w:ascii="Times New Roman" w:hAnsi="Times New Roman"/>
                <w:sz w:val="18"/>
                <w:szCs w:val="18"/>
              </w:rPr>
            </w:pPr>
            <w:r>
              <w:rPr>
                <w:rFonts w:ascii="Times New Roman" w:hAnsi="Times New Roman"/>
                <w:sz w:val="18"/>
                <w:szCs w:val="18"/>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6"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1</w:t>
            </w:r>
            <w:r>
              <w:rPr>
                <w:rFonts w:ascii="Times New Roman" w:hAnsi="Times New Roman"/>
                <w:sz w:val="18"/>
                <w:szCs w:val="18"/>
              </w:rPr>
              <w:t>9</w:t>
            </w:r>
          </w:p>
        </w:tc>
        <w:tc>
          <w:tcPr>
            <w:tcW w:w="1508" w:type="pct"/>
            <w:vAlign w:val="center"/>
          </w:tcPr>
          <w:p>
            <w:pPr>
              <w:widowControl/>
              <w:adjustRightInd w:val="0"/>
              <w:snapToGrid w:val="0"/>
              <w:jc w:val="left"/>
              <w:rPr>
                <w:rFonts w:ascii="Times New Roman" w:hAnsi="Times New Roman"/>
                <w:color w:val="000000"/>
                <w:kern w:val="0"/>
                <w:sz w:val="18"/>
                <w:szCs w:val="18"/>
              </w:rPr>
            </w:pPr>
            <w:r>
              <w:rPr>
                <w:rFonts w:ascii="Times New Roman" w:hAnsi="Times New Roman"/>
                <w:sz w:val="18"/>
                <w:szCs w:val="18"/>
              </w:rPr>
              <w:t>仪器仪表制造业</w:t>
            </w:r>
          </w:p>
        </w:tc>
        <w:tc>
          <w:tcPr>
            <w:tcW w:w="719" w:type="pct"/>
            <w:noWrap/>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sz w:val="18"/>
                <w:szCs w:val="18"/>
              </w:rPr>
              <w:t>0.58</w:t>
            </w:r>
          </w:p>
        </w:tc>
        <w:tc>
          <w:tcPr>
            <w:tcW w:w="274"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w:t>
            </w:r>
          </w:p>
        </w:tc>
        <w:tc>
          <w:tcPr>
            <w:tcW w:w="1508"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w:t>
            </w:r>
          </w:p>
        </w:tc>
        <w:tc>
          <w:tcPr>
            <w:tcW w:w="715" w:type="pct"/>
            <w:vAlign w:val="center"/>
          </w:tcPr>
          <w:p>
            <w:pPr>
              <w:widowControl/>
              <w:adjustRightInd w:val="0"/>
              <w:snapToGrid w:val="0"/>
              <w:jc w:val="center"/>
              <w:rPr>
                <w:rFonts w:ascii="Times New Roman" w:hAnsi="Times New Roman"/>
                <w:sz w:val="18"/>
                <w:szCs w:val="18"/>
              </w:rPr>
            </w:pPr>
            <w:r>
              <w:rPr>
                <w:rFonts w:hint="eastAsia" w:ascii="Times New Roman" w:hAnsi="Times New Roman"/>
                <w:sz w:val="18"/>
                <w:szCs w:val="18"/>
              </w:rPr>
              <w:t>/</w:t>
            </w:r>
          </w:p>
        </w:tc>
      </w:tr>
    </w:tbl>
    <w:p>
      <w:pPr>
        <w:pStyle w:val="4"/>
        <w:jc w:val="left"/>
      </w:pPr>
      <w:bookmarkStart w:id="82" w:name="_Toc26350760"/>
      <w:bookmarkStart w:id="83" w:name="_Toc1036443"/>
      <w:r>
        <w:t>VOCs排放企业区域分布</w:t>
      </w:r>
      <w:bookmarkEnd w:id="82"/>
      <w:bookmarkEnd w:id="83"/>
    </w:p>
    <w:p>
      <w:pPr>
        <w:pStyle w:val="68"/>
        <w:rPr>
          <w:rFonts w:cs="Times New Roman"/>
        </w:rPr>
      </w:pPr>
      <w:r>
        <w:rPr>
          <w:rFonts w:hint="eastAsia" w:cs="Times New Roman"/>
        </w:rPr>
        <w:t>全国第二次污染源普查数据显示，广东省</w:t>
      </w:r>
      <w:r>
        <w:rPr>
          <w:rFonts w:cs="Times New Roman"/>
        </w:rPr>
        <w:t>VOCs</w:t>
      </w:r>
      <w:r>
        <w:rPr>
          <w:rFonts w:hint="eastAsia" w:cs="Times New Roman"/>
        </w:rPr>
        <w:t>排放</w:t>
      </w:r>
      <w:r>
        <w:rPr>
          <w:rFonts w:cs="Times New Roman"/>
        </w:rPr>
        <w:t>企业的区域分布如</w:t>
      </w:r>
      <w:r>
        <w:rPr>
          <w:rFonts w:hint="eastAsia" w:cs="Times New Roman"/>
        </w:rPr>
        <w:t>图3-</w:t>
      </w:r>
      <w:r>
        <w:rPr>
          <w:rFonts w:cs="Times New Roman"/>
        </w:rPr>
        <w:t>1所示。我省</w:t>
      </w:r>
      <w:r>
        <w:rPr>
          <w:rFonts w:hint="eastAsia" w:cs="Times New Roman"/>
        </w:rPr>
        <w:t>V</w:t>
      </w:r>
      <w:r>
        <w:rPr>
          <w:rFonts w:cs="Times New Roman"/>
        </w:rPr>
        <w:t>OC</w:t>
      </w:r>
      <w:r>
        <w:rPr>
          <w:rFonts w:hint="eastAsia" w:cs="Times New Roman"/>
        </w:rPr>
        <w:t>s排放</w:t>
      </w:r>
      <w:r>
        <w:rPr>
          <w:rFonts w:cs="Times New Roman"/>
        </w:rPr>
        <w:t>企业比较集中的区域位于</w:t>
      </w:r>
      <w:r>
        <w:rPr>
          <w:rFonts w:hint="eastAsia" w:cs="Times New Roman"/>
        </w:rPr>
        <w:t>中山</w:t>
      </w:r>
      <w:r>
        <w:rPr>
          <w:rFonts w:cs="Times New Roman"/>
        </w:rPr>
        <w:t>、东莞、</w:t>
      </w:r>
      <w:r>
        <w:rPr>
          <w:rFonts w:hint="eastAsia" w:cs="Times New Roman"/>
        </w:rPr>
        <w:t>佛山</w:t>
      </w:r>
      <w:r>
        <w:rPr>
          <w:rFonts w:cs="Times New Roman"/>
        </w:rPr>
        <w:t>、广州、惠州、江门等区域</w:t>
      </w:r>
      <w:r>
        <w:rPr>
          <w:rFonts w:hint="eastAsia" w:cs="Times New Roman"/>
        </w:rPr>
        <w:t>，</w:t>
      </w:r>
      <w:r>
        <w:rPr>
          <w:rFonts w:cs="Times New Roman"/>
        </w:rPr>
        <w:t>其它地区占比相对较小。</w:t>
      </w:r>
    </w:p>
    <w:p>
      <w:pPr>
        <w:pStyle w:val="68"/>
        <w:ind w:firstLine="0" w:firstLineChars="0"/>
        <w:jc w:val="center"/>
        <w:rPr>
          <w:rFonts w:cs="Times New Roman"/>
        </w:rPr>
      </w:pPr>
      <w:r>
        <w:rPr>
          <w:rFonts w:cs="Times New Roman"/>
        </w:rPr>
        <w:drawing>
          <wp:inline distT="0" distB="0" distL="0" distR="0">
            <wp:extent cx="3676015" cy="3560445"/>
            <wp:effectExtent l="0" t="0" r="635"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676015" cy="3560445"/>
                    </a:xfrm>
                    <a:prstGeom prst="rect">
                      <a:avLst/>
                    </a:prstGeom>
                    <a:noFill/>
                  </pic:spPr>
                </pic:pic>
              </a:graphicData>
            </a:graphic>
          </wp:inline>
        </w:drawing>
      </w:r>
    </w:p>
    <w:p>
      <w:pPr>
        <w:pStyle w:val="68"/>
        <w:ind w:firstLine="0" w:firstLineChars="0"/>
        <w:jc w:val="center"/>
        <w:rPr>
          <w:rFonts w:cs="Times New Roman"/>
        </w:rPr>
      </w:pPr>
      <w:r>
        <w:rPr>
          <w:rFonts w:hint="eastAsia" w:cs="Times New Roman"/>
        </w:rPr>
        <w:t>图3-</w:t>
      </w:r>
      <w:r>
        <w:rPr>
          <w:rFonts w:cs="Times New Roman"/>
        </w:rPr>
        <w:t xml:space="preserve">1  </w:t>
      </w:r>
      <w:r>
        <w:t>2017年广东省</w:t>
      </w:r>
      <w:r>
        <w:rPr>
          <w:rFonts w:hint="eastAsia"/>
        </w:rPr>
        <w:t>涉V</w:t>
      </w:r>
      <w:r>
        <w:t>OC</w:t>
      </w:r>
      <w:r>
        <w:rPr>
          <w:rFonts w:hint="eastAsia"/>
        </w:rPr>
        <w:t>s</w:t>
      </w:r>
      <w:r>
        <w:t>工业企业的区域分布情况</w:t>
      </w:r>
    </w:p>
    <w:p>
      <w:pPr>
        <w:pStyle w:val="4"/>
      </w:pPr>
      <w:bookmarkStart w:id="84" w:name="_Toc1036444"/>
      <w:bookmarkStart w:id="85" w:name="_Toc26350761"/>
      <w:r>
        <w:t>广东省VOCs排放行业的产值规模</w:t>
      </w:r>
      <w:bookmarkEnd w:id="84"/>
      <w:bookmarkEnd w:id="85"/>
    </w:p>
    <w:p>
      <w:pPr>
        <w:pStyle w:val="68"/>
        <w:ind w:left="105" w:leftChars="50" w:firstLine="360" w:firstLineChars="150"/>
        <w:rPr>
          <w:rFonts w:cs="Times New Roman"/>
        </w:rPr>
      </w:pPr>
      <w:r>
        <w:rPr>
          <w:rFonts w:cs="Times New Roman"/>
        </w:rPr>
        <w:t>利用全国第二次污染源普查数据对广东省VOCs排放行业的产值</w:t>
      </w:r>
      <w:r>
        <w:rPr>
          <w:rFonts w:hint="eastAsia" w:cs="Times New Roman"/>
        </w:rPr>
        <w:t>占比进行</w:t>
      </w:r>
      <w:r>
        <w:rPr>
          <w:rFonts w:cs="Times New Roman"/>
        </w:rPr>
        <w:t>分析（如</w:t>
      </w:r>
      <w:r>
        <w:rPr>
          <w:rFonts w:hint="eastAsia" w:cs="Times New Roman"/>
        </w:rPr>
        <w:t>表3-</w:t>
      </w:r>
      <w:r>
        <w:rPr>
          <w:rFonts w:cs="Times New Roman"/>
        </w:rPr>
        <w:t>2所示）</w:t>
      </w:r>
      <w:r>
        <w:rPr>
          <w:rFonts w:hint="eastAsia" w:cs="Times New Roman"/>
        </w:rPr>
        <w:t>可知</w:t>
      </w:r>
      <w:r>
        <w:rPr>
          <w:rFonts w:cs="Times New Roman"/>
        </w:rPr>
        <w:t>，计算机、通信和其他电子设备制</w:t>
      </w:r>
      <w:r>
        <w:rPr>
          <w:rFonts w:cs="Times New Roman"/>
          <w:spacing w:val="1"/>
        </w:rPr>
        <w:t>造</w:t>
      </w:r>
      <w:r>
        <w:rPr>
          <w:rFonts w:cs="Times New Roman"/>
        </w:rPr>
        <w:t>业产值占比最大，达到21%，其次是电气机械和器材制造业，汽车制造业，金属制品业，橡胶和塑料制品业，非金属矿物制品业，化学原料和化学制品制造业，通用设备制造业以及石油、煤炭及其他燃料加工业等。基于产值分析，国家和省已发布行业VOCs排放标准的行业</w:t>
      </w:r>
      <w:r>
        <w:rPr>
          <w:rFonts w:hint="eastAsia" w:cs="Times New Roman"/>
        </w:rPr>
        <w:t>仅</w:t>
      </w:r>
      <w:r>
        <w:rPr>
          <w:rFonts w:cs="Times New Roman"/>
        </w:rPr>
        <w:t>占据约34.0%产值的企业，约64.0%产值的企业仍需执行《国家大气污染物综合排放标准》（GB 16297-1996）</w:t>
      </w:r>
      <w:r>
        <w:rPr>
          <w:rFonts w:hint="eastAsia" w:cs="Times New Roman"/>
        </w:rPr>
        <w:t>、</w:t>
      </w:r>
      <w:r>
        <w:rPr>
          <w:rFonts w:cs="Times New Roman"/>
        </w:rPr>
        <w:t>《恶臭污染物排放标准》（GB14554-1993）和《广东省大气污染物综合排放限值要求》（DB44/27-2001）。</w:t>
      </w:r>
    </w:p>
    <w:p>
      <w:pPr>
        <w:pStyle w:val="13"/>
        <w:spacing w:before="156" w:beforeLines="50" w:after="156" w:afterLines="50"/>
      </w:pPr>
      <w:bookmarkStart w:id="86" w:name="_Ref533083347"/>
      <w:r>
        <w:t xml:space="preserve">表 </w:t>
      </w:r>
      <w:r>
        <w:fldChar w:fldCharType="begin"/>
      </w:r>
      <w:r>
        <w:instrText xml:space="preserve"> STYLEREF 1 \s </w:instrText>
      </w:r>
      <w:r>
        <w:fldChar w:fldCharType="separate"/>
      </w:r>
      <w:r>
        <w:t>3</w:t>
      </w:r>
      <w:r>
        <w:fldChar w:fldCharType="end"/>
      </w:r>
      <w:r>
        <w:noBreakHyphen/>
      </w:r>
      <w:bookmarkEnd w:id="86"/>
      <w:r>
        <w:t>2 2017年广东省</w:t>
      </w:r>
      <w:r>
        <w:rPr>
          <w:rFonts w:hint="eastAsia"/>
        </w:rPr>
        <w:t>涉V</w:t>
      </w:r>
      <w:r>
        <w:t>OC</w:t>
      </w:r>
      <w:r>
        <w:rPr>
          <w:rFonts w:hint="eastAsia"/>
        </w:rPr>
        <w:t>s</w:t>
      </w:r>
      <w:r>
        <w:t>工业总产值的行业分布情况</w:t>
      </w:r>
    </w:p>
    <w:tbl>
      <w:tblPr>
        <w:tblStyle w:val="102"/>
        <w:tblW w:w="48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
        <w:gridCol w:w="2513"/>
        <w:gridCol w:w="1521"/>
        <w:gridCol w:w="474"/>
        <w:gridCol w:w="2514"/>
        <w:gridCol w:w="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87" w:type="pct"/>
            <w:vAlign w:val="center"/>
          </w:tcPr>
          <w:p>
            <w:pPr>
              <w:widowControl/>
              <w:snapToGrid w:val="0"/>
              <w:jc w:val="center"/>
              <w:rPr>
                <w:rFonts w:ascii="Times New Roman" w:hAnsi="Times New Roman"/>
                <w:b/>
                <w:color w:val="000000"/>
                <w:kern w:val="0"/>
                <w:sz w:val="18"/>
                <w:szCs w:val="18"/>
              </w:rPr>
            </w:pPr>
            <w:r>
              <w:rPr>
                <w:rFonts w:hint="eastAsia" w:ascii="Times New Roman" w:hAnsi="Times New Roman"/>
                <w:b/>
                <w:color w:val="000000"/>
                <w:kern w:val="0"/>
                <w:sz w:val="18"/>
                <w:szCs w:val="18"/>
              </w:rPr>
              <w:t>序号</w:t>
            </w:r>
          </w:p>
        </w:tc>
        <w:tc>
          <w:tcPr>
            <w:tcW w:w="1515" w:type="pct"/>
            <w:vAlign w:val="center"/>
          </w:tcPr>
          <w:p>
            <w:pPr>
              <w:widowControl/>
              <w:snapToGrid w:val="0"/>
              <w:jc w:val="center"/>
              <w:rPr>
                <w:rFonts w:ascii="Times New Roman" w:hAnsi="Times New Roman"/>
                <w:b/>
                <w:color w:val="000000"/>
                <w:kern w:val="0"/>
                <w:sz w:val="18"/>
                <w:szCs w:val="18"/>
              </w:rPr>
            </w:pPr>
            <w:r>
              <w:rPr>
                <w:rFonts w:ascii="Times New Roman" w:hAnsi="Times New Roman"/>
                <w:b/>
                <w:color w:val="000000"/>
                <w:kern w:val="0"/>
                <w:sz w:val="18"/>
                <w:szCs w:val="18"/>
              </w:rPr>
              <w:t>行业类别</w:t>
            </w:r>
          </w:p>
        </w:tc>
        <w:tc>
          <w:tcPr>
            <w:tcW w:w="917" w:type="pct"/>
            <w:noWrap/>
            <w:vAlign w:val="center"/>
          </w:tcPr>
          <w:p>
            <w:pPr>
              <w:widowControl/>
              <w:snapToGrid w:val="0"/>
              <w:jc w:val="center"/>
              <w:rPr>
                <w:rFonts w:ascii="Times New Roman" w:hAnsi="Times New Roman"/>
                <w:b/>
                <w:color w:val="000000"/>
                <w:kern w:val="0"/>
                <w:sz w:val="18"/>
                <w:szCs w:val="18"/>
              </w:rPr>
            </w:pPr>
            <w:r>
              <w:rPr>
                <w:rFonts w:ascii="Times New Roman" w:hAnsi="Times New Roman"/>
                <w:b/>
                <w:color w:val="000000"/>
                <w:kern w:val="0"/>
                <w:sz w:val="18"/>
                <w:szCs w:val="18"/>
              </w:rPr>
              <w:t>产值占比</w:t>
            </w:r>
            <w:r>
              <w:rPr>
                <w:rFonts w:hint="eastAsia" w:ascii="Times New Roman" w:hAnsi="Times New Roman"/>
                <w:b/>
                <w:color w:val="000000"/>
                <w:kern w:val="0"/>
                <w:sz w:val="18"/>
                <w:szCs w:val="18"/>
              </w:rPr>
              <w:t>（%）</w:t>
            </w:r>
          </w:p>
        </w:tc>
        <w:tc>
          <w:tcPr>
            <w:tcW w:w="286" w:type="pct"/>
            <w:vAlign w:val="center"/>
          </w:tcPr>
          <w:p>
            <w:pPr>
              <w:widowControl/>
              <w:snapToGrid w:val="0"/>
              <w:jc w:val="center"/>
              <w:rPr>
                <w:rFonts w:ascii="Times New Roman" w:hAnsi="Times New Roman"/>
                <w:b/>
                <w:color w:val="000000"/>
                <w:kern w:val="0"/>
                <w:sz w:val="18"/>
                <w:szCs w:val="18"/>
              </w:rPr>
            </w:pPr>
            <w:r>
              <w:rPr>
                <w:rFonts w:hint="eastAsia" w:ascii="Times New Roman" w:hAnsi="Times New Roman"/>
                <w:b/>
                <w:color w:val="000000"/>
                <w:kern w:val="0"/>
                <w:sz w:val="18"/>
                <w:szCs w:val="18"/>
              </w:rPr>
              <w:t>序号</w:t>
            </w:r>
          </w:p>
        </w:tc>
        <w:tc>
          <w:tcPr>
            <w:tcW w:w="1515" w:type="pct"/>
            <w:vAlign w:val="center"/>
          </w:tcPr>
          <w:p>
            <w:pPr>
              <w:widowControl/>
              <w:snapToGrid w:val="0"/>
              <w:jc w:val="center"/>
              <w:rPr>
                <w:rFonts w:ascii="Times New Roman" w:hAnsi="Times New Roman"/>
                <w:b/>
                <w:color w:val="000000"/>
                <w:kern w:val="0"/>
                <w:sz w:val="18"/>
                <w:szCs w:val="18"/>
              </w:rPr>
            </w:pPr>
            <w:r>
              <w:rPr>
                <w:rFonts w:ascii="Times New Roman" w:hAnsi="Times New Roman"/>
                <w:b/>
                <w:color w:val="000000"/>
                <w:kern w:val="0"/>
                <w:sz w:val="18"/>
                <w:szCs w:val="18"/>
              </w:rPr>
              <w:t>行业类别</w:t>
            </w:r>
          </w:p>
        </w:tc>
        <w:tc>
          <w:tcPr>
            <w:tcW w:w="480" w:type="pct"/>
            <w:vAlign w:val="center"/>
          </w:tcPr>
          <w:p>
            <w:pPr>
              <w:widowControl/>
              <w:snapToGrid w:val="0"/>
              <w:jc w:val="center"/>
              <w:rPr>
                <w:rFonts w:ascii="Times New Roman" w:hAnsi="Times New Roman"/>
                <w:b/>
                <w:color w:val="000000"/>
                <w:kern w:val="0"/>
                <w:sz w:val="18"/>
                <w:szCs w:val="18"/>
              </w:rPr>
            </w:pPr>
            <w:r>
              <w:rPr>
                <w:rFonts w:ascii="Times New Roman" w:hAnsi="Times New Roman"/>
                <w:b/>
                <w:color w:val="000000"/>
                <w:kern w:val="0"/>
                <w:sz w:val="18"/>
                <w:szCs w:val="18"/>
              </w:rPr>
              <w:t>产值占比</w:t>
            </w:r>
            <w:r>
              <w:rPr>
                <w:rFonts w:hint="eastAsia" w:ascii="Times New Roman" w:hAnsi="Times New Roman"/>
                <w:b/>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Align w:val="center"/>
          </w:tcPr>
          <w:p>
            <w:pPr>
              <w:widowControl/>
              <w:snapToGrid w:val="0"/>
              <w:jc w:val="center"/>
              <w:rPr>
                <w:rFonts w:ascii="Times New Roman" w:hAnsi="Times New Roman"/>
                <w:sz w:val="18"/>
                <w:szCs w:val="18"/>
              </w:rPr>
            </w:pPr>
            <w:r>
              <w:rPr>
                <w:rFonts w:hint="eastAsia" w:ascii="Times New Roman" w:hAnsi="Times New Roman"/>
                <w:sz w:val="18"/>
                <w:szCs w:val="18"/>
              </w:rPr>
              <w:t>1</w:t>
            </w:r>
          </w:p>
        </w:tc>
        <w:tc>
          <w:tcPr>
            <w:tcW w:w="1515" w:type="pct"/>
            <w:vAlign w:val="center"/>
          </w:tcPr>
          <w:p>
            <w:pPr>
              <w:widowControl/>
              <w:snapToGrid w:val="0"/>
              <w:rPr>
                <w:rFonts w:ascii="Times New Roman" w:hAnsi="Times New Roman"/>
                <w:color w:val="000000"/>
                <w:kern w:val="0"/>
                <w:sz w:val="18"/>
                <w:szCs w:val="18"/>
              </w:rPr>
            </w:pPr>
            <w:r>
              <w:rPr>
                <w:rFonts w:ascii="Times New Roman" w:hAnsi="Times New Roman"/>
                <w:sz w:val="18"/>
                <w:szCs w:val="18"/>
              </w:rPr>
              <w:t>计算机、通信和其他电子设备制造业</w:t>
            </w:r>
          </w:p>
        </w:tc>
        <w:tc>
          <w:tcPr>
            <w:tcW w:w="917" w:type="pct"/>
            <w:noWrap/>
            <w:vAlign w:val="center"/>
          </w:tcPr>
          <w:p>
            <w:pPr>
              <w:snapToGrid w:val="0"/>
              <w:jc w:val="center"/>
              <w:rPr>
                <w:rFonts w:ascii="Times New Roman" w:hAnsi="Times New Roman"/>
                <w:color w:val="000000"/>
                <w:sz w:val="18"/>
                <w:szCs w:val="18"/>
              </w:rPr>
            </w:pPr>
            <w:r>
              <w:rPr>
                <w:rFonts w:ascii="Times New Roman" w:hAnsi="Times New Roman"/>
                <w:sz w:val="18"/>
                <w:szCs w:val="18"/>
              </w:rPr>
              <w:t>21.0</w:t>
            </w:r>
          </w:p>
        </w:tc>
        <w:tc>
          <w:tcPr>
            <w:tcW w:w="286" w:type="pct"/>
            <w:vAlign w:val="center"/>
          </w:tcPr>
          <w:p>
            <w:pPr>
              <w:snapToGrid w:val="0"/>
              <w:jc w:val="center"/>
              <w:rPr>
                <w:rFonts w:ascii="Times New Roman" w:hAnsi="Times New Roman"/>
                <w:sz w:val="18"/>
                <w:szCs w:val="18"/>
              </w:rPr>
            </w:pPr>
            <w:r>
              <w:rPr>
                <w:rFonts w:hint="eastAsia" w:ascii="Times New Roman" w:hAnsi="Times New Roman"/>
                <w:sz w:val="18"/>
                <w:szCs w:val="18"/>
              </w:rPr>
              <w:t>2</w:t>
            </w:r>
            <w:r>
              <w:rPr>
                <w:rFonts w:ascii="Times New Roman" w:hAnsi="Times New Roman"/>
                <w:sz w:val="18"/>
                <w:szCs w:val="18"/>
              </w:rPr>
              <w:t>0</w:t>
            </w:r>
          </w:p>
        </w:tc>
        <w:tc>
          <w:tcPr>
            <w:tcW w:w="1515" w:type="pct"/>
            <w:vAlign w:val="center"/>
          </w:tcPr>
          <w:p>
            <w:pPr>
              <w:snapToGrid w:val="0"/>
              <w:rPr>
                <w:rFonts w:ascii="Times New Roman" w:hAnsi="Times New Roman"/>
                <w:sz w:val="18"/>
                <w:szCs w:val="18"/>
              </w:rPr>
            </w:pPr>
            <w:r>
              <w:rPr>
                <w:rFonts w:ascii="Times New Roman" w:hAnsi="Times New Roman"/>
                <w:sz w:val="18"/>
                <w:szCs w:val="18"/>
              </w:rPr>
              <w:t>医药制造业</w:t>
            </w:r>
          </w:p>
        </w:tc>
        <w:tc>
          <w:tcPr>
            <w:tcW w:w="480" w:type="pct"/>
            <w:vAlign w:val="center"/>
          </w:tcPr>
          <w:p>
            <w:pPr>
              <w:snapToGrid w:val="0"/>
              <w:jc w:val="center"/>
              <w:rPr>
                <w:rFonts w:ascii="Times New Roman" w:hAnsi="Times New Roman"/>
                <w:sz w:val="18"/>
                <w:szCs w:val="18"/>
              </w:rPr>
            </w:pPr>
            <w:r>
              <w:rPr>
                <w:rFonts w:ascii="Times New Roman" w:hAnsi="Times New Roman"/>
                <w:sz w:val="18"/>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Align w:val="center"/>
          </w:tcPr>
          <w:p>
            <w:pPr>
              <w:widowControl/>
              <w:snapToGrid w:val="0"/>
              <w:jc w:val="center"/>
              <w:rPr>
                <w:rFonts w:ascii="Times New Roman" w:hAnsi="Times New Roman"/>
                <w:sz w:val="18"/>
                <w:szCs w:val="18"/>
              </w:rPr>
            </w:pPr>
            <w:r>
              <w:rPr>
                <w:rFonts w:hint="eastAsia" w:ascii="Times New Roman" w:hAnsi="Times New Roman"/>
                <w:sz w:val="18"/>
                <w:szCs w:val="18"/>
              </w:rPr>
              <w:t>2</w:t>
            </w:r>
          </w:p>
        </w:tc>
        <w:tc>
          <w:tcPr>
            <w:tcW w:w="1515" w:type="pct"/>
            <w:vAlign w:val="center"/>
          </w:tcPr>
          <w:p>
            <w:pPr>
              <w:widowControl/>
              <w:snapToGrid w:val="0"/>
              <w:rPr>
                <w:rFonts w:ascii="Times New Roman" w:hAnsi="Times New Roman"/>
                <w:color w:val="000000"/>
                <w:kern w:val="0"/>
                <w:sz w:val="18"/>
                <w:szCs w:val="18"/>
              </w:rPr>
            </w:pPr>
            <w:r>
              <w:rPr>
                <w:rFonts w:ascii="Times New Roman" w:hAnsi="Times New Roman"/>
                <w:sz w:val="18"/>
                <w:szCs w:val="18"/>
              </w:rPr>
              <w:t>电气机械和器材制造业</w:t>
            </w:r>
          </w:p>
        </w:tc>
        <w:tc>
          <w:tcPr>
            <w:tcW w:w="917" w:type="pct"/>
            <w:noWrap/>
            <w:vAlign w:val="center"/>
          </w:tcPr>
          <w:p>
            <w:pPr>
              <w:snapToGrid w:val="0"/>
              <w:jc w:val="center"/>
              <w:rPr>
                <w:rFonts w:ascii="Times New Roman" w:hAnsi="Times New Roman"/>
                <w:color w:val="000000"/>
                <w:sz w:val="18"/>
                <w:szCs w:val="18"/>
              </w:rPr>
            </w:pPr>
            <w:r>
              <w:rPr>
                <w:rFonts w:ascii="Times New Roman" w:hAnsi="Times New Roman"/>
                <w:sz w:val="18"/>
                <w:szCs w:val="18"/>
              </w:rPr>
              <w:t>10.5</w:t>
            </w:r>
          </w:p>
        </w:tc>
        <w:tc>
          <w:tcPr>
            <w:tcW w:w="286" w:type="pct"/>
            <w:vAlign w:val="center"/>
          </w:tcPr>
          <w:p>
            <w:pPr>
              <w:snapToGrid w:val="0"/>
              <w:jc w:val="center"/>
              <w:rPr>
                <w:rFonts w:ascii="Times New Roman" w:hAnsi="Times New Roman"/>
                <w:sz w:val="18"/>
                <w:szCs w:val="18"/>
              </w:rPr>
            </w:pPr>
            <w:r>
              <w:rPr>
                <w:rFonts w:hint="eastAsia" w:ascii="Times New Roman" w:hAnsi="Times New Roman"/>
                <w:sz w:val="18"/>
                <w:szCs w:val="18"/>
              </w:rPr>
              <w:t>2</w:t>
            </w:r>
            <w:r>
              <w:rPr>
                <w:rFonts w:ascii="Times New Roman" w:hAnsi="Times New Roman"/>
                <w:sz w:val="18"/>
                <w:szCs w:val="18"/>
              </w:rPr>
              <w:t>1</w:t>
            </w:r>
          </w:p>
        </w:tc>
        <w:tc>
          <w:tcPr>
            <w:tcW w:w="1515" w:type="pct"/>
            <w:vAlign w:val="center"/>
          </w:tcPr>
          <w:p>
            <w:pPr>
              <w:snapToGrid w:val="0"/>
              <w:rPr>
                <w:rFonts w:ascii="Times New Roman" w:hAnsi="Times New Roman"/>
                <w:sz w:val="18"/>
                <w:szCs w:val="18"/>
              </w:rPr>
            </w:pPr>
            <w:r>
              <w:rPr>
                <w:rFonts w:ascii="Times New Roman" w:hAnsi="Times New Roman"/>
                <w:sz w:val="18"/>
                <w:szCs w:val="18"/>
              </w:rPr>
              <w:t>皮革、毛皮、羽毛及其制品和制鞋业</w:t>
            </w:r>
          </w:p>
        </w:tc>
        <w:tc>
          <w:tcPr>
            <w:tcW w:w="480" w:type="pct"/>
            <w:vAlign w:val="center"/>
          </w:tcPr>
          <w:p>
            <w:pPr>
              <w:snapToGrid w:val="0"/>
              <w:jc w:val="center"/>
              <w:rPr>
                <w:rFonts w:ascii="Times New Roman" w:hAnsi="Times New Roman"/>
                <w:sz w:val="18"/>
                <w:szCs w:val="18"/>
              </w:rPr>
            </w:pPr>
            <w:r>
              <w:rPr>
                <w:rFonts w:ascii="Times New Roman" w:hAnsi="Times New Roman"/>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Align w:val="center"/>
          </w:tcPr>
          <w:p>
            <w:pPr>
              <w:widowControl/>
              <w:snapToGrid w:val="0"/>
              <w:jc w:val="center"/>
              <w:rPr>
                <w:rFonts w:ascii="Times New Roman" w:hAnsi="Times New Roman"/>
                <w:sz w:val="18"/>
                <w:szCs w:val="18"/>
              </w:rPr>
            </w:pPr>
            <w:r>
              <w:rPr>
                <w:rFonts w:hint="eastAsia" w:ascii="Times New Roman" w:hAnsi="Times New Roman"/>
                <w:sz w:val="18"/>
                <w:szCs w:val="18"/>
              </w:rPr>
              <w:t>3</w:t>
            </w:r>
          </w:p>
        </w:tc>
        <w:tc>
          <w:tcPr>
            <w:tcW w:w="1515" w:type="pct"/>
            <w:vAlign w:val="center"/>
          </w:tcPr>
          <w:p>
            <w:pPr>
              <w:widowControl/>
              <w:snapToGrid w:val="0"/>
              <w:rPr>
                <w:rFonts w:ascii="Times New Roman" w:hAnsi="Times New Roman"/>
                <w:color w:val="000000"/>
                <w:kern w:val="0"/>
                <w:sz w:val="18"/>
                <w:szCs w:val="18"/>
              </w:rPr>
            </w:pPr>
            <w:r>
              <w:rPr>
                <w:rFonts w:ascii="Times New Roman" w:hAnsi="Times New Roman"/>
                <w:sz w:val="18"/>
                <w:szCs w:val="18"/>
              </w:rPr>
              <w:t>汽车制造业</w:t>
            </w:r>
          </w:p>
        </w:tc>
        <w:tc>
          <w:tcPr>
            <w:tcW w:w="917" w:type="pct"/>
            <w:noWrap/>
            <w:vAlign w:val="center"/>
          </w:tcPr>
          <w:p>
            <w:pPr>
              <w:snapToGrid w:val="0"/>
              <w:jc w:val="center"/>
              <w:rPr>
                <w:rFonts w:ascii="Times New Roman" w:hAnsi="Times New Roman"/>
                <w:color w:val="000000"/>
                <w:sz w:val="18"/>
                <w:szCs w:val="18"/>
              </w:rPr>
            </w:pPr>
            <w:r>
              <w:rPr>
                <w:rFonts w:ascii="Times New Roman" w:hAnsi="Times New Roman"/>
                <w:sz w:val="18"/>
                <w:szCs w:val="18"/>
              </w:rPr>
              <w:t>7.0</w:t>
            </w:r>
          </w:p>
        </w:tc>
        <w:tc>
          <w:tcPr>
            <w:tcW w:w="286" w:type="pct"/>
            <w:vAlign w:val="center"/>
          </w:tcPr>
          <w:p>
            <w:pPr>
              <w:snapToGrid w:val="0"/>
              <w:jc w:val="center"/>
              <w:rPr>
                <w:rFonts w:ascii="Times New Roman" w:hAnsi="Times New Roman"/>
                <w:sz w:val="18"/>
                <w:szCs w:val="18"/>
              </w:rPr>
            </w:pPr>
            <w:r>
              <w:rPr>
                <w:rFonts w:hint="eastAsia" w:ascii="Times New Roman" w:hAnsi="Times New Roman"/>
                <w:sz w:val="18"/>
                <w:szCs w:val="18"/>
              </w:rPr>
              <w:t>2</w:t>
            </w:r>
            <w:r>
              <w:rPr>
                <w:rFonts w:ascii="Times New Roman" w:hAnsi="Times New Roman"/>
                <w:sz w:val="18"/>
                <w:szCs w:val="18"/>
              </w:rPr>
              <w:t>2</w:t>
            </w:r>
          </w:p>
        </w:tc>
        <w:tc>
          <w:tcPr>
            <w:tcW w:w="1515" w:type="pct"/>
            <w:vAlign w:val="center"/>
          </w:tcPr>
          <w:p>
            <w:pPr>
              <w:snapToGrid w:val="0"/>
              <w:rPr>
                <w:rFonts w:ascii="Times New Roman" w:hAnsi="Times New Roman"/>
                <w:sz w:val="18"/>
                <w:szCs w:val="18"/>
              </w:rPr>
            </w:pPr>
            <w:r>
              <w:rPr>
                <w:rFonts w:ascii="Times New Roman" w:hAnsi="Times New Roman"/>
                <w:sz w:val="18"/>
                <w:szCs w:val="18"/>
              </w:rPr>
              <w:t>纺织业</w:t>
            </w:r>
          </w:p>
        </w:tc>
        <w:tc>
          <w:tcPr>
            <w:tcW w:w="480" w:type="pct"/>
            <w:vAlign w:val="center"/>
          </w:tcPr>
          <w:p>
            <w:pPr>
              <w:snapToGrid w:val="0"/>
              <w:jc w:val="center"/>
              <w:rPr>
                <w:rFonts w:ascii="Times New Roman" w:hAnsi="Times New Roman"/>
                <w:sz w:val="18"/>
                <w:szCs w:val="18"/>
              </w:rPr>
            </w:pPr>
            <w:r>
              <w:rPr>
                <w:rFonts w:ascii="Times New Roman" w:hAnsi="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Align w:val="center"/>
          </w:tcPr>
          <w:p>
            <w:pPr>
              <w:widowControl/>
              <w:snapToGrid w:val="0"/>
              <w:jc w:val="center"/>
              <w:rPr>
                <w:rFonts w:ascii="Times New Roman" w:hAnsi="Times New Roman"/>
                <w:sz w:val="18"/>
                <w:szCs w:val="18"/>
              </w:rPr>
            </w:pPr>
            <w:r>
              <w:rPr>
                <w:rFonts w:hint="eastAsia" w:ascii="Times New Roman" w:hAnsi="Times New Roman"/>
                <w:sz w:val="18"/>
                <w:szCs w:val="18"/>
              </w:rPr>
              <w:t>4</w:t>
            </w:r>
          </w:p>
        </w:tc>
        <w:tc>
          <w:tcPr>
            <w:tcW w:w="1515" w:type="pct"/>
            <w:vAlign w:val="center"/>
          </w:tcPr>
          <w:p>
            <w:pPr>
              <w:widowControl/>
              <w:snapToGrid w:val="0"/>
              <w:rPr>
                <w:rFonts w:ascii="Times New Roman" w:hAnsi="Times New Roman"/>
                <w:color w:val="000000"/>
                <w:kern w:val="0"/>
                <w:sz w:val="18"/>
                <w:szCs w:val="18"/>
              </w:rPr>
            </w:pPr>
            <w:r>
              <w:rPr>
                <w:rFonts w:ascii="Times New Roman" w:hAnsi="Times New Roman"/>
                <w:sz w:val="18"/>
                <w:szCs w:val="18"/>
              </w:rPr>
              <w:t>金属制品业</w:t>
            </w:r>
          </w:p>
        </w:tc>
        <w:tc>
          <w:tcPr>
            <w:tcW w:w="917" w:type="pct"/>
            <w:noWrap/>
            <w:vAlign w:val="center"/>
          </w:tcPr>
          <w:p>
            <w:pPr>
              <w:snapToGrid w:val="0"/>
              <w:jc w:val="center"/>
              <w:rPr>
                <w:rFonts w:ascii="Times New Roman" w:hAnsi="Times New Roman"/>
                <w:color w:val="000000"/>
                <w:sz w:val="18"/>
                <w:szCs w:val="18"/>
              </w:rPr>
            </w:pPr>
            <w:r>
              <w:rPr>
                <w:rFonts w:ascii="Times New Roman" w:hAnsi="Times New Roman"/>
                <w:sz w:val="18"/>
                <w:szCs w:val="18"/>
              </w:rPr>
              <w:t>7.0</w:t>
            </w:r>
          </w:p>
        </w:tc>
        <w:tc>
          <w:tcPr>
            <w:tcW w:w="286" w:type="pct"/>
            <w:vAlign w:val="center"/>
          </w:tcPr>
          <w:p>
            <w:pPr>
              <w:snapToGrid w:val="0"/>
              <w:jc w:val="center"/>
              <w:rPr>
                <w:rFonts w:ascii="Times New Roman" w:hAnsi="Times New Roman"/>
                <w:sz w:val="18"/>
                <w:szCs w:val="18"/>
              </w:rPr>
            </w:pPr>
            <w:r>
              <w:rPr>
                <w:rFonts w:hint="eastAsia" w:ascii="Times New Roman" w:hAnsi="Times New Roman"/>
                <w:sz w:val="18"/>
                <w:szCs w:val="18"/>
              </w:rPr>
              <w:t>2</w:t>
            </w:r>
            <w:r>
              <w:rPr>
                <w:rFonts w:ascii="Times New Roman" w:hAnsi="Times New Roman"/>
                <w:sz w:val="18"/>
                <w:szCs w:val="18"/>
              </w:rPr>
              <w:t>3</w:t>
            </w:r>
          </w:p>
        </w:tc>
        <w:tc>
          <w:tcPr>
            <w:tcW w:w="1515" w:type="pct"/>
            <w:vAlign w:val="center"/>
          </w:tcPr>
          <w:p>
            <w:pPr>
              <w:snapToGrid w:val="0"/>
              <w:rPr>
                <w:rFonts w:ascii="Times New Roman" w:hAnsi="Times New Roman"/>
                <w:sz w:val="18"/>
                <w:szCs w:val="18"/>
              </w:rPr>
            </w:pPr>
            <w:r>
              <w:rPr>
                <w:rFonts w:ascii="Times New Roman" w:hAnsi="Times New Roman"/>
                <w:sz w:val="18"/>
                <w:szCs w:val="18"/>
              </w:rPr>
              <w:t>铁路、船舶、航空航天和其他运输设备制造业</w:t>
            </w:r>
          </w:p>
        </w:tc>
        <w:tc>
          <w:tcPr>
            <w:tcW w:w="480" w:type="pct"/>
            <w:vAlign w:val="center"/>
          </w:tcPr>
          <w:p>
            <w:pPr>
              <w:snapToGrid w:val="0"/>
              <w:jc w:val="center"/>
              <w:rPr>
                <w:rFonts w:ascii="Times New Roman" w:hAnsi="Times New Roman"/>
                <w:sz w:val="18"/>
                <w:szCs w:val="18"/>
              </w:rPr>
            </w:pPr>
            <w:r>
              <w:rPr>
                <w:rFonts w:ascii="Times New Roman" w:hAnsi="Times New Roman"/>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Align w:val="center"/>
          </w:tcPr>
          <w:p>
            <w:pPr>
              <w:widowControl/>
              <w:snapToGrid w:val="0"/>
              <w:jc w:val="center"/>
              <w:rPr>
                <w:rFonts w:ascii="Times New Roman" w:hAnsi="Times New Roman"/>
                <w:sz w:val="18"/>
                <w:szCs w:val="18"/>
              </w:rPr>
            </w:pPr>
            <w:r>
              <w:rPr>
                <w:rFonts w:hint="eastAsia" w:ascii="Times New Roman" w:hAnsi="Times New Roman"/>
                <w:sz w:val="18"/>
                <w:szCs w:val="18"/>
              </w:rPr>
              <w:t>5</w:t>
            </w:r>
          </w:p>
        </w:tc>
        <w:tc>
          <w:tcPr>
            <w:tcW w:w="1515" w:type="pct"/>
            <w:vAlign w:val="center"/>
          </w:tcPr>
          <w:p>
            <w:pPr>
              <w:widowControl/>
              <w:snapToGrid w:val="0"/>
              <w:rPr>
                <w:rFonts w:ascii="Times New Roman" w:hAnsi="Times New Roman"/>
                <w:color w:val="000000"/>
                <w:kern w:val="0"/>
                <w:sz w:val="18"/>
                <w:szCs w:val="18"/>
              </w:rPr>
            </w:pPr>
            <w:r>
              <w:rPr>
                <w:rFonts w:ascii="Times New Roman" w:hAnsi="Times New Roman"/>
                <w:sz w:val="18"/>
                <w:szCs w:val="18"/>
              </w:rPr>
              <w:t>橡胶和塑料制品业</w:t>
            </w:r>
          </w:p>
        </w:tc>
        <w:tc>
          <w:tcPr>
            <w:tcW w:w="917" w:type="pct"/>
            <w:noWrap/>
            <w:vAlign w:val="center"/>
          </w:tcPr>
          <w:p>
            <w:pPr>
              <w:snapToGrid w:val="0"/>
              <w:jc w:val="center"/>
              <w:rPr>
                <w:rFonts w:ascii="Times New Roman" w:hAnsi="Times New Roman"/>
                <w:color w:val="000000"/>
                <w:sz w:val="18"/>
                <w:szCs w:val="18"/>
              </w:rPr>
            </w:pPr>
            <w:r>
              <w:rPr>
                <w:rFonts w:ascii="Times New Roman" w:hAnsi="Times New Roman"/>
                <w:sz w:val="18"/>
                <w:szCs w:val="18"/>
              </w:rPr>
              <w:t>6.1</w:t>
            </w:r>
          </w:p>
        </w:tc>
        <w:tc>
          <w:tcPr>
            <w:tcW w:w="286" w:type="pct"/>
            <w:vAlign w:val="center"/>
          </w:tcPr>
          <w:p>
            <w:pPr>
              <w:snapToGrid w:val="0"/>
              <w:jc w:val="center"/>
              <w:rPr>
                <w:rFonts w:ascii="Times New Roman" w:hAnsi="Times New Roman"/>
                <w:sz w:val="18"/>
                <w:szCs w:val="18"/>
              </w:rPr>
            </w:pPr>
            <w:r>
              <w:rPr>
                <w:rFonts w:hint="eastAsia" w:ascii="Times New Roman" w:hAnsi="Times New Roman"/>
                <w:sz w:val="18"/>
                <w:szCs w:val="18"/>
              </w:rPr>
              <w:t>2</w:t>
            </w:r>
            <w:r>
              <w:rPr>
                <w:rFonts w:ascii="Times New Roman" w:hAnsi="Times New Roman"/>
                <w:sz w:val="18"/>
                <w:szCs w:val="18"/>
              </w:rPr>
              <w:t>4</w:t>
            </w:r>
          </w:p>
        </w:tc>
        <w:tc>
          <w:tcPr>
            <w:tcW w:w="1515" w:type="pct"/>
            <w:vAlign w:val="center"/>
          </w:tcPr>
          <w:p>
            <w:pPr>
              <w:snapToGrid w:val="0"/>
              <w:rPr>
                <w:rFonts w:ascii="Times New Roman" w:hAnsi="Times New Roman"/>
                <w:sz w:val="18"/>
                <w:szCs w:val="18"/>
              </w:rPr>
            </w:pPr>
            <w:r>
              <w:rPr>
                <w:rFonts w:ascii="Times New Roman" w:hAnsi="Times New Roman"/>
                <w:sz w:val="18"/>
                <w:szCs w:val="18"/>
              </w:rPr>
              <w:t>酒、饮料和精制茶制造业</w:t>
            </w:r>
          </w:p>
        </w:tc>
        <w:tc>
          <w:tcPr>
            <w:tcW w:w="480" w:type="pct"/>
            <w:vAlign w:val="center"/>
          </w:tcPr>
          <w:p>
            <w:pPr>
              <w:snapToGrid w:val="0"/>
              <w:jc w:val="center"/>
              <w:rPr>
                <w:rFonts w:ascii="Times New Roman" w:hAnsi="Times New Roman"/>
                <w:sz w:val="18"/>
                <w:szCs w:val="18"/>
              </w:rPr>
            </w:pPr>
            <w:r>
              <w:rPr>
                <w:rFonts w:ascii="Times New Roman" w:hAnsi="Times New Roman"/>
                <w:sz w:val="18"/>
                <w:szCs w:val="18"/>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Align w:val="center"/>
          </w:tcPr>
          <w:p>
            <w:pPr>
              <w:widowControl/>
              <w:snapToGrid w:val="0"/>
              <w:jc w:val="center"/>
              <w:rPr>
                <w:rFonts w:ascii="Times New Roman" w:hAnsi="Times New Roman"/>
                <w:sz w:val="18"/>
                <w:szCs w:val="18"/>
              </w:rPr>
            </w:pPr>
            <w:r>
              <w:rPr>
                <w:rFonts w:hint="eastAsia" w:ascii="Times New Roman" w:hAnsi="Times New Roman"/>
                <w:sz w:val="18"/>
                <w:szCs w:val="18"/>
              </w:rPr>
              <w:t>6</w:t>
            </w:r>
          </w:p>
        </w:tc>
        <w:tc>
          <w:tcPr>
            <w:tcW w:w="1515" w:type="pct"/>
            <w:vAlign w:val="center"/>
          </w:tcPr>
          <w:p>
            <w:pPr>
              <w:widowControl/>
              <w:snapToGrid w:val="0"/>
              <w:rPr>
                <w:rFonts w:ascii="Times New Roman" w:hAnsi="Times New Roman"/>
                <w:color w:val="000000"/>
                <w:kern w:val="0"/>
                <w:sz w:val="18"/>
                <w:szCs w:val="18"/>
              </w:rPr>
            </w:pPr>
            <w:r>
              <w:rPr>
                <w:rFonts w:ascii="Times New Roman" w:hAnsi="Times New Roman"/>
                <w:sz w:val="18"/>
                <w:szCs w:val="18"/>
              </w:rPr>
              <w:t>非金属矿物制品业</w:t>
            </w:r>
          </w:p>
        </w:tc>
        <w:tc>
          <w:tcPr>
            <w:tcW w:w="917" w:type="pct"/>
            <w:noWrap/>
            <w:vAlign w:val="center"/>
          </w:tcPr>
          <w:p>
            <w:pPr>
              <w:snapToGrid w:val="0"/>
              <w:jc w:val="center"/>
              <w:rPr>
                <w:rFonts w:ascii="Times New Roman" w:hAnsi="Times New Roman"/>
                <w:color w:val="000000"/>
                <w:sz w:val="18"/>
                <w:szCs w:val="18"/>
              </w:rPr>
            </w:pPr>
            <w:r>
              <w:rPr>
                <w:rFonts w:ascii="Times New Roman" w:hAnsi="Times New Roman"/>
                <w:sz w:val="18"/>
                <w:szCs w:val="18"/>
              </w:rPr>
              <w:t>5.3</w:t>
            </w:r>
          </w:p>
        </w:tc>
        <w:tc>
          <w:tcPr>
            <w:tcW w:w="286" w:type="pct"/>
            <w:vAlign w:val="center"/>
          </w:tcPr>
          <w:p>
            <w:pPr>
              <w:snapToGrid w:val="0"/>
              <w:jc w:val="center"/>
              <w:rPr>
                <w:rFonts w:ascii="Times New Roman" w:hAnsi="Times New Roman"/>
                <w:sz w:val="18"/>
                <w:szCs w:val="18"/>
              </w:rPr>
            </w:pPr>
            <w:r>
              <w:rPr>
                <w:rFonts w:hint="eastAsia" w:ascii="Times New Roman" w:hAnsi="Times New Roman"/>
                <w:sz w:val="18"/>
                <w:szCs w:val="18"/>
              </w:rPr>
              <w:t>2</w:t>
            </w:r>
            <w:r>
              <w:rPr>
                <w:rFonts w:ascii="Times New Roman" w:hAnsi="Times New Roman"/>
                <w:sz w:val="18"/>
                <w:szCs w:val="18"/>
              </w:rPr>
              <w:t>5</w:t>
            </w:r>
          </w:p>
        </w:tc>
        <w:tc>
          <w:tcPr>
            <w:tcW w:w="1515" w:type="pct"/>
            <w:vAlign w:val="center"/>
          </w:tcPr>
          <w:p>
            <w:pPr>
              <w:snapToGrid w:val="0"/>
              <w:rPr>
                <w:rFonts w:ascii="Times New Roman" w:hAnsi="Times New Roman"/>
                <w:sz w:val="18"/>
                <w:szCs w:val="18"/>
              </w:rPr>
            </w:pPr>
            <w:r>
              <w:rPr>
                <w:rFonts w:ascii="Times New Roman" w:hAnsi="Times New Roman"/>
                <w:sz w:val="18"/>
                <w:szCs w:val="18"/>
              </w:rPr>
              <w:t>纺织服装、服饰业</w:t>
            </w:r>
          </w:p>
        </w:tc>
        <w:tc>
          <w:tcPr>
            <w:tcW w:w="480" w:type="pct"/>
            <w:vAlign w:val="center"/>
          </w:tcPr>
          <w:p>
            <w:pPr>
              <w:snapToGrid w:val="0"/>
              <w:jc w:val="center"/>
              <w:rPr>
                <w:rFonts w:ascii="Times New Roman" w:hAnsi="Times New Roman"/>
                <w:sz w:val="18"/>
                <w:szCs w:val="18"/>
              </w:rPr>
            </w:pPr>
            <w:r>
              <w:rPr>
                <w:rFonts w:ascii="Times New Roman" w:hAnsi="Times New Roman"/>
                <w:sz w:val="18"/>
                <w:szCs w:val="18"/>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Align w:val="center"/>
          </w:tcPr>
          <w:p>
            <w:pPr>
              <w:widowControl/>
              <w:snapToGrid w:val="0"/>
              <w:jc w:val="center"/>
              <w:rPr>
                <w:rFonts w:ascii="Times New Roman" w:hAnsi="Times New Roman"/>
                <w:sz w:val="18"/>
                <w:szCs w:val="18"/>
              </w:rPr>
            </w:pPr>
            <w:r>
              <w:rPr>
                <w:rFonts w:hint="eastAsia" w:ascii="Times New Roman" w:hAnsi="Times New Roman"/>
                <w:sz w:val="18"/>
                <w:szCs w:val="18"/>
              </w:rPr>
              <w:t>7</w:t>
            </w:r>
          </w:p>
        </w:tc>
        <w:tc>
          <w:tcPr>
            <w:tcW w:w="1515" w:type="pct"/>
            <w:vAlign w:val="center"/>
          </w:tcPr>
          <w:p>
            <w:pPr>
              <w:widowControl/>
              <w:snapToGrid w:val="0"/>
              <w:rPr>
                <w:rFonts w:ascii="Times New Roman" w:hAnsi="Times New Roman"/>
                <w:color w:val="000000"/>
                <w:kern w:val="0"/>
                <w:sz w:val="18"/>
                <w:szCs w:val="18"/>
              </w:rPr>
            </w:pPr>
            <w:r>
              <w:rPr>
                <w:rFonts w:ascii="Times New Roman" w:hAnsi="Times New Roman"/>
                <w:sz w:val="18"/>
                <w:szCs w:val="18"/>
              </w:rPr>
              <w:t>化学原料和化学制品制造业</w:t>
            </w:r>
          </w:p>
        </w:tc>
        <w:tc>
          <w:tcPr>
            <w:tcW w:w="917" w:type="pct"/>
            <w:noWrap/>
            <w:vAlign w:val="center"/>
          </w:tcPr>
          <w:p>
            <w:pPr>
              <w:snapToGrid w:val="0"/>
              <w:jc w:val="center"/>
              <w:rPr>
                <w:rFonts w:ascii="Times New Roman" w:hAnsi="Times New Roman"/>
                <w:color w:val="000000"/>
                <w:sz w:val="18"/>
                <w:szCs w:val="18"/>
              </w:rPr>
            </w:pPr>
            <w:r>
              <w:rPr>
                <w:rFonts w:ascii="Times New Roman" w:hAnsi="Times New Roman"/>
                <w:sz w:val="18"/>
                <w:szCs w:val="18"/>
              </w:rPr>
              <w:t>4.7</w:t>
            </w:r>
          </w:p>
        </w:tc>
        <w:tc>
          <w:tcPr>
            <w:tcW w:w="286" w:type="pct"/>
            <w:vAlign w:val="center"/>
          </w:tcPr>
          <w:p>
            <w:pPr>
              <w:snapToGrid w:val="0"/>
              <w:jc w:val="center"/>
              <w:rPr>
                <w:rFonts w:ascii="Times New Roman" w:hAnsi="Times New Roman"/>
                <w:sz w:val="18"/>
                <w:szCs w:val="18"/>
              </w:rPr>
            </w:pPr>
            <w:r>
              <w:rPr>
                <w:rFonts w:hint="eastAsia" w:ascii="Times New Roman" w:hAnsi="Times New Roman"/>
                <w:sz w:val="18"/>
                <w:szCs w:val="18"/>
              </w:rPr>
              <w:t>2</w:t>
            </w:r>
            <w:r>
              <w:rPr>
                <w:rFonts w:ascii="Times New Roman" w:hAnsi="Times New Roman"/>
                <w:sz w:val="18"/>
                <w:szCs w:val="18"/>
              </w:rPr>
              <w:t>6</w:t>
            </w:r>
          </w:p>
        </w:tc>
        <w:tc>
          <w:tcPr>
            <w:tcW w:w="1515" w:type="pct"/>
            <w:vAlign w:val="center"/>
          </w:tcPr>
          <w:p>
            <w:pPr>
              <w:snapToGrid w:val="0"/>
              <w:rPr>
                <w:rFonts w:ascii="Times New Roman" w:hAnsi="Times New Roman"/>
                <w:sz w:val="18"/>
                <w:szCs w:val="18"/>
              </w:rPr>
            </w:pPr>
            <w:r>
              <w:rPr>
                <w:rFonts w:ascii="Times New Roman" w:hAnsi="Times New Roman"/>
                <w:sz w:val="18"/>
                <w:szCs w:val="18"/>
              </w:rPr>
              <w:t>烟草制品业</w:t>
            </w:r>
          </w:p>
        </w:tc>
        <w:tc>
          <w:tcPr>
            <w:tcW w:w="480" w:type="pct"/>
            <w:vAlign w:val="center"/>
          </w:tcPr>
          <w:p>
            <w:pPr>
              <w:snapToGrid w:val="0"/>
              <w:jc w:val="center"/>
              <w:rPr>
                <w:rFonts w:ascii="Times New Roman" w:hAnsi="Times New Roman"/>
                <w:sz w:val="18"/>
                <w:szCs w:val="18"/>
              </w:rPr>
            </w:pPr>
            <w:r>
              <w:rPr>
                <w:rFonts w:ascii="Times New Roman" w:hAnsi="Times New Roman"/>
                <w:sz w:val="18"/>
                <w:szCs w:val="18"/>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Align w:val="center"/>
          </w:tcPr>
          <w:p>
            <w:pPr>
              <w:widowControl/>
              <w:snapToGrid w:val="0"/>
              <w:jc w:val="center"/>
              <w:rPr>
                <w:rFonts w:ascii="Times New Roman" w:hAnsi="Times New Roman"/>
                <w:sz w:val="18"/>
                <w:szCs w:val="18"/>
              </w:rPr>
            </w:pPr>
            <w:r>
              <w:rPr>
                <w:rFonts w:hint="eastAsia" w:ascii="Times New Roman" w:hAnsi="Times New Roman"/>
                <w:sz w:val="18"/>
                <w:szCs w:val="18"/>
              </w:rPr>
              <w:t>8</w:t>
            </w:r>
          </w:p>
        </w:tc>
        <w:tc>
          <w:tcPr>
            <w:tcW w:w="1515" w:type="pct"/>
            <w:vAlign w:val="center"/>
          </w:tcPr>
          <w:p>
            <w:pPr>
              <w:widowControl/>
              <w:snapToGrid w:val="0"/>
              <w:rPr>
                <w:rFonts w:ascii="Times New Roman" w:hAnsi="Times New Roman"/>
                <w:color w:val="000000"/>
                <w:kern w:val="0"/>
                <w:sz w:val="18"/>
                <w:szCs w:val="18"/>
              </w:rPr>
            </w:pPr>
            <w:r>
              <w:rPr>
                <w:rFonts w:ascii="Times New Roman" w:hAnsi="Times New Roman"/>
                <w:sz w:val="18"/>
                <w:szCs w:val="18"/>
              </w:rPr>
              <w:t>通用设备制造业</w:t>
            </w:r>
          </w:p>
        </w:tc>
        <w:tc>
          <w:tcPr>
            <w:tcW w:w="917" w:type="pct"/>
            <w:noWrap/>
            <w:vAlign w:val="center"/>
          </w:tcPr>
          <w:p>
            <w:pPr>
              <w:snapToGrid w:val="0"/>
              <w:jc w:val="center"/>
              <w:rPr>
                <w:rFonts w:ascii="Times New Roman" w:hAnsi="Times New Roman"/>
                <w:color w:val="000000"/>
                <w:sz w:val="18"/>
                <w:szCs w:val="18"/>
              </w:rPr>
            </w:pPr>
            <w:r>
              <w:rPr>
                <w:rFonts w:ascii="Times New Roman" w:hAnsi="Times New Roman"/>
                <w:sz w:val="18"/>
                <w:szCs w:val="18"/>
              </w:rPr>
              <w:t>3.8</w:t>
            </w:r>
          </w:p>
        </w:tc>
        <w:tc>
          <w:tcPr>
            <w:tcW w:w="286" w:type="pct"/>
            <w:vAlign w:val="center"/>
          </w:tcPr>
          <w:p>
            <w:pPr>
              <w:snapToGrid w:val="0"/>
              <w:jc w:val="center"/>
              <w:rPr>
                <w:rFonts w:ascii="Times New Roman" w:hAnsi="Times New Roman"/>
                <w:sz w:val="18"/>
                <w:szCs w:val="18"/>
              </w:rPr>
            </w:pPr>
            <w:r>
              <w:rPr>
                <w:rFonts w:hint="eastAsia" w:ascii="Times New Roman" w:hAnsi="Times New Roman"/>
                <w:sz w:val="18"/>
                <w:szCs w:val="18"/>
              </w:rPr>
              <w:t>2</w:t>
            </w:r>
            <w:r>
              <w:rPr>
                <w:rFonts w:ascii="Times New Roman" w:hAnsi="Times New Roman"/>
                <w:sz w:val="18"/>
                <w:szCs w:val="18"/>
              </w:rPr>
              <w:t>7</w:t>
            </w:r>
          </w:p>
        </w:tc>
        <w:tc>
          <w:tcPr>
            <w:tcW w:w="1515" w:type="pct"/>
            <w:vAlign w:val="center"/>
          </w:tcPr>
          <w:p>
            <w:pPr>
              <w:snapToGrid w:val="0"/>
              <w:rPr>
                <w:rFonts w:ascii="Times New Roman" w:hAnsi="Times New Roman"/>
                <w:sz w:val="18"/>
                <w:szCs w:val="18"/>
              </w:rPr>
            </w:pPr>
            <w:r>
              <w:rPr>
                <w:rFonts w:ascii="Times New Roman" w:hAnsi="Times New Roman"/>
                <w:sz w:val="18"/>
                <w:szCs w:val="18"/>
              </w:rPr>
              <w:t>木材加工和木、竹、藤、棕、草制品业</w:t>
            </w:r>
          </w:p>
        </w:tc>
        <w:tc>
          <w:tcPr>
            <w:tcW w:w="480" w:type="pct"/>
            <w:vAlign w:val="center"/>
          </w:tcPr>
          <w:p>
            <w:pPr>
              <w:snapToGrid w:val="0"/>
              <w:jc w:val="center"/>
              <w:rPr>
                <w:rFonts w:ascii="Times New Roman" w:hAnsi="Times New Roman"/>
                <w:sz w:val="18"/>
                <w:szCs w:val="18"/>
              </w:rPr>
            </w:pPr>
            <w:r>
              <w:rPr>
                <w:rFonts w:ascii="Times New Roman" w:hAnsi="Times New Roman"/>
                <w:sz w:val="18"/>
                <w:szCs w:val="18"/>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Align w:val="center"/>
          </w:tcPr>
          <w:p>
            <w:pPr>
              <w:widowControl/>
              <w:snapToGrid w:val="0"/>
              <w:jc w:val="center"/>
              <w:rPr>
                <w:rFonts w:ascii="Times New Roman" w:hAnsi="Times New Roman"/>
                <w:sz w:val="18"/>
                <w:szCs w:val="18"/>
              </w:rPr>
            </w:pPr>
            <w:r>
              <w:rPr>
                <w:rFonts w:hint="eastAsia" w:ascii="Times New Roman" w:hAnsi="Times New Roman"/>
                <w:sz w:val="18"/>
                <w:szCs w:val="18"/>
              </w:rPr>
              <w:t>9</w:t>
            </w:r>
          </w:p>
        </w:tc>
        <w:tc>
          <w:tcPr>
            <w:tcW w:w="1515" w:type="pct"/>
            <w:vAlign w:val="center"/>
          </w:tcPr>
          <w:p>
            <w:pPr>
              <w:widowControl/>
              <w:snapToGrid w:val="0"/>
              <w:rPr>
                <w:rFonts w:ascii="Times New Roman" w:hAnsi="Times New Roman"/>
                <w:color w:val="000000"/>
                <w:kern w:val="0"/>
                <w:sz w:val="18"/>
                <w:szCs w:val="18"/>
              </w:rPr>
            </w:pPr>
            <w:r>
              <w:rPr>
                <w:rFonts w:ascii="Times New Roman" w:hAnsi="Times New Roman"/>
                <w:sz w:val="18"/>
                <w:szCs w:val="18"/>
              </w:rPr>
              <w:t>石油、煤炭及其他燃料加工业</w:t>
            </w:r>
          </w:p>
        </w:tc>
        <w:tc>
          <w:tcPr>
            <w:tcW w:w="917" w:type="pct"/>
            <w:noWrap/>
            <w:vAlign w:val="center"/>
          </w:tcPr>
          <w:p>
            <w:pPr>
              <w:snapToGrid w:val="0"/>
              <w:jc w:val="center"/>
              <w:rPr>
                <w:rFonts w:ascii="Times New Roman" w:hAnsi="Times New Roman"/>
                <w:color w:val="000000"/>
                <w:sz w:val="18"/>
                <w:szCs w:val="18"/>
              </w:rPr>
            </w:pPr>
            <w:r>
              <w:rPr>
                <w:rFonts w:ascii="Times New Roman" w:hAnsi="Times New Roman"/>
                <w:sz w:val="18"/>
                <w:szCs w:val="18"/>
              </w:rPr>
              <w:t>3.3</w:t>
            </w:r>
          </w:p>
        </w:tc>
        <w:tc>
          <w:tcPr>
            <w:tcW w:w="286" w:type="pct"/>
            <w:vAlign w:val="center"/>
          </w:tcPr>
          <w:p>
            <w:pPr>
              <w:snapToGrid w:val="0"/>
              <w:jc w:val="center"/>
              <w:rPr>
                <w:rFonts w:ascii="Times New Roman" w:hAnsi="Times New Roman"/>
                <w:sz w:val="18"/>
                <w:szCs w:val="18"/>
              </w:rPr>
            </w:pPr>
            <w:r>
              <w:rPr>
                <w:rFonts w:hint="eastAsia" w:ascii="Times New Roman" w:hAnsi="Times New Roman"/>
                <w:sz w:val="18"/>
                <w:szCs w:val="18"/>
              </w:rPr>
              <w:t>2</w:t>
            </w:r>
            <w:r>
              <w:rPr>
                <w:rFonts w:ascii="Times New Roman" w:hAnsi="Times New Roman"/>
                <w:sz w:val="18"/>
                <w:szCs w:val="18"/>
              </w:rPr>
              <w:t>8</w:t>
            </w:r>
          </w:p>
        </w:tc>
        <w:tc>
          <w:tcPr>
            <w:tcW w:w="1515" w:type="pct"/>
            <w:vAlign w:val="center"/>
          </w:tcPr>
          <w:p>
            <w:pPr>
              <w:snapToGrid w:val="0"/>
              <w:rPr>
                <w:rFonts w:ascii="Times New Roman" w:hAnsi="Times New Roman"/>
                <w:sz w:val="18"/>
                <w:szCs w:val="18"/>
              </w:rPr>
            </w:pPr>
            <w:r>
              <w:rPr>
                <w:rFonts w:ascii="Times New Roman" w:hAnsi="Times New Roman"/>
                <w:sz w:val="18"/>
                <w:szCs w:val="18"/>
              </w:rPr>
              <w:t>废弃资源综合利用业</w:t>
            </w:r>
          </w:p>
        </w:tc>
        <w:tc>
          <w:tcPr>
            <w:tcW w:w="480" w:type="pct"/>
            <w:vAlign w:val="center"/>
          </w:tcPr>
          <w:p>
            <w:pPr>
              <w:snapToGrid w:val="0"/>
              <w:jc w:val="center"/>
              <w:rPr>
                <w:rFonts w:ascii="Times New Roman" w:hAnsi="Times New Roman"/>
                <w:sz w:val="18"/>
                <w:szCs w:val="18"/>
              </w:rPr>
            </w:pPr>
            <w:r>
              <w:rPr>
                <w:rFonts w:ascii="Times New Roman" w:hAnsi="Times New Roman"/>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Align w:val="center"/>
          </w:tcPr>
          <w:p>
            <w:pPr>
              <w:widowControl/>
              <w:snapToGrid w:val="0"/>
              <w:jc w:val="center"/>
              <w:rPr>
                <w:rFonts w:ascii="Times New Roman" w:hAnsi="Times New Roman"/>
                <w:sz w:val="18"/>
                <w:szCs w:val="18"/>
              </w:rPr>
            </w:pPr>
            <w:r>
              <w:rPr>
                <w:rFonts w:hint="eastAsia" w:ascii="Times New Roman" w:hAnsi="Times New Roman"/>
                <w:sz w:val="18"/>
                <w:szCs w:val="18"/>
              </w:rPr>
              <w:t>1</w:t>
            </w:r>
            <w:r>
              <w:rPr>
                <w:rFonts w:ascii="Times New Roman" w:hAnsi="Times New Roman"/>
                <w:sz w:val="18"/>
                <w:szCs w:val="18"/>
              </w:rPr>
              <w:t>0</w:t>
            </w:r>
          </w:p>
        </w:tc>
        <w:tc>
          <w:tcPr>
            <w:tcW w:w="1515" w:type="pct"/>
            <w:vAlign w:val="center"/>
          </w:tcPr>
          <w:p>
            <w:pPr>
              <w:widowControl/>
              <w:snapToGrid w:val="0"/>
              <w:rPr>
                <w:rFonts w:ascii="Times New Roman" w:hAnsi="Times New Roman"/>
                <w:color w:val="000000"/>
                <w:kern w:val="0"/>
                <w:sz w:val="18"/>
                <w:szCs w:val="18"/>
              </w:rPr>
            </w:pPr>
            <w:r>
              <w:rPr>
                <w:rFonts w:ascii="Times New Roman" w:hAnsi="Times New Roman"/>
                <w:sz w:val="18"/>
                <w:szCs w:val="18"/>
              </w:rPr>
              <w:t>农副食品加工业</w:t>
            </w:r>
          </w:p>
        </w:tc>
        <w:tc>
          <w:tcPr>
            <w:tcW w:w="917" w:type="pct"/>
            <w:noWrap/>
            <w:vAlign w:val="center"/>
          </w:tcPr>
          <w:p>
            <w:pPr>
              <w:snapToGrid w:val="0"/>
              <w:jc w:val="center"/>
              <w:rPr>
                <w:rFonts w:ascii="Times New Roman" w:hAnsi="Times New Roman"/>
                <w:color w:val="000000"/>
                <w:sz w:val="18"/>
                <w:szCs w:val="18"/>
              </w:rPr>
            </w:pPr>
            <w:r>
              <w:rPr>
                <w:rFonts w:ascii="Times New Roman" w:hAnsi="Times New Roman"/>
                <w:sz w:val="18"/>
                <w:szCs w:val="18"/>
              </w:rPr>
              <w:t>3.1</w:t>
            </w:r>
          </w:p>
        </w:tc>
        <w:tc>
          <w:tcPr>
            <w:tcW w:w="286" w:type="pct"/>
            <w:vAlign w:val="center"/>
          </w:tcPr>
          <w:p>
            <w:pPr>
              <w:snapToGrid w:val="0"/>
              <w:jc w:val="center"/>
              <w:rPr>
                <w:rFonts w:ascii="Times New Roman" w:hAnsi="Times New Roman"/>
                <w:sz w:val="18"/>
                <w:szCs w:val="18"/>
              </w:rPr>
            </w:pPr>
            <w:r>
              <w:rPr>
                <w:rFonts w:hint="eastAsia" w:ascii="Times New Roman" w:hAnsi="Times New Roman"/>
                <w:sz w:val="18"/>
                <w:szCs w:val="18"/>
              </w:rPr>
              <w:t>2</w:t>
            </w:r>
            <w:r>
              <w:rPr>
                <w:rFonts w:ascii="Times New Roman" w:hAnsi="Times New Roman"/>
                <w:sz w:val="18"/>
                <w:szCs w:val="18"/>
              </w:rPr>
              <w:t>9</w:t>
            </w:r>
          </w:p>
        </w:tc>
        <w:tc>
          <w:tcPr>
            <w:tcW w:w="1515" w:type="pct"/>
            <w:vAlign w:val="center"/>
          </w:tcPr>
          <w:p>
            <w:pPr>
              <w:snapToGrid w:val="0"/>
              <w:rPr>
                <w:rFonts w:ascii="Times New Roman" w:hAnsi="Times New Roman"/>
                <w:sz w:val="18"/>
                <w:szCs w:val="18"/>
              </w:rPr>
            </w:pPr>
            <w:r>
              <w:rPr>
                <w:rFonts w:ascii="Times New Roman" w:hAnsi="Times New Roman"/>
                <w:sz w:val="18"/>
                <w:szCs w:val="18"/>
              </w:rPr>
              <w:t>仪器仪表制造业</w:t>
            </w:r>
          </w:p>
        </w:tc>
        <w:tc>
          <w:tcPr>
            <w:tcW w:w="480" w:type="pct"/>
            <w:vAlign w:val="center"/>
          </w:tcPr>
          <w:p>
            <w:pPr>
              <w:snapToGrid w:val="0"/>
              <w:jc w:val="center"/>
              <w:rPr>
                <w:rFonts w:ascii="Times New Roman" w:hAnsi="Times New Roman"/>
                <w:sz w:val="18"/>
                <w:szCs w:val="18"/>
              </w:rPr>
            </w:pPr>
            <w:r>
              <w:rPr>
                <w:rFonts w:ascii="Times New Roman" w:hAnsi="Times New Roman"/>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Align w:val="center"/>
          </w:tcPr>
          <w:p>
            <w:pPr>
              <w:widowControl/>
              <w:snapToGrid w:val="0"/>
              <w:jc w:val="center"/>
              <w:rPr>
                <w:rFonts w:ascii="Times New Roman" w:hAnsi="Times New Roman"/>
                <w:sz w:val="18"/>
                <w:szCs w:val="18"/>
              </w:rPr>
            </w:pPr>
            <w:r>
              <w:rPr>
                <w:rFonts w:hint="eastAsia" w:ascii="Times New Roman" w:hAnsi="Times New Roman"/>
                <w:sz w:val="18"/>
                <w:szCs w:val="18"/>
              </w:rPr>
              <w:t>1</w:t>
            </w:r>
            <w:r>
              <w:rPr>
                <w:rFonts w:ascii="Times New Roman" w:hAnsi="Times New Roman"/>
                <w:sz w:val="18"/>
                <w:szCs w:val="18"/>
              </w:rPr>
              <w:t>1</w:t>
            </w:r>
          </w:p>
        </w:tc>
        <w:tc>
          <w:tcPr>
            <w:tcW w:w="1515" w:type="pct"/>
            <w:vAlign w:val="center"/>
          </w:tcPr>
          <w:p>
            <w:pPr>
              <w:widowControl/>
              <w:snapToGrid w:val="0"/>
              <w:rPr>
                <w:rFonts w:ascii="Times New Roman" w:hAnsi="Times New Roman"/>
                <w:color w:val="000000"/>
                <w:kern w:val="0"/>
                <w:sz w:val="18"/>
                <w:szCs w:val="18"/>
              </w:rPr>
            </w:pPr>
            <w:r>
              <w:rPr>
                <w:rFonts w:ascii="Times New Roman" w:hAnsi="Times New Roman"/>
                <w:sz w:val="18"/>
                <w:szCs w:val="18"/>
              </w:rPr>
              <w:t>造纸和纸制品业</w:t>
            </w:r>
          </w:p>
        </w:tc>
        <w:tc>
          <w:tcPr>
            <w:tcW w:w="917" w:type="pct"/>
            <w:noWrap/>
            <w:vAlign w:val="center"/>
          </w:tcPr>
          <w:p>
            <w:pPr>
              <w:snapToGrid w:val="0"/>
              <w:jc w:val="center"/>
              <w:rPr>
                <w:rFonts w:ascii="Times New Roman" w:hAnsi="Times New Roman"/>
                <w:color w:val="000000"/>
                <w:sz w:val="18"/>
                <w:szCs w:val="18"/>
              </w:rPr>
            </w:pPr>
            <w:r>
              <w:rPr>
                <w:rFonts w:ascii="Times New Roman" w:hAnsi="Times New Roman"/>
                <w:sz w:val="18"/>
                <w:szCs w:val="18"/>
              </w:rPr>
              <w:t>3.0</w:t>
            </w:r>
          </w:p>
        </w:tc>
        <w:tc>
          <w:tcPr>
            <w:tcW w:w="286" w:type="pct"/>
            <w:vAlign w:val="center"/>
          </w:tcPr>
          <w:p>
            <w:pPr>
              <w:snapToGrid w:val="0"/>
              <w:jc w:val="center"/>
              <w:rPr>
                <w:rFonts w:ascii="Times New Roman" w:hAnsi="Times New Roman"/>
                <w:sz w:val="18"/>
                <w:szCs w:val="18"/>
              </w:rPr>
            </w:pPr>
            <w:r>
              <w:rPr>
                <w:rFonts w:hint="eastAsia" w:ascii="Times New Roman" w:hAnsi="Times New Roman"/>
                <w:sz w:val="18"/>
                <w:szCs w:val="18"/>
              </w:rPr>
              <w:t>3</w:t>
            </w:r>
            <w:r>
              <w:rPr>
                <w:rFonts w:ascii="Times New Roman" w:hAnsi="Times New Roman"/>
                <w:sz w:val="18"/>
                <w:szCs w:val="18"/>
              </w:rPr>
              <w:t>0</w:t>
            </w:r>
          </w:p>
        </w:tc>
        <w:tc>
          <w:tcPr>
            <w:tcW w:w="1515" w:type="pct"/>
            <w:vAlign w:val="center"/>
          </w:tcPr>
          <w:p>
            <w:pPr>
              <w:snapToGrid w:val="0"/>
              <w:rPr>
                <w:rFonts w:ascii="Times New Roman" w:hAnsi="Times New Roman"/>
                <w:sz w:val="18"/>
                <w:szCs w:val="18"/>
              </w:rPr>
            </w:pPr>
            <w:r>
              <w:rPr>
                <w:rFonts w:ascii="Times New Roman" w:hAnsi="Times New Roman"/>
                <w:sz w:val="18"/>
                <w:szCs w:val="18"/>
              </w:rPr>
              <w:t>金属制品、机械和设备修理业</w:t>
            </w:r>
          </w:p>
        </w:tc>
        <w:tc>
          <w:tcPr>
            <w:tcW w:w="480" w:type="pct"/>
            <w:vAlign w:val="center"/>
          </w:tcPr>
          <w:p>
            <w:pPr>
              <w:snapToGrid w:val="0"/>
              <w:jc w:val="center"/>
              <w:rPr>
                <w:rFonts w:ascii="Times New Roman" w:hAnsi="Times New Roman"/>
                <w:sz w:val="18"/>
                <w:szCs w:val="18"/>
              </w:rPr>
            </w:pPr>
            <w:r>
              <w:rPr>
                <w:rFonts w:ascii="Times New Roman" w:hAnsi="Times New Roman"/>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Align w:val="center"/>
          </w:tcPr>
          <w:p>
            <w:pPr>
              <w:widowControl/>
              <w:snapToGrid w:val="0"/>
              <w:jc w:val="center"/>
              <w:rPr>
                <w:rFonts w:ascii="Times New Roman" w:hAnsi="Times New Roman"/>
                <w:sz w:val="18"/>
                <w:szCs w:val="18"/>
              </w:rPr>
            </w:pPr>
            <w:r>
              <w:rPr>
                <w:rFonts w:hint="eastAsia" w:ascii="Times New Roman" w:hAnsi="Times New Roman"/>
                <w:sz w:val="18"/>
                <w:szCs w:val="18"/>
              </w:rPr>
              <w:t>1</w:t>
            </w:r>
            <w:r>
              <w:rPr>
                <w:rFonts w:ascii="Times New Roman" w:hAnsi="Times New Roman"/>
                <w:sz w:val="18"/>
                <w:szCs w:val="18"/>
              </w:rPr>
              <w:t>2</w:t>
            </w:r>
          </w:p>
        </w:tc>
        <w:tc>
          <w:tcPr>
            <w:tcW w:w="1515" w:type="pct"/>
            <w:vAlign w:val="center"/>
          </w:tcPr>
          <w:p>
            <w:pPr>
              <w:widowControl/>
              <w:snapToGrid w:val="0"/>
              <w:rPr>
                <w:rFonts w:ascii="Times New Roman" w:hAnsi="Times New Roman"/>
                <w:color w:val="000000"/>
                <w:kern w:val="0"/>
                <w:sz w:val="18"/>
                <w:szCs w:val="18"/>
              </w:rPr>
            </w:pPr>
            <w:r>
              <w:rPr>
                <w:rFonts w:ascii="Times New Roman" w:hAnsi="Times New Roman"/>
                <w:sz w:val="18"/>
                <w:szCs w:val="18"/>
              </w:rPr>
              <w:t>专用设备制造业</w:t>
            </w:r>
          </w:p>
        </w:tc>
        <w:tc>
          <w:tcPr>
            <w:tcW w:w="917" w:type="pct"/>
            <w:noWrap/>
            <w:vAlign w:val="center"/>
          </w:tcPr>
          <w:p>
            <w:pPr>
              <w:snapToGrid w:val="0"/>
              <w:jc w:val="center"/>
              <w:rPr>
                <w:rFonts w:ascii="Times New Roman" w:hAnsi="Times New Roman"/>
                <w:color w:val="000000"/>
                <w:sz w:val="18"/>
                <w:szCs w:val="18"/>
              </w:rPr>
            </w:pPr>
            <w:r>
              <w:rPr>
                <w:rFonts w:ascii="Times New Roman" w:hAnsi="Times New Roman"/>
                <w:sz w:val="18"/>
                <w:szCs w:val="18"/>
              </w:rPr>
              <w:t>2.9</w:t>
            </w:r>
          </w:p>
        </w:tc>
        <w:tc>
          <w:tcPr>
            <w:tcW w:w="286" w:type="pct"/>
            <w:vAlign w:val="center"/>
          </w:tcPr>
          <w:p>
            <w:pPr>
              <w:snapToGrid w:val="0"/>
              <w:jc w:val="center"/>
              <w:rPr>
                <w:rFonts w:ascii="Times New Roman" w:hAnsi="Times New Roman"/>
                <w:sz w:val="18"/>
                <w:szCs w:val="18"/>
              </w:rPr>
            </w:pPr>
            <w:r>
              <w:rPr>
                <w:rFonts w:hint="eastAsia" w:ascii="Times New Roman" w:hAnsi="Times New Roman"/>
                <w:sz w:val="18"/>
                <w:szCs w:val="18"/>
              </w:rPr>
              <w:t>3</w:t>
            </w:r>
            <w:r>
              <w:rPr>
                <w:rFonts w:ascii="Times New Roman" w:hAnsi="Times New Roman"/>
                <w:sz w:val="18"/>
                <w:szCs w:val="18"/>
              </w:rPr>
              <w:t>1</w:t>
            </w:r>
          </w:p>
        </w:tc>
        <w:tc>
          <w:tcPr>
            <w:tcW w:w="1515" w:type="pct"/>
            <w:vAlign w:val="center"/>
          </w:tcPr>
          <w:p>
            <w:pPr>
              <w:snapToGrid w:val="0"/>
              <w:rPr>
                <w:rFonts w:ascii="Times New Roman" w:hAnsi="Times New Roman"/>
                <w:sz w:val="18"/>
                <w:szCs w:val="18"/>
              </w:rPr>
            </w:pPr>
            <w:r>
              <w:rPr>
                <w:rFonts w:ascii="Times New Roman" w:hAnsi="Times New Roman"/>
                <w:sz w:val="18"/>
                <w:szCs w:val="18"/>
              </w:rPr>
              <w:t>非金属矿采选业</w:t>
            </w:r>
          </w:p>
        </w:tc>
        <w:tc>
          <w:tcPr>
            <w:tcW w:w="480" w:type="pct"/>
            <w:vAlign w:val="center"/>
          </w:tcPr>
          <w:p>
            <w:pPr>
              <w:snapToGrid w:val="0"/>
              <w:jc w:val="center"/>
              <w:rPr>
                <w:rFonts w:ascii="Times New Roman" w:hAnsi="Times New Roman"/>
                <w:sz w:val="18"/>
                <w:szCs w:val="18"/>
              </w:rPr>
            </w:pPr>
            <w:r>
              <w:rPr>
                <w:rFonts w:ascii="Times New Roman" w:hAnsi="Times New Roman"/>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Align w:val="center"/>
          </w:tcPr>
          <w:p>
            <w:pPr>
              <w:widowControl/>
              <w:snapToGrid w:val="0"/>
              <w:jc w:val="center"/>
              <w:rPr>
                <w:rFonts w:ascii="Times New Roman" w:hAnsi="Times New Roman"/>
                <w:sz w:val="18"/>
                <w:szCs w:val="18"/>
              </w:rPr>
            </w:pPr>
            <w:r>
              <w:rPr>
                <w:rFonts w:hint="eastAsia" w:ascii="Times New Roman" w:hAnsi="Times New Roman"/>
                <w:sz w:val="18"/>
                <w:szCs w:val="18"/>
              </w:rPr>
              <w:t>1</w:t>
            </w:r>
            <w:r>
              <w:rPr>
                <w:rFonts w:ascii="Times New Roman" w:hAnsi="Times New Roman"/>
                <w:sz w:val="18"/>
                <w:szCs w:val="18"/>
              </w:rPr>
              <w:t>3</w:t>
            </w:r>
          </w:p>
        </w:tc>
        <w:tc>
          <w:tcPr>
            <w:tcW w:w="1515" w:type="pct"/>
            <w:vAlign w:val="center"/>
          </w:tcPr>
          <w:p>
            <w:pPr>
              <w:widowControl/>
              <w:snapToGrid w:val="0"/>
              <w:rPr>
                <w:rFonts w:ascii="Times New Roman" w:hAnsi="Times New Roman"/>
                <w:color w:val="000000"/>
                <w:kern w:val="0"/>
                <w:sz w:val="18"/>
                <w:szCs w:val="18"/>
              </w:rPr>
            </w:pPr>
            <w:r>
              <w:rPr>
                <w:rFonts w:ascii="Times New Roman" w:hAnsi="Times New Roman"/>
                <w:sz w:val="18"/>
                <w:szCs w:val="18"/>
              </w:rPr>
              <w:t>黑色金属冶炼和压延加工业</w:t>
            </w:r>
          </w:p>
        </w:tc>
        <w:tc>
          <w:tcPr>
            <w:tcW w:w="917" w:type="pct"/>
            <w:noWrap/>
            <w:vAlign w:val="center"/>
          </w:tcPr>
          <w:p>
            <w:pPr>
              <w:snapToGrid w:val="0"/>
              <w:jc w:val="center"/>
              <w:rPr>
                <w:rFonts w:ascii="Times New Roman" w:hAnsi="Times New Roman"/>
                <w:color w:val="000000"/>
                <w:sz w:val="18"/>
                <w:szCs w:val="18"/>
              </w:rPr>
            </w:pPr>
            <w:r>
              <w:rPr>
                <w:rFonts w:ascii="Times New Roman" w:hAnsi="Times New Roman"/>
                <w:sz w:val="18"/>
                <w:szCs w:val="18"/>
              </w:rPr>
              <w:t>2.4</w:t>
            </w:r>
          </w:p>
        </w:tc>
        <w:tc>
          <w:tcPr>
            <w:tcW w:w="286" w:type="pct"/>
            <w:vAlign w:val="center"/>
          </w:tcPr>
          <w:p>
            <w:pPr>
              <w:snapToGrid w:val="0"/>
              <w:jc w:val="center"/>
              <w:rPr>
                <w:rFonts w:ascii="Times New Roman" w:hAnsi="Times New Roman"/>
                <w:sz w:val="18"/>
                <w:szCs w:val="18"/>
              </w:rPr>
            </w:pPr>
            <w:r>
              <w:rPr>
                <w:rFonts w:hint="eastAsia" w:ascii="Times New Roman" w:hAnsi="Times New Roman"/>
                <w:sz w:val="18"/>
                <w:szCs w:val="18"/>
              </w:rPr>
              <w:t>3</w:t>
            </w:r>
            <w:r>
              <w:rPr>
                <w:rFonts w:ascii="Times New Roman" w:hAnsi="Times New Roman"/>
                <w:sz w:val="18"/>
                <w:szCs w:val="18"/>
              </w:rPr>
              <w:t>2</w:t>
            </w:r>
          </w:p>
        </w:tc>
        <w:tc>
          <w:tcPr>
            <w:tcW w:w="1515" w:type="pct"/>
            <w:vAlign w:val="center"/>
          </w:tcPr>
          <w:p>
            <w:pPr>
              <w:snapToGrid w:val="0"/>
              <w:rPr>
                <w:rFonts w:ascii="Times New Roman" w:hAnsi="Times New Roman"/>
                <w:sz w:val="18"/>
                <w:szCs w:val="18"/>
              </w:rPr>
            </w:pPr>
            <w:r>
              <w:rPr>
                <w:rFonts w:ascii="Times New Roman" w:hAnsi="Times New Roman"/>
                <w:sz w:val="18"/>
                <w:szCs w:val="18"/>
              </w:rPr>
              <w:t>水的生产和供应业</w:t>
            </w:r>
          </w:p>
        </w:tc>
        <w:tc>
          <w:tcPr>
            <w:tcW w:w="480" w:type="pct"/>
            <w:vAlign w:val="center"/>
          </w:tcPr>
          <w:p>
            <w:pPr>
              <w:snapToGrid w:val="0"/>
              <w:jc w:val="center"/>
              <w:rPr>
                <w:rFonts w:ascii="Times New Roman" w:hAnsi="Times New Roman"/>
                <w:sz w:val="18"/>
                <w:szCs w:val="18"/>
              </w:rPr>
            </w:pPr>
            <w:r>
              <w:rPr>
                <w:rFonts w:ascii="Times New Roman" w:hAnsi="Times New Roman"/>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Align w:val="center"/>
          </w:tcPr>
          <w:p>
            <w:pPr>
              <w:widowControl/>
              <w:snapToGrid w:val="0"/>
              <w:jc w:val="center"/>
              <w:rPr>
                <w:rFonts w:ascii="Times New Roman" w:hAnsi="Times New Roman"/>
                <w:sz w:val="18"/>
                <w:szCs w:val="18"/>
              </w:rPr>
            </w:pPr>
            <w:r>
              <w:rPr>
                <w:rFonts w:hint="eastAsia" w:ascii="Times New Roman" w:hAnsi="Times New Roman"/>
                <w:sz w:val="18"/>
                <w:szCs w:val="18"/>
              </w:rPr>
              <w:t>1</w:t>
            </w:r>
            <w:r>
              <w:rPr>
                <w:rFonts w:ascii="Times New Roman" w:hAnsi="Times New Roman"/>
                <w:sz w:val="18"/>
                <w:szCs w:val="18"/>
              </w:rPr>
              <w:t>4</w:t>
            </w:r>
          </w:p>
        </w:tc>
        <w:tc>
          <w:tcPr>
            <w:tcW w:w="1515" w:type="pct"/>
            <w:vAlign w:val="center"/>
          </w:tcPr>
          <w:p>
            <w:pPr>
              <w:widowControl/>
              <w:snapToGrid w:val="0"/>
              <w:rPr>
                <w:rFonts w:ascii="Times New Roman" w:hAnsi="Times New Roman"/>
                <w:color w:val="000000"/>
                <w:kern w:val="0"/>
                <w:sz w:val="18"/>
                <w:szCs w:val="18"/>
              </w:rPr>
            </w:pPr>
            <w:r>
              <w:rPr>
                <w:rFonts w:ascii="Times New Roman" w:hAnsi="Times New Roman"/>
                <w:sz w:val="18"/>
                <w:szCs w:val="18"/>
              </w:rPr>
              <w:t>有色金属冶炼和压延加工业</w:t>
            </w:r>
          </w:p>
        </w:tc>
        <w:tc>
          <w:tcPr>
            <w:tcW w:w="917" w:type="pct"/>
            <w:noWrap/>
            <w:vAlign w:val="center"/>
          </w:tcPr>
          <w:p>
            <w:pPr>
              <w:snapToGrid w:val="0"/>
              <w:jc w:val="center"/>
              <w:rPr>
                <w:rFonts w:ascii="Times New Roman" w:hAnsi="Times New Roman"/>
                <w:color w:val="000000"/>
                <w:sz w:val="18"/>
                <w:szCs w:val="18"/>
              </w:rPr>
            </w:pPr>
            <w:r>
              <w:rPr>
                <w:rFonts w:ascii="Times New Roman" w:hAnsi="Times New Roman"/>
                <w:sz w:val="18"/>
                <w:szCs w:val="18"/>
              </w:rPr>
              <w:t>2.1</w:t>
            </w:r>
          </w:p>
        </w:tc>
        <w:tc>
          <w:tcPr>
            <w:tcW w:w="286" w:type="pct"/>
            <w:vAlign w:val="center"/>
          </w:tcPr>
          <w:p>
            <w:pPr>
              <w:snapToGrid w:val="0"/>
              <w:jc w:val="center"/>
              <w:rPr>
                <w:rFonts w:ascii="Times New Roman" w:hAnsi="Times New Roman"/>
                <w:sz w:val="18"/>
                <w:szCs w:val="18"/>
              </w:rPr>
            </w:pPr>
            <w:r>
              <w:rPr>
                <w:rFonts w:hint="eastAsia" w:ascii="Times New Roman" w:hAnsi="Times New Roman"/>
                <w:sz w:val="18"/>
                <w:szCs w:val="18"/>
              </w:rPr>
              <w:t>3</w:t>
            </w:r>
            <w:r>
              <w:rPr>
                <w:rFonts w:ascii="Times New Roman" w:hAnsi="Times New Roman"/>
                <w:sz w:val="18"/>
                <w:szCs w:val="18"/>
              </w:rPr>
              <w:t>3</w:t>
            </w:r>
          </w:p>
        </w:tc>
        <w:tc>
          <w:tcPr>
            <w:tcW w:w="1515" w:type="pct"/>
            <w:vAlign w:val="center"/>
          </w:tcPr>
          <w:p>
            <w:pPr>
              <w:snapToGrid w:val="0"/>
              <w:rPr>
                <w:rFonts w:ascii="Times New Roman" w:hAnsi="Times New Roman"/>
                <w:sz w:val="18"/>
                <w:szCs w:val="18"/>
              </w:rPr>
            </w:pPr>
            <w:r>
              <w:rPr>
                <w:rFonts w:ascii="Times New Roman" w:hAnsi="Times New Roman"/>
                <w:sz w:val="18"/>
                <w:szCs w:val="18"/>
              </w:rPr>
              <w:t>化学纤维制造业</w:t>
            </w:r>
          </w:p>
        </w:tc>
        <w:tc>
          <w:tcPr>
            <w:tcW w:w="480" w:type="pct"/>
            <w:vAlign w:val="center"/>
          </w:tcPr>
          <w:p>
            <w:pPr>
              <w:snapToGrid w:val="0"/>
              <w:jc w:val="center"/>
              <w:rPr>
                <w:rFonts w:ascii="Times New Roman" w:hAnsi="Times New Roman"/>
                <w:sz w:val="18"/>
                <w:szCs w:val="18"/>
              </w:rPr>
            </w:pPr>
            <w:r>
              <w:rPr>
                <w:rFonts w:ascii="Times New Roman" w:hAnsi="Times New Roman"/>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Align w:val="center"/>
          </w:tcPr>
          <w:p>
            <w:pPr>
              <w:widowControl/>
              <w:snapToGrid w:val="0"/>
              <w:jc w:val="center"/>
              <w:rPr>
                <w:rFonts w:ascii="Times New Roman" w:hAnsi="Times New Roman"/>
                <w:sz w:val="18"/>
                <w:szCs w:val="18"/>
              </w:rPr>
            </w:pPr>
            <w:r>
              <w:rPr>
                <w:rFonts w:hint="eastAsia" w:ascii="Times New Roman" w:hAnsi="Times New Roman"/>
                <w:sz w:val="18"/>
                <w:szCs w:val="18"/>
              </w:rPr>
              <w:t>1</w:t>
            </w:r>
            <w:r>
              <w:rPr>
                <w:rFonts w:ascii="Times New Roman" w:hAnsi="Times New Roman"/>
                <w:sz w:val="18"/>
                <w:szCs w:val="18"/>
              </w:rPr>
              <w:t>5</w:t>
            </w:r>
          </w:p>
        </w:tc>
        <w:tc>
          <w:tcPr>
            <w:tcW w:w="1515" w:type="pct"/>
            <w:vAlign w:val="center"/>
          </w:tcPr>
          <w:p>
            <w:pPr>
              <w:widowControl/>
              <w:snapToGrid w:val="0"/>
              <w:rPr>
                <w:rFonts w:ascii="Times New Roman" w:hAnsi="Times New Roman"/>
                <w:color w:val="000000"/>
                <w:kern w:val="0"/>
                <w:sz w:val="18"/>
                <w:szCs w:val="18"/>
              </w:rPr>
            </w:pPr>
            <w:r>
              <w:rPr>
                <w:rFonts w:ascii="Times New Roman" w:hAnsi="Times New Roman"/>
                <w:sz w:val="18"/>
                <w:szCs w:val="18"/>
              </w:rPr>
              <w:t>电力、热力生产和供应业</w:t>
            </w:r>
          </w:p>
        </w:tc>
        <w:tc>
          <w:tcPr>
            <w:tcW w:w="917" w:type="pct"/>
            <w:noWrap/>
            <w:vAlign w:val="center"/>
          </w:tcPr>
          <w:p>
            <w:pPr>
              <w:snapToGrid w:val="0"/>
              <w:jc w:val="center"/>
              <w:rPr>
                <w:rFonts w:ascii="Times New Roman" w:hAnsi="Times New Roman"/>
                <w:color w:val="000000"/>
                <w:sz w:val="18"/>
                <w:szCs w:val="18"/>
              </w:rPr>
            </w:pPr>
            <w:r>
              <w:rPr>
                <w:rFonts w:ascii="Times New Roman" w:hAnsi="Times New Roman"/>
                <w:sz w:val="18"/>
                <w:szCs w:val="18"/>
              </w:rPr>
              <w:t>1.8</w:t>
            </w:r>
          </w:p>
        </w:tc>
        <w:tc>
          <w:tcPr>
            <w:tcW w:w="286" w:type="pct"/>
            <w:vAlign w:val="center"/>
          </w:tcPr>
          <w:p>
            <w:pPr>
              <w:snapToGrid w:val="0"/>
              <w:jc w:val="center"/>
              <w:rPr>
                <w:rFonts w:ascii="Times New Roman" w:hAnsi="Times New Roman"/>
                <w:sz w:val="18"/>
                <w:szCs w:val="18"/>
              </w:rPr>
            </w:pPr>
            <w:r>
              <w:rPr>
                <w:rFonts w:hint="eastAsia" w:ascii="Times New Roman" w:hAnsi="Times New Roman"/>
                <w:sz w:val="18"/>
                <w:szCs w:val="18"/>
              </w:rPr>
              <w:t>3</w:t>
            </w:r>
            <w:r>
              <w:rPr>
                <w:rFonts w:ascii="Times New Roman" w:hAnsi="Times New Roman"/>
                <w:sz w:val="18"/>
                <w:szCs w:val="18"/>
              </w:rPr>
              <w:t>4</w:t>
            </w:r>
          </w:p>
        </w:tc>
        <w:tc>
          <w:tcPr>
            <w:tcW w:w="1515" w:type="pct"/>
            <w:vAlign w:val="center"/>
          </w:tcPr>
          <w:p>
            <w:pPr>
              <w:snapToGrid w:val="0"/>
              <w:rPr>
                <w:rFonts w:ascii="Times New Roman" w:hAnsi="Times New Roman"/>
                <w:sz w:val="18"/>
                <w:szCs w:val="18"/>
              </w:rPr>
            </w:pPr>
            <w:r>
              <w:rPr>
                <w:rFonts w:ascii="Times New Roman" w:hAnsi="Times New Roman"/>
                <w:sz w:val="18"/>
                <w:szCs w:val="18"/>
              </w:rPr>
              <w:t>石油和天然气开采业</w:t>
            </w:r>
          </w:p>
        </w:tc>
        <w:tc>
          <w:tcPr>
            <w:tcW w:w="480" w:type="pct"/>
            <w:vAlign w:val="center"/>
          </w:tcPr>
          <w:p>
            <w:pPr>
              <w:snapToGrid w:val="0"/>
              <w:jc w:val="center"/>
              <w:rPr>
                <w:rFonts w:ascii="Times New Roman" w:hAnsi="Times New Roman"/>
                <w:sz w:val="18"/>
                <w:szCs w:val="18"/>
              </w:rPr>
            </w:pPr>
            <w:r>
              <w:rPr>
                <w:rFonts w:ascii="Times New Roman" w:hAnsi="Times New Roman"/>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Align w:val="center"/>
          </w:tcPr>
          <w:p>
            <w:pPr>
              <w:widowControl/>
              <w:snapToGrid w:val="0"/>
              <w:jc w:val="center"/>
              <w:rPr>
                <w:rFonts w:ascii="Times New Roman" w:hAnsi="Times New Roman"/>
                <w:sz w:val="18"/>
                <w:szCs w:val="18"/>
              </w:rPr>
            </w:pPr>
            <w:r>
              <w:rPr>
                <w:rFonts w:hint="eastAsia" w:ascii="Times New Roman" w:hAnsi="Times New Roman"/>
                <w:sz w:val="18"/>
                <w:szCs w:val="18"/>
              </w:rPr>
              <w:t>1</w:t>
            </w:r>
            <w:r>
              <w:rPr>
                <w:rFonts w:ascii="Times New Roman" w:hAnsi="Times New Roman"/>
                <w:sz w:val="18"/>
                <w:szCs w:val="18"/>
              </w:rPr>
              <w:t>6</w:t>
            </w:r>
          </w:p>
        </w:tc>
        <w:tc>
          <w:tcPr>
            <w:tcW w:w="1515" w:type="pct"/>
            <w:vAlign w:val="center"/>
          </w:tcPr>
          <w:p>
            <w:pPr>
              <w:widowControl/>
              <w:snapToGrid w:val="0"/>
              <w:rPr>
                <w:rFonts w:ascii="Times New Roman" w:hAnsi="Times New Roman"/>
                <w:color w:val="000000"/>
                <w:kern w:val="0"/>
                <w:sz w:val="18"/>
                <w:szCs w:val="18"/>
              </w:rPr>
            </w:pPr>
            <w:r>
              <w:rPr>
                <w:rFonts w:ascii="Times New Roman" w:hAnsi="Times New Roman"/>
                <w:sz w:val="18"/>
                <w:szCs w:val="18"/>
              </w:rPr>
              <w:t>食品制造业</w:t>
            </w:r>
          </w:p>
        </w:tc>
        <w:tc>
          <w:tcPr>
            <w:tcW w:w="917" w:type="pct"/>
            <w:noWrap/>
            <w:vAlign w:val="center"/>
          </w:tcPr>
          <w:p>
            <w:pPr>
              <w:snapToGrid w:val="0"/>
              <w:jc w:val="center"/>
              <w:rPr>
                <w:rFonts w:ascii="Times New Roman" w:hAnsi="Times New Roman"/>
                <w:color w:val="000000"/>
                <w:sz w:val="18"/>
                <w:szCs w:val="18"/>
              </w:rPr>
            </w:pPr>
            <w:r>
              <w:rPr>
                <w:rFonts w:ascii="Times New Roman" w:hAnsi="Times New Roman"/>
                <w:sz w:val="18"/>
                <w:szCs w:val="18"/>
              </w:rPr>
              <w:t>1.7</w:t>
            </w:r>
          </w:p>
        </w:tc>
        <w:tc>
          <w:tcPr>
            <w:tcW w:w="286" w:type="pct"/>
            <w:vAlign w:val="center"/>
          </w:tcPr>
          <w:p>
            <w:pPr>
              <w:snapToGrid w:val="0"/>
              <w:jc w:val="center"/>
              <w:rPr>
                <w:rFonts w:ascii="Times New Roman" w:hAnsi="Times New Roman"/>
                <w:sz w:val="18"/>
                <w:szCs w:val="18"/>
              </w:rPr>
            </w:pPr>
            <w:r>
              <w:rPr>
                <w:rFonts w:hint="eastAsia" w:ascii="Times New Roman" w:hAnsi="Times New Roman"/>
                <w:sz w:val="18"/>
                <w:szCs w:val="18"/>
              </w:rPr>
              <w:t>3</w:t>
            </w:r>
            <w:r>
              <w:rPr>
                <w:rFonts w:ascii="Times New Roman" w:hAnsi="Times New Roman"/>
                <w:sz w:val="18"/>
                <w:szCs w:val="18"/>
              </w:rPr>
              <w:t>5</w:t>
            </w:r>
          </w:p>
        </w:tc>
        <w:tc>
          <w:tcPr>
            <w:tcW w:w="1515" w:type="pct"/>
            <w:vAlign w:val="center"/>
          </w:tcPr>
          <w:p>
            <w:pPr>
              <w:snapToGrid w:val="0"/>
              <w:rPr>
                <w:rFonts w:ascii="Times New Roman" w:hAnsi="Times New Roman"/>
                <w:sz w:val="18"/>
                <w:szCs w:val="18"/>
              </w:rPr>
            </w:pPr>
            <w:r>
              <w:rPr>
                <w:rFonts w:ascii="Times New Roman" w:hAnsi="Times New Roman"/>
                <w:sz w:val="18"/>
                <w:szCs w:val="18"/>
              </w:rPr>
              <w:t>有色金属矿采选业</w:t>
            </w:r>
          </w:p>
        </w:tc>
        <w:tc>
          <w:tcPr>
            <w:tcW w:w="480" w:type="pct"/>
            <w:vAlign w:val="center"/>
          </w:tcPr>
          <w:p>
            <w:pPr>
              <w:snapToGrid w:val="0"/>
              <w:jc w:val="center"/>
              <w:rPr>
                <w:rFonts w:ascii="Times New Roman" w:hAnsi="Times New Roman"/>
                <w:sz w:val="18"/>
                <w:szCs w:val="18"/>
              </w:rPr>
            </w:pPr>
            <w:r>
              <w:rPr>
                <w:rFonts w:ascii="Times New Roman" w:hAnsi="Times New Roman"/>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Align w:val="center"/>
          </w:tcPr>
          <w:p>
            <w:pPr>
              <w:widowControl/>
              <w:snapToGrid w:val="0"/>
              <w:jc w:val="center"/>
              <w:rPr>
                <w:rFonts w:ascii="Times New Roman" w:hAnsi="Times New Roman"/>
                <w:sz w:val="18"/>
                <w:szCs w:val="18"/>
              </w:rPr>
            </w:pPr>
            <w:r>
              <w:rPr>
                <w:rFonts w:hint="eastAsia" w:ascii="Times New Roman" w:hAnsi="Times New Roman"/>
                <w:sz w:val="18"/>
                <w:szCs w:val="18"/>
              </w:rPr>
              <w:t>1</w:t>
            </w:r>
            <w:r>
              <w:rPr>
                <w:rFonts w:ascii="Times New Roman" w:hAnsi="Times New Roman"/>
                <w:sz w:val="18"/>
                <w:szCs w:val="18"/>
              </w:rPr>
              <w:t>7</w:t>
            </w:r>
          </w:p>
        </w:tc>
        <w:tc>
          <w:tcPr>
            <w:tcW w:w="1515" w:type="pct"/>
            <w:vAlign w:val="center"/>
          </w:tcPr>
          <w:p>
            <w:pPr>
              <w:widowControl/>
              <w:snapToGrid w:val="0"/>
              <w:rPr>
                <w:rFonts w:ascii="Times New Roman" w:hAnsi="Times New Roman"/>
                <w:color w:val="000000"/>
                <w:kern w:val="0"/>
                <w:sz w:val="18"/>
                <w:szCs w:val="18"/>
              </w:rPr>
            </w:pPr>
            <w:r>
              <w:rPr>
                <w:rFonts w:ascii="Times New Roman" w:hAnsi="Times New Roman"/>
                <w:sz w:val="18"/>
                <w:szCs w:val="18"/>
              </w:rPr>
              <w:t>印刷和记录媒介复制业</w:t>
            </w:r>
          </w:p>
        </w:tc>
        <w:tc>
          <w:tcPr>
            <w:tcW w:w="917" w:type="pct"/>
            <w:noWrap/>
            <w:vAlign w:val="center"/>
          </w:tcPr>
          <w:p>
            <w:pPr>
              <w:snapToGrid w:val="0"/>
              <w:jc w:val="center"/>
              <w:rPr>
                <w:rFonts w:ascii="Times New Roman" w:hAnsi="Times New Roman"/>
                <w:color w:val="000000"/>
                <w:sz w:val="18"/>
                <w:szCs w:val="18"/>
              </w:rPr>
            </w:pPr>
            <w:r>
              <w:rPr>
                <w:rFonts w:ascii="Times New Roman" w:hAnsi="Times New Roman"/>
                <w:sz w:val="18"/>
                <w:szCs w:val="18"/>
              </w:rPr>
              <w:t>1.7</w:t>
            </w:r>
          </w:p>
        </w:tc>
        <w:tc>
          <w:tcPr>
            <w:tcW w:w="286" w:type="pct"/>
            <w:vAlign w:val="center"/>
          </w:tcPr>
          <w:p>
            <w:pPr>
              <w:snapToGrid w:val="0"/>
              <w:jc w:val="center"/>
              <w:rPr>
                <w:rFonts w:ascii="Times New Roman" w:hAnsi="Times New Roman"/>
                <w:sz w:val="18"/>
                <w:szCs w:val="18"/>
              </w:rPr>
            </w:pPr>
            <w:r>
              <w:rPr>
                <w:rFonts w:hint="eastAsia" w:ascii="Times New Roman" w:hAnsi="Times New Roman"/>
                <w:sz w:val="18"/>
                <w:szCs w:val="18"/>
              </w:rPr>
              <w:t>3</w:t>
            </w:r>
            <w:r>
              <w:rPr>
                <w:rFonts w:ascii="Times New Roman" w:hAnsi="Times New Roman"/>
                <w:sz w:val="18"/>
                <w:szCs w:val="18"/>
              </w:rPr>
              <w:t>6</w:t>
            </w:r>
          </w:p>
        </w:tc>
        <w:tc>
          <w:tcPr>
            <w:tcW w:w="1515" w:type="pct"/>
            <w:vAlign w:val="center"/>
          </w:tcPr>
          <w:p>
            <w:pPr>
              <w:snapToGrid w:val="0"/>
              <w:rPr>
                <w:rFonts w:ascii="Times New Roman" w:hAnsi="Times New Roman"/>
                <w:sz w:val="18"/>
                <w:szCs w:val="18"/>
              </w:rPr>
            </w:pPr>
            <w:r>
              <w:rPr>
                <w:rFonts w:ascii="Times New Roman" w:hAnsi="Times New Roman"/>
                <w:sz w:val="18"/>
                <w:szCs w:val="18"/>
              </w:rPr>
              <w:t>其他制造业</w:t>
            </w:r>
          </w:p>
        </w:tc>
        <w:tc>
          <w:tcPr>
            <w:tcW w:w="480" w:type="pct"/>
            <w:vAlign w:val="center"/>
          </w:tcPr>
          <w:p>
            <w:pPr>
              <w:snapToGrid w:val="0"/>
              <w:jc w:val="center"/>
              <w:rPr>
                <w:rFonts w:ascii="Times New Roman" w:hAnsi="Times New Roman"/>
                <w:sz w:val="18"/>
                <w:szCs w:val="18"/>
              </w:rPr>
            </w:pPr>
            <w:r>
              <w:rPr>
                <w:rFonts w:ascii="Times New Roman" w:hAnsi="Times New Roman"/>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Align w:val="center"/>
          </w:tcPr>
          <w:p>
            <w:pPr>
              <w:widowControl/>
              <w:snapToGrid w:val="0"/>
              <w:jc w:val="center"/>
              <w:rPr>
                <w:rFonts w:ascii="Times New Roman" w:hAnsi="Times New Roman"/>
                <w:sz w:val="18"/>
                <w:szCs w:val="18"/>
              </w:rPr>
            </w:pPr>
            <w:r>
              <w:rPr>
                <w:rFonts w:hint="eastAsia" w:ascii="Times New Roman" w:hAnsi="Times New Roman"/>
                <w:sz w:val="18"/>
                <w:szCs w:val="18"/>
              </w:rPr>
              <w:t>1</w:t>
            </w:r>
            <w:r>
              <w:rPr>
                <w:rFonts w:ascii="Times New Roman" w:hAnsi="Times New Roman"/>
                <w:sz w:val="18"/>
                <w:szCs w:val="18"/>
              </w:rPr>
              <w:t>8</w:t>
            </w:r>
          </w:p>
        </w:tc>
        <w:tc>
          <w:tcPr>
            <w:tcW w:w="1515" w:type="pct"/>
            <w:vAlign w:val="center"/>
          </w:tcPr>
          <w:p>
            <w:pPr>
              <w:widowControl/>
              <w:snapToGrid w:val="0"/>
              <w:rPr>
                <w:rFonts w:ascii="Times New Roman" w:hAnsi="Times New Roman"/>
                <w:color w:val="000000"/>
                <w:kern w:val="0"/>
                <w:sz w:val="18"/>
                <w:szCs w:val="18"/>
              </w:rPr>
            </w:pPr>
            <w:r>
              <w:rPr>
                <w:rFonts w:ascii="Times New Roman" w:hAnsi="Times New Roman"/>
                <w:sz w:val="18"/>
                <w:szCs w:val="18"/>
              </w:rPr>
              <w:t>文教、工美、体育和娱乐用品制造业</w:t>
            </w:r>
          </w:p>
        </w:tc>
        <w:tc>
          <w:tcPr>
            <w:tcW w:w="917" w:type="pct"/>
            <w:noWrap/>
            <w:vAlign w:val="center"/>
          </w:tcPr>
          <w:p>
            <w:pPr>
              <w:snapToGrid w:val="0"/>
              <w:jc w:val="center"/>
              <w:rPr>
                <w:rFonts w:ascii="Times New Roman" w:hAnsi="Times New Roman"/>
                <w:color w:val="000000"/>
                <w:sz w:val="18"/>
                <w:szCs w:val="18"/>
              </w:rPr>
            </w:pPr>
            <w:r>
              <w:rPr>
                <w:rFonts w:ascii="Times New Roman" w:hAnsi="Times New Roman"/>
                <w:sz w:val="18"/>
                <w:szCs w:val="18"/>
              </w:rPr>
              <w:t>1.6</w:t>
            </w:r>
          </w:p>
        </w:tc>
        <w:tc>
          <w:tcPr>
            <w:tcW w:w="286" w:type="pct"/>
            <w:vAlign w:val="center"/>
          </w:tcPr>
          <w:p>
            <w:pPr>
              <w:snapToGrid w:val="0"/>
              <w:jc w:val="center"/>
              <w:rPr>
                <w:rFonts w:ascii="Times New Roman" w:hAnsi="Times New Roman"/>
                <w:sz w:val="18"/>
                <w:szCs w:val="18"/>
              </w:rPr>
            </w:pPr>
            <w:r>
              <w:rPr>
                <w:rFonts w:hint="eastAsia" w:ascii="Times New Roman" w:hAnsi="Times New Roman"/>
                <w:sz w:val="18"/>
                <w:szCs w:val="18"/>
              </w:rPr>
              <w:t>3</w:t>
            </w:r>
            <w:r>
              <w:rPr>
                <w:rFonts w:ascii="Times New Roman" w:hAnsi="Times New Roman"/>
                <w:sz w:val="18"/>
                <w:szCs w:val="18"/>
              </w:rPr>
              <w:t>7</w:t>
            </w:r>
          </w:p>
        </w:tc>
        <w:tc>
          <w:tcPr>
            <w:tcW w:w="1515" w:type="pct"/>
            <w:vAlign w:val="center"/>
          </w:tcPr>
          <w:p>
            <w:pPr>
              <w:snapToGrid w:val="0"/>
              <w:rPr>
                <w:rFonts w:ascii="Times New Roman" w:hAnsi="Times New Roman"/>
                <w:sz w:val="18"/>
                <w:szCs w:val="18"/>
              </w:rPr>
            </w:pPr>
            <w:r>
              <w:rPr>
                <w:rFonts w:ascii="Times New Roman" w:hAnsi="Times New Roman"/>
                <w:sz w:val="18"/>
                <w:szCs w:val="18"/>
              </w:rPr>
              <w:t>燃气生产和供应业</w:t>
            </w:r>
          </w:p>
        </w:tc>
        <w:tc>
          <w:tcPr>
            <w:tcW w:w="480" w:type="pct"/>
            <w:vAlign w:val="center"/>
          </w:tcPr>
          <w:p>
            <w:pPr>
              <w:snapToGrid w:val="0"/>
              <w:jc w:val="center"/>
              <w:rPr>
                <w:rFonts w:ascii="Times New Roman" w:hAnsi="Times New Roman"/>
                <w:sz w:val="18"/>
                <w:szCs w:val="18"/>
              </w:rPr>
            </w:pPr>
            <w:r>
              <w:rPr>
                <w:rFonts w:ascii="Times New Roman" w:hAnsi="Times New Roman"/>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Align w:val="center"/>
          </w:tcPr>
          <w:p>
            <w:pPr>
              <w:widowControl/>
              <w:snapToGrid w:val="0"/>
              <w:jc w:val="center"/>
              <w:rPr>
                <w:rFonts w:ascii="Times New Roman" w:hAnsi="Times New Roman"/>
                <w:sz w:val="18"/>
                <w:szCs w:val="18"/>
              </w:rPr>
            </w:pPr>
            <w:r>
              <w:rPr>
                <w:rFonts w:hint="eastAsia" w:ascii="Times New Roman" w:hAnsi="Times New Roman"/>
                <w:sz w:val="18"/>
                <w:szCs w:val="18"/>
              </w:rPr>
              <w:t>1</w:t>
            </w:r>
            <w:r>
              <w:rPr>
                <w:rFonts w:ascii="Times New Roman" w:hAnsi="Times New Roman"/>
                <w:sz w:val="18"/>
                <w:szCs w:val="18"/>
              </w:rPr>
              <w:t>9</w:t>
            </w:r>
          </w:p>
        </w:tc>
        <w:tc>
          <w:tcPr>
            <w:tcW w:w="1515" w:type="pct"/>
            <w:vAlign w:val="center"/>
          </w:tcPr>
          <w:p>
            <w:pPr>
              <w:widowControl/>
              <w:snapToGrid w:val="0"/>
              <w:rPr>
                <w:rFonts w:ascii="Times New Roman" w:hAnsi="Times New Roman"/>
                <w:color w:val="000000"/>
                <w:kern w:val="0"/>
                <w:sz w:val="18"/>
                <w:szCs w:val="18"/>
              </w:rPr>
            </w:pPr>
            <w:r>
              <w:rPr>
                <w:rFonts w:ascii="Times New Roman" w:hAnsi="Times New Roman"/>
                <w:sz w:val="18"/>
                <w:szCs w:val="18"/>
              </w:rPr>
              <w:t>家具制造业</w:t>
            </w:r>
          </w:p>
        </w:tc>
        <w:tc>
          <w:tcPr>
            <w:tcW w:w="917" w:type="pct"/>
            <w:noWrap/>
            <w:vAlign w:val="center"/>
          </w:tcPr>
          <w:p>
            <w:pPr>
              <w:snapToGrid w:val="0"/>
              <w:jc w:val="center"/>
              <w:rPr>
                <w:rFonts w:ascii="Times New Roman" w:hAnsi="Times New Roman"/>
                <w:color w:val="000000"/>
                <w:sz w:val="18"/>
                <w:szCs w:val="18"/>
              </w:rPr>
            </w:pPr>
            <w:r>
              <w:rPr>
                <w:rFonts w:ascii="Times New Roman" w:hAnsi="Times New Roman"/>
                <w:sz w:val="18"/>
                <w:szCs w:val="18"/>
              </w:rPr>
              <w:t>1.5</w:t>
            </w:r>
          </w:p>
        </w:tc>
        <w:tc>
          <w:tcPr>
            <w:tcW w:w="286" w:type="pct"/>
            <w:vAlign w:val="center"/>
          </w:tcPr>
          <w:p>
            <w:pPr>
              <w:snapToGrid w:val="0"/>
              <w:jc w:val="center"/>
              <w:rPr>
                <w:rFonts w:ascii="Times New Roman" w:hAnsi="Times New Roman"/>
                <w:sz w:val="18"/>
                <w:szCs w:val="18"/>
              </w:rPr>
            </w:pPr>
            <w:r>
              <w:rPr>
                <w:rFonts w:hint="eastAsia" w:ascii="Times New Roman" w:hAnsi="Times New Roman"/>
                <w:sz w:val="18"/>
                <w:szCs w:val="18"/>
              </w:rPr>
              <w:t>3</w:t>
            </w:r>
            <w:r>
              <w:rPr>
                <w:rFonts w:ascii="Times New Roman" w:hAnsi="Times New Roman"/>
                <w:sz w:val="18"/>
                <w:szCs w:val="18"/>
              </w:rPr>
              <w:t>8</w:t>
            </w:r>
          </w:p>
        </w:tc>
        <w:tc>
          <w:tcPr>
            <w:tcW w:w="1515" w:type="pct"/>
            <w:vAlign w:val="center"/>
          </w:tcPr>
          <w:p>
            <w:pPr>
              <w:snapToGrid w:val="0"/>
              <w:rPr>
                <w:rFonts w:ascii="Times New Roman" w:hAnsi="Times New Roman"/>
                <w:sz w:val="18"/>
                <w:szCs w:val="18"/>
              </w:rPr>
            </w:pPr>
            <w:r>
              <w:rPr>
                <w:rFonts w:ascii="Times New Roman" w:hAnsi="Times New Roman"/>
                <w:sz w:val="18"/>
                <w:szCs w:val="18"/>
              </w:rPr>
              <w:t>黑色金属矿采选业</w:t>
            </w:r>
          </w:p>
        </w:tc>
        <w:tc>
          <w:tcPr>
            <w:tcW w:w="480" w:type="pct"/>
            <w:vAlign w:val="center"/>
          </w:tcPr>
          <w:p>
            <w:pPr>
              <w:snapToGrid w:val="0"/>
              <w:jc w:val="center"/>
              <w:rPr>
                <w:rFonts w:ascii="Times New Roman" w:hAnsi="Times New Roman"/>
                <w:sz w:val="18"/>
                <w:szCs w:val="18"/>
              </w:rPr>
            </w:pPr>
            <w:r>
              <w:rPr>
                <w:rFonts w:ascii="Times New Roman" w:hAnsi="Times New Roman"/>
                <w:sz w:val="18"/>
                <w:szCs w:val="18"/>
              </w:rPr>
              <w:t>0.1</w:t>
            </w:r>
          </w:p>
        </w:tc>
      </w:tr>
    </w:tbl>
    <w:p>
      <w:pPr>
        <w:pStyle w:val="3"/>
        <w:ind w:left="578" w:hanging="578"/>
      </w:pPr>
      <w:bookmarkStart w:id="87" w:name="_Toc75787635"/>
      <w:r>
        <w:t>VOCs排放情况</w:t>
      </w:r>
      <w:bookmarkEnd w:id="87"/>
    </w:p>
    <w:p>
      <w:pPr>
        <w:pStyle w:val="68"/>
        <w:rPr>
          <w:rFonts w:cs="Times New Roman"/>
        </w:rPr>
      </w:pPr>
      <w:r>
        <w:rPr>
          <w:rFonts w:cs="Times New Roman"/>
        </w:rPr>
        <w:t>全国第二次污染源普查数据显示，广东省VOCs排放量大的行业包括：橡胶和塑料制品业，金属制品业，皮革、毛皮、羽毛及其制品和制鞋业，印刷和记录媒介复制业，化学原料和化学制品制造业，家具制造业，石油、煤炭及其他燃料加工业，计算机、通信和其他电子设备制造业，电气机械和器材制造业，造纸和纸制品业，农副食品加工业，医药制造业，非金属矿物制品业，黑色金属冶炼和压延加工业，文教、工美、体育和娱乐用品制造业，铁路、船舶、航空航天和其他运输设备制造业。各重点行业VOCs排放比例如图3-2所示。其中，国家或广东省已制定VOCs行业排放标准的行业占全省总排放量的62.6%，剩余37.4%左右的污染负荷仍需执行《国家大气污染物综合排放标准》（GB 16297-1996）</w:t>
      </w:r>
      <w:r>
        <w:rPr>
          <w:rFonts w:hint="eastAsia" w:cs="Times New Roman"/>
        </w:rPr>
        <w:t>、</w:t>
      </w:r>
      <w:r>
        <w:rPr>
          <w:rFonts w:cs="Times New Roman"/>
        </w:rPr>
        <w:t>《恶臭污染物排放标准》（GB14554-1993）和《广东省大气污染物综合排放限值要求》（DB44/27-2001）。广东省作为VOCs排放大省，O</w:t>
      </w:r>
      <w:r>
        <w:rPr>
          <w:rFonts w:cs="Times New Roman"/>
          <w:vertAlign w:val="subscript"/>
        </w:rPr>
        <w:t>3</w:t>
      </w:r>
      <w:r>
        <w:rPr>
          <w:rFonts w:cs="Times New Roman"/>
        </w:rPr>
        <w:t>污染防控压力大，需要制定更严格、更适宜的排放标准</w:t>
      </w:r>
      <w:r>
        <w:rPr>
          <w:rFonts w:hint="eastAsia" w:cs="Times New Roman"/>
        </w:rPr>
        <w:t>以</w:t>
      </w:r>
      <w:r>
        <w:rPr>
          <w:rFonts w:cs="Times New Roman"/>
        </w:rPr>
        <w:t>满足广东省O</w:t>
      </w:r>
      <w:r>
        <w:rPr>
          <w:rFonts w:cs="Times New Roman"/>
          <w:vertAlign w:val="subscript"/>
        </w:rPr>
        <w:t>3</w:t>
      </w:r>
      <w:r>
        <w:rPr>
          <w:rFonts w:cs="Times New Roman"/>
        </w:rPr>
        <w:t>污染防治的需求。</w:t>
      </w:r>
    </w:p>
    <w:p>
      <w:pPr>
        <w:pStyle w:val="68"/>
        <w:ind w:firstLine="0" w:firstLineChars="0"/>
        <w:jc w:val="center"/>
        <w:rPr>
          <w:rFonts w:cs="Times New Roman"/>
        </w:rPr>
      </w:pPr>
      <w:r>
        <w:rPr>
          <w:rFonts w:cs="Times New Roman"/>
        </w:rPr>
        <w:drawing>
          <wp:inline distT="0" distB="0" distL="0" distR="0">
            <wp:extent cx="5598795" cy="4070985"/>
            <wp:effectExtent l="0" t="0" r="190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608365" cy="4077662"/>
                    </a:xfrm>
                    <a:prstGeom prst="rect">
                      <a:avLst/>
                    </a:prstGeom>
                    <a:noFill/>
                  </pic:spPr>
                </pic:pic>
              </a:graphicData>
            </a:graphic>
          </wp:inline>
        </w:drawing>
      </w:r>
    </w:p>
    <w:p>
      <w:pPr>
        <w:pStyle w:val="13"/>
        <w:spacing w:before="156" w:beforeLines="50" w:after="156" w:afterLines="50"/>
      </w:pPr>
      <w:bookmarkStart w:id="88" w:name="_Ref26352012"/>
      <w:bookmarkStart w:id="89" w:name="_Ref26345625"/>
      <w:r>
        <w:t xml:space="preserve">图 </w:t>
      </w:r>
      <w:r>
        <w:fldChar w:fldCharType="begin"/>
      </w:r>
      <w:r>
        <w:instrText xml:space="preserve"> STYLEREF 1 \s </w:instrText>
      </w:r>
      <w:r>
        <w:fldChar w:fldCharType="separate"/>
      </w:r>
      <w:r>
        <w:t>3</w:t>
      </w:r>
      <w:r>
        <w:fldChar w:fldCharType="end"/>
      </w:r>
      <w:r>
        <w:noBreakHyphen/>
      </w:r>
      <w:bookmarkEnd w:id="88"/>
      <w:r>
        <w:t>2 广东省重点行业VOCs排放比例</w:t>
      </w:r>
      <w:bookmarkEnd w:id="89"/>
    </w:p>
    <w:p>
      <w:pPr>
        <w:pStyle w:val="3"/>
        <w:ind w:left="578" w:hanging="578"/>
      </w:pPr>
      <w:bookmarkStart w:id="90" w:name="_Toc37692625"/>
      <w:bookmarkEnd w:id="90"/>
      <w:bookmarkStart w:id="91" w:name="_Toc37692815"/>
      <w:bookmarkEnd w:id="91"/>
      <w:bookmarkStart w:id="92" w:name="_Toc21679636"/>
      <w:bookmarkEnd w:id="92"/>
      <w:bookmarkStart w:id="93" w:name="_Toc75787636"/>
      <w:r>
        <w:t>产排污情况</w:t>
      </w:r>
      <w:bookmarkEnd w:id="93"/>
    </w:p>
    <w:p>
      <w:pPr>
        <w:pStyle w:val="4"/>
      </w:pPr>
      <w:r>
        <w:t>污染物排放情况</w:t>
      </w:r>
    </w:p>
    <w:p>
      <w:pPr>
        <w:pStyle w:val="68"/>
        <w:rPr>
          <w:rFonts w:cs="Times New Roman"/>
        </w:rPr>
      </w:pPr>
      <w:r>
        <w:rPr>
          <w:rFonts w:cs="Times New Roman"/>
        </w:rPr>
        <w:t>根据我省工业源VOCs排放特征的调研，不同行业的VOCs典型产生环节如表3-3所示，具体排放种类如表3-4和表3-5所示。</w:t>
      </w:r>
    </w:p>
    <w:p>
      <w:pPr>
        <w:pStyle w:val="13"/>
        <w:spacing w:before="156" w:beforeLines="50" w:after="156" w:afterLines="50"/>
      </w:pPr>
      <w:bookmarkStart w:id="94" w:name="_Ref26345830"/>
      <w:r>
        <w:t xml:space="preserve">表 </w:t>
      </w:r>
      <w:r>
        <w:fldChar w:fldCharType="begin"/>
      </w:r>
      <w:r>
        <w:instrText xml:space="preserve"> STYLEREF 1 \s </w:instrText>
      </w:r>
      <w:r>
        <w:fldChar w:fldCharType="separate"/>
      </w:r>
      <w:r>
        <w:t>3</w:t>
      </w:r>
      <w:r>
        <w:fldChar w:fldCharType="end"/>
      </w:r>
      <w:r>
        <w:noBreakHyphen/>
      </w:r>
      <w:bookmarkEnd w:id="94"/>
      <w:r>
        <w:t>3不同行业VOCs典型产生环节</w:t>
      </w:r>
    </w:p>
    <w:p>
      <w:pPr>
        <w:spacing w:before="4" w:line="10" w:lineRule="exact"/>
        <w:jc w:val="left"/>
        <w:rPr>
          <w:rFonts w:ascii="Times New Roman" w:hAnsi="Times New Roman"/>
          <w:kern w:val="0"/>
          <w:sz w:val="4"/>
          <w:szCs w:val="4"/>
        </w:rPr>
      </w:pPr>
    </w:p>
    <w:tbl>
      <w:tblPr>
        <w:tblStyle w:val="121"/>
        <w:tblW w:w="5000" w:type="pct"/>
        <w:jc w:val="center"/>
        <w:tblLayout w:type="autofit"/>
        <w:tblCellMar>
          <w:top w:w="0" w:type="dxa"/>
          <w:left w:w="0" w:type="dxa"/>
          <w:bottom w:w="0" w:type="dxa"/>
          <w:right w:w="0" w:type="dxa"/>
        </w:tblCellMar>
      </w:tblPr>
      <w:tblGrid>
        <w:gridCol w:w="1336"/>
        <w:gridCol w:w="3456"/>
        <w:gridCol w:w="3524"/>
      </w:tblGrid>
      <w:tr>
        <w:trPr>
          <w:trHeight w:val="454" w:hRule="atLeast"/>
          <w:tblHeader/>
          <w:jc w:val="center"/>
        </w:trPr>
        <w:tc>
          <w:tcPr>
            <w:tcW w:w="803" w:type="pct"/>
            <w:tcBorders>
              <w:top w:val="single" w:color="000000" w:sz="4" w:space="0"/>
              <w:left w:val="single" w:color="000000" w:sz="4" w:space="0"/>
              <w:bottom w:val="single" w:color="000000" w:sz="4" w:space="0"/>
              <w:right w:val="single" w:color="000000" w:sz="4" w:space="0"/>
            </w:tcBorders>
            <w:vAlign w:val="center"/>
          </w:tcPr>
          <w:p>
            <w:pPr>
              <w:snapToGrid w:val="0"/>
              <w:ind w:firstLine="181" w:firstLineChars="100"/>
              <w:jc w:val="center"/>
              <w:rPr>
                <w:rFonts w:ascii="Times New Roman" w:hAnsi="Times New Roman"/>
                <w:b/>
                <w:kern w:val="0"/>
                <w:sz w:val="18"/>
                <w:szCs w:val="18"/>
                <w:lang w:eastAsia="en-US"/>
              </w:rPr>
            </w:pPr>
            <w:r>
              <w:rPr>
                <w:rFonts w:ascii="Times New Roman" w:hAnsi="Times New Roman"/>
                <w:b/>
                <w:kern w:val="0"/>
                <w:sz w:val="18"/>
                <w:szCs w:val="18"/>
                <w:lang w:eastAsia="zh-CN"/>
              </w:rPr>
              <w:t>行业</w:t>
            </w:r>
            <w:r>
              <w:rPr>
                <w:rFonts w:ascii="Times New Roman" w:hAnsi="Times New Roman"/>
                <w:b/>
                <w:kern w:val="0"/>
                <w:sz w:val="18"/>
                <w:szCs w:val="18"/>
                <w:lang w:eastAsia="en-US"/>
              </w:rPr>
              <w:t>代码</w:t>
            </w:r>
          </w:p>
        </w:tc>
        <w:tc>
          <w:tcPr>
            <w:tcW w:w="2078" w:type="pct"/>
            <w:tcBorders>
              <w:top w:val="single" w:color="000000" w:sz="4" w:space="0"/>
              <w:left w:val="single" w:color="000000" w:sz="4" w:space="0"/>
              <w:bottom w:val="single" w:color="000000" w:sz="4" w:space="0"/>
              <w:right w:val="single" w:color="000000" w:sz="4" w:space="0"/>
            </w:tcBorders>
            <w:vAlign w:val="center"/>
          </w:tcPr>
          <w:p>
            <w:pPr>
              <w:snapToGrid w:val="0"/>
              <w:ind w:left="173"/>
              <w:jc w:val="center"/>
              <w:rPr>
                <w:rFonts w:ascii="Times New Roman" w:hAnsi="Times New Roman"/>
                <w:b/>
                <w:kern w:val="0"/>
                <w:sz w:val="18"/>
                <w:szCs w:val="18"/>
                <w:lang w:eastAsia="en-US"/>
              </w:rPr>
            </w:pPr>
            <w:r>
              <w:rPr>
                <w:rFonts w:ascii="Times New Roman" w:hAnsi="Times New Roman"/>
                <w:b/>
                <w:kern w:val="0"/>
                <w:sz w:val="18"/>
                <w:szCs w:val="18"/>
                <w:lang w:eastAsia="en-US"/>
              </w:rPr>
              <w:t>行业</w:t>
            </w:r>
            <w:r>
              <w:rPr>
                <w:rFonts w:ascii="Times New Roman" w:hAnsi="Times New Roman"/>
                <w:b/>
                <w:spacing w:val="-3"/>
                <w:kern w:val="0"/>
                <w:sz w:val="18"/>
                <w:szCs w:val="18"/>
                <w:lang w:eastAsia="en-US"/>
              </w:rPr>
              <w:t>门</w:t>
            </w:r>
            <w:r>
              <w:rPr>
                <w:rFonts w:ascii="Times New Roman" w:hAnsi="Times New Roman"/>
                <w:b/>
                <w:kern w:val="0"/>
                <w:sz w:val="18"/>
                <w:szCs w:val="18"/>
                <w:lang w:eastAsia="en-US"/>
              </w:rPr>
              <w:t>类</w:t>
            </w:r>
          </w:p>
        </w:tc>
        <w:tc>
          <w:tcPr>
            <w:tcW w:w="2119"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b/>
                <w:kern w:val="0"/>
                <w:sz w:val="18"/>
                <w:szCs w:val="18"/>
                <w:lang w:eastAsia="zh-CN"/>
              </w:rPr>
            </w:pPr>
            <w:r>
              <w:rPr>
                <w:rFonts w:ascii="Times New Roman" w:hAnsi="Times New Roman"/>
                <w:b/>
                <w:kern w:val="0"/>
                <w:sz w:val="18"/>
                <w:szCs w:val="18"/>
                <w:lang w:eastAsia="zh-CN"/>
              </w:rPr>
              <w:t>典型环节</w:t>
            </w:r>
          </w:p>
        </w:tc>
      </w:tr>
      <w:tr>
        <w:tblPrEx>
          <w:tblCellMar>
            <w:top w:w="0" w:type="dxa"/>
            <w:left w:w="0" w:type="dxa"/>
            <w:bottom w:w="0" w:type="dxa"/>
            <w:right w:w="0" w:type="dxa"/>
          </w:tblCellMar>
        </w:tblPrEx>
        <w:trPr>
          <w:trHeight w:val="283" w:hRule="atLeast"/>
          <w:jc w:val="center"/>
        </w:trPr>
        <w:tc>
          <w:tcPr>
            <w:tcW w:w="803" w:type="pct"/>
            <w:tcBorders>
              <w:top w:val="single" w:color="000000" w:sz="4" w:space="0"/>
              <w:left w:val="single" w:color="000000" w:sz="4" w:space="0"/>
              <w:bottom w:val="single" w:color="000000" w:sz="4" w:space="0"/>
              <w:right w:val="single" w:color="000000" w:sz="4" w:space="0"/>
            </w:tcBorders>
            <w:vAlign w:val="center"/>
          </w:tcPr>
          <w:p>
            <w:pPr>
              <w:snapToGrid w:val="0"/>
              <w:ind w:left="463" w:right="461"/>
              <w:jc w:val="center"/>
              <w:rPr>
                <w:rFonts w:ascii="Times New Roman" w:hAnsi="Times New Roman" w:eastAsia="Calibri"/>
                <w:kern w:val="0"/>
                <w:sz w:val="18"/>
                <w:szCs w:val="18"/>
                <w:lang w:eastAsia="en-US"/>
              </w:rPr>
            </w:pPr>
            <w:r>
              <w:rPr>
                <w:rFonts w:ascii="Times New Roman" w:hAnsi="Times New Roman" w:eastAsia="Calibri"/>
                <w:kern w:val="0"/>
                <w:sz w:val="18"/>
                <w:szCs w:val="18"/>
                <w:lang w:eastAsia="en-US"/>
              </w:rPr>
              <w:t>13</w:t>
            </w:r>
          </w:p>
        </w:tc>
        <w:tc>
          <w:tcPr>
            <w:tcW w:w="2078" w:type="pct"/>
            <w:tcBorders>
              <w:top w:val="single" w:color="000000" w:sz="4" w:space="0"/>
              <w:left w:val="single" w:color="000000" w:sz="4" w:space="0"/>
              <w:bottom w:val="single" w:color="000000" w:sz="4" w:space="0"/>
              <w:right w:val="single" w:color="000000" w:sz="4" w:space="0"/>
            </w:tcBorders>
            <w:vAlign w:val="bottom"/>
          </w:tcPr>
          <w:p>
            <w:pPr>
              <w:snapToGrid w:val="0"/>
              <w:ind w:left="102"/>
              <w:jc w:val="center"/>
              <w:rPr>
                <w:rFonts w:ascii="Times New Roman" w:hAnsi="Times New Roman"/>
                <w:kern w:val="0"/>
                <w:sz w:val="18"/>
                <w:szCs w:val="18"/>
                <w:lang w:eastAsia="en-US"/>
              </w:rPr>
            </w:pPr>
            <w:r>
              <w:rPr>
                <w:rFonts w:ascii="Times New Roman" w:hAnsi="Times New Roman"/>
                <w:kern w:val="0"/>
                <w:sz w:val="18"/>
                <w:szCs w:val="18"/>
                <w:lang w:eastAsia="en-US"/>
              </w:rPr>
              <w:t>农副食</w:t>
            </w:r>
            <w:r>
              <w:rPr>
                <w:rFonts w:ascii="Times New Roman" w:hAnsi="Times New Roman"/>
                <w:spacing w:val="-3"/>
                <w:kern w:val="0"/>
                <w:sz w:val="18"/>
                <w:szCs w:val="18"/>
                <w:lang w:eastAsia="en-US"/>
              </w:rPr>
              <w:t>品</w:t>
            </w:r>
            <w:r>
              <w:rPr>
                <w:rFonts w:ascii="Times New Roman" w:hAnsi="Times New Roman"/>
                <w:kern w:val="0"/>
                <w:sz w:val="18"/>
                <w:szCs w:val="18"/>
                <w:lang w:eastAsia="en-US"/>
              </w:rPr>
              <w:t>加工业</w:t>
            </w:r>
          </w:p>
        </w:tc>
        <w:tc>
          <w:tcPr>
            <w:tcW w:w="2119" w:type="pct"/>
            <w:tcBorders>
              <w:top w:val="single" w:color="000000" w:sz="4" w:space="0"/>
              <w:left w:val="single" w:color="000000" w:sz="4" w:space="0"/>
              <w:bottom w:val="single" w:color="000000" w:sz="4" w:space="0"/>
              <w:right w:val="single" w:color="000000" w:sz="4" w:space="0"/>
            </w:tcBorders>
            <w:vAlign w:val="bottom"/>
          </w:tcPr>
          <w:p>
            <w:pPr>
              <w:snapToGrid w:val="0"/>
              <w:jc w:val="center"/>
              <w:rPr>
                <w:rFonts w:ascii="Times New Roman" w:hAnsi="Times New Roman"/>
                <w:kern w:val="0"/>
                <w:sz w:val="18"/>
                <w:szCs w:val="18"/>
                <w:lang w:eastAsia="zh-CN"/>
              </w:rPr>
            </w:pPr>
            <w:r>
              <w:rPr>
                <w:rFonts w:ascii="Times New Roman" w:hAnsi="Times New Roman"/>
                <w:sz w:val="18"/>
                <w:szCs w:val="18"/>
                <w:lang w:eastAsia="zh-CN"/>
              </w:rPr>
              <w:t>食品</w:t>
            </w:r>
            <w:r>
              <w:rPr>
                <w:rFonts w:ascii="Times New Roman" w:hAnsi="Times New Roman"/>
                <w:spacing w:val="-3"/>
                <w:sz w:val="18"/>
                <w:szCs w:val="18"/>
                <w:lang w:eastAsia="zh-CN"/>
              </w:rPr>
              <w:t>油</w:t>
            </w:r>
            <w:r>
              <w:rPr>
                <w:rFonts w:ascii="Times New Roman" w:hAnsi="Times New Roman"/>
                <w:sz w:val="18"/>
                <w:szCs w:val="18"/>
                <w:lang w:eastAsia="zh-CN"/>
              </w:rPr>
              <w:t>加</w:t>
            </w:r>
            <w:r>
              <w:rPr>
                <w:rFonts w:ascii="Times New Roman" w:hAnsi="Times New Roman"/>
                <w:spacing w:val="-3"/>
                <w:sz w:val="18"/>
                <w:szCs w:val="18"/>
                <w:lang w:eastAsia="zh-CN"/>
              </w:rPr>
              <w:t>工</w:t>
            </w:r>
            <w:r>
              <w:rPr>
                <w:rFonts w:ascii="Times New Roman" w:hAnsi="Times New Roman"/>
                <w:sz w:val="18"/>
                <w:szCs w:val="18"/>
                <w:lang w:eastAsia="zh-CN"/>
              </w:rPr>
              <w:t>、</w:t>
            </w:r>
            <w:r>
              <w:rPr>
                <w:rFonts w:ascii="Times New Roman" w:hAnsi="Times New Roman"/>
                <w:spacing w:val="-3"/>
                <w:sz w:val="18"/>
                <w:szCs w:val="18"/>
                <w:lang w:eastAsia="zh-CN"/>
              </w:rPr>
              <w:t>饲</w:t>
            </w:r>
            <w:r>
              <w:rPr>
                <w:rFonts w:ascii="Times New Roman" w:hAnsi="Times New Roman"/>
                <w:sz w:val="18"/>
                <w:szCs w:val="18"/>
                <w:lang w:eastAsia="zh-CN"/>
              </w:rPr>
              <w:t>料</w:t>
            </w:r>
            <w:r>
              <w:rPr>
                <w:rFonts w:ascii="Times New Roman" w:hAnsi="Times New Roman"/>
                <w:spacing w:val="-3"/>
                <w:sz w:val="18"/>
                <w:szCs w:val="18"/>
                <w:lang w:eastAsia="zh-CN"/>
              </w:rPr>
              <w:t>加</w:t>
            </w:r>
            <w:r>
              <w:rPr>
                <w:rFonts w:ascii="Times New Roman" w:hAnsi="Times New Roman"/>
                <w:sz w:val="18"/>
                <w:szCs w:val="18"/>
                <w:lang w:eastAsia="zh-CN"/>
              </w:rPr>
              <w:t>工</w:t>
            </w:r>
          </w:p>
        </w:tc>
      </w:tr>
      <w:tr>
        <w:tblPrEx>
          <w:tblCellMar>
            <w:top w:w="0" w:type="dxa"/>
            <w:left w:w="0" w:type="dxa"/>
            <w:bottom w:w="0" w:type="dxa"/>
            <w:right w:w="0" w:type="dxa"/>
          </w:tblCellMar>
        </w:tblPrEx>
        <w:trPr>
          <w:trHeight w:val="283" w:hRule="atLeast"/>
          <w:jc w:val="center"/>
        </w:trPr>
        <w:tc>
          <w:tcPr>
            <w:tcW w:w="803" w:type="pct"/>
            <w:tcBorders>
              <w:top w:val="single" w:color="000000" w:sz="4" w:space="0"/>
              <w:left w:val="single" w:color="000000" w:sz="4" w:space="0"/>
              <w:bottom w:val="single" w:color="000000" w:sz="4" w:space="0"/>
              <w:right w:val="single" w:color="000000" w:sz="4" w:space="0"/>
            </w:tcBorders>
            <w:vAlign w:val="center"/>
          </w:tcPr>
          <w:p>
            <w:pPr>
              <w:snapToGrid w:val="0"/>
              <w:ind w:left="463" w:right="461"/>
              <w:jc w:val="center"/>
              <w:rPr>
                <w:rFonts w:ascii="Times New Roman" w:hAnsi="Times New Roman" w:eastAsia="Calibri"/>
                <w:kern w:val="0"/>
                <w:sz w:val="18"/>
                <w:szCs w:val="18"/>
                <w:lang w:eastAsia="en-US"/>
              </w:rPr>
            </w:pPr>
            <w:r>
              <w:rPr>
                <w:rFonts w:ascii="Times New Roman" w:hAnsi="Times New Roman" w:eastAsia="Calibri"/>
                <w:kern w:val="0"/>
                <w:sz w:val="18"/>
                <w:szCs w:val="18"/>
                <w:lang w:eastAsia="en-US"/>
              </w:rPr>
              <w:t>14</w:t>
            </w:r>
          </w:p>
        </w:tc>
        <w:tc>
          <w:tcPr>
            <w:tcW w:w="2078" w:type="pct"/>
            <w:tcBorders>
              <w:top w:val="single" w:color="000000" w:sz="4" w:space="0"/>
              <w:left w:val="single" w:color="000000" w:sz="4" w:space="0"/>
              <w:bottom w:val="single" w:color="000000" w:sz="4" w:space="0"/>
              <w:right w:val="single" w:color="000000" w:sz="4" w:space="0"/>
            </w:tcBorders>
            <w:vAlign w:val="center"/>
          </w:tcPr>
          <w:p>
            <w:pPr>
              <w:snapToGrid w:val="0"/>
              <w:ind w:left="102"/>
              <w:jc w:val="center"/>
              <w:rPr>
                <w:rFonts w:ascii="Times New Roman" w:hAnsi="Times New Roman"/>
                <w:kern w:val="0"/>
                <w:sz w:val="18"/>
                <w:szCs w:val="18"/>
                <w:lang w:eastAsia="en-US"/>
              </w:rPr>
            </w:pPr>
            <w:r>
              <w:rPr>
                <w:rFonts w:ascii="Times New Roman" w:hAnsi="Times New Roman"/>
                <w:kern w:val="0"/>
                <w:sz w:val="18"/>
                <w:szCs w:val="18"/>
                <w:lang w:eastAsia="en-US"/>
              </w:rPr>
              <w:t>食品制</w:t>
            </w:r>
            <w:r>
              <w:rPr>
                <w:rFonts w:ascii="Times New Roman" w:hAnsi="Times New Roman"/>
                <w:spacing w:val="-3"/>
                <w:kern w:val="0"/>
                <w:sz w:val="18"/>
                <w:szCs w:val="18"/>
                <w:lang w:eastAsia="en-US"/>
              </w:rPr>
              <w:t>造</w:t>
            </w:r>
            <w:r>
              <w:rPr>
                <w:rFonts w:ascii="Times New Roman" w:hAnsi="Times New Roman"/>
                <w:kern w:val="0"/>
                <w:sz w:val="18"/>
                <w:szCs w:val="18"/>
                <w:lang w:eastAsia="en-US"/>
              </w:rPr>
              <w:t>业</w:t>
            </w:r>
          </w:p>
        </w:tc>
        <w:tc>
          <w:tcPr>
            <w:tcW w:w="2119" w:type="pct"/>
            <w:tcBorders>
              <w:top w:val="single" w:color="000000" w:sz="4" w:space="0"/>
              <w:left w:val="single" w:color="000000" w:sz="4" w:space="0"/>
              <w:bottom w:val="single" w:color="000000" w:sz="4" w:space="0"/>
              <w:right w:val="single" w:color="000000" w:sz="4" w:space="0"/>
            </w:tcBorders>
            <w:vAlign w:val="bottom"/>
          </w:tcPr>
          <w:p>
            <w:pPr>
              <w:pStyle w:val="122"/>
              <w:jc w:val="center"/>
              <w:rPr>
                <w:rFonts w:eastAsia="宋体"/>
                <w:sz w:val="18"/>
                <w:szCs w:val="18"/>
                <w:lang w:eastAsia="zh-CN"/>
              </w:rPr>
            </w:pPr>
            <w:r>
              <w:rPr>
                <w:rFonts w:eastAsia="宋体"/>
                <w:sz w:val="18"/>
                <w:szCs w:val="18"/>
                <w:lang w:eastAsia="zh-CN"/>
              </w:rPr>
              <w:t>食品</w:t>
            </w:r>
            <w:r>
              <w:rPr>
                <w:rFonts w:eastAsia="宋体"/>
                <w:spacing w:val="-3"/>
                <w:sz w:val="18"/>
                <w:szCs w:val="18"/>
                <w:lang w:eastAsia="zh-CN"/>
              </w:rPr>
              <w:t>发</w:t>
            </w:r>
            <w:r>
              <w:rPr>
                <w:rFonts w:eastAsia="宋体"/>
                <w:sz w:val="18"/>
                <w:szCs w:val="18"/>
                <w:lang w:eastAsia="zh-CN"/>
              </w:rPr>
              <w:t>酵</w:t>
            </w:r>
            <w:r>
              <w:rPr>
                <w:rFonts w:eastAsia="宋体"/>
                <w:spacing w:val="-3"/>
                <w:sz w:val="18"/>
                <w:szCs w:val="18"/>
                <w:lang w:eastAsia="zh-CN"/>
              </w:rPr>
              <w:t>、</w:t>
            </w:r>
            <w:r>
              <w:rPr>
                <w:rFonts w:eastAsia="宋体"/>
                <w:sz w:val="18"/>
                <w:szCs w:val="18"/>
                <w:lang w:eastAsia="zh-CN"/>
              </w:rPr>
              <w:t>烘</w:t>
            </w:r>
            <w:r>
              <w:rPr>
                <w:rFonts w:eastAsia="宋体"/>
                <w:spacing w:val="-3"/>
                <w:sz w:val="18"/>
                <w:szCs w:val="18"/>
                <w:lang w:eastAsia="zh-CN"/>
              </w:rPr>
              <w:t>烤</w:t>
            </w:r>
            <w:r>
              <w:rPr>
                <w:rFonts w:eastAsia="宋体"/>
                <w:sz w:val="18"/>
                <w:szCs w:val="18"/>
                <w:lang w:eastAsia="zh-CN"/>
              </w:rPr>
              <w:t>、</w:t>
            </w:r>
            <w:r>
              <w:rPr>
                <w:rFonts w:eastAsia="宋体"/>
                <w:spacing w:val="-3"/>
                <w:sz w:val="18"/>
                <w:szCs w:val="18"/>
                <w:lang w:eastAsia="zh-CN"/>
              </w:rPr>
              <w:t>味</w:t>
            </w:r>
            <w:r>
              <w:rPr>
                <w:rFonts w:eastAsia="宋体"/>
                <w:sz w:val="18"/>
                <w:szCs w:val="18"/>
                <w:lang w:eastAsia="zh-CN"/>
              </w:rPr>
              <w:t>精</w:t>
            </w:r>
            <w:r>
              <w:rPr>
                <w:rFonts w:eastAsia="宋体"/>
                <w:spacing w:val="-3"/>
                <w:sz w:val="18"/>
                <w:szCs w:val="18"/>
                <w:lang w:eastAsia="zh-CN"/>
              </w:rPr>
              <w:t>生</w:t>
            </w:r>
            <w:r>
              <w:rPr>
                <w:rFonts w:eastAsia="宋体"/>
                <w:sz w:val="18"/>
                <w:szCs w:val="18"/>
                <w:lang w:eastAsia="zh-CN"/>
              </w:rPr>
              <w:t>产尾</w:t>
            </w:r>
          </w:p>
          <w:p>
            <w:pPr>
              <w:snapToGrid w:val="0"/>
              <w:jc w:val="center"/>
              <w:rPr>
                <w:rFonts w:ascii="Times New Roman" w:hAnsi="Times New Roman"/>
                <w:kern w:val="0"/>
                <w:sz w:val="18"/>
                <w:szCs w:val="18"/>
                <w:lang w:eastAsia="en-US"/>
              </w:rPr>
            </w:pPr>
            <w:r>
              <w:rPr>
                <w:rFonts w:ascii="Times New Roman" w:hAnsi="Times New Roman"/>
                <w:sz w:val="18"/>
                <w:szCs w:val="18"/>
                <w:lang w:eastAsia="en-US"/>
              </w:rPr>
              <w:t>页喷</w:t>
            </w:r>
            <w:r>
              <w:rPr>
                <w:rFonts w:ascii="Times New Roman" w:hAnsi="Times New Roman"/>
                <w:spacing w:val="-3"/>
                <w:sz w:val="18"/>
                <w:szCs w:val="18"/>
                <w:lang w:eastAsia="en-US"/>
              </w:rPr>
              <w:t>浆</w:t>
            </w:r>
            <w:r>
              <w:rPr>
                <w:rFonts w:ascii="Times New Roman" w:hAnsi="Times New Roman"/>
                <w:sz w:val="18"/>
                <w:szCs w:val="18"/>
                <w:lang w:eastAsia="en-US"/>
              </w:rPr>
              <w:t>、</w:t>
            </w:r>
            <w:r>
              <w:rPr>
                <w:rFonts w:ascii="Times New Roman" w:hAnsi="Times New Roman"/>
                <w:spacing w:val="-3"/>
                <w:sz w:val="18"/>
                <w:szCs w:val="18"/>
                <w:lang w:eastAsia="en-US"/>
              </w:rPr>
              <w:t>废</w:t>
            </w:r>
            <w:r>
              <w:rPr>
                <w:rFonts w:ascii="Times New Roman" w:hAnsi="Times New Roman"/>
                <w:sz w:val="18"/>
                <w:szCs w:val="18"/>
                <w:lang w:eastAsia="en-US"/>
              </w:rPr>
              <w:t>物</w:t>
            </w:r>
            <w:r>
              <w:rPr>
                <w:rFonts w:ascii="Times New Roman" w:hAnsi="Times New Roman"/>
                <w:spacing w:val="-3"/>
                <w:sz w:val="18"/>
                <w:szCs w:val="18"/>
                <w:lang w:eastAsia="en-US"/>
              </w:rPr>
              <w:t>消</w:t>
            </w:r>
            <w:r>
              <w:rPr>
                <w:rFonts w:ascii="Times New Roman" w:hAnsi="Times New Roman"/>
                <w:sz w:val="18"/>
                <w:szCs w:val="18"/>
                <w:lang w:eastAsia="en-US"/>
              </w:rPr>
              <w:t>化</w:t>
            </w:r>
          </w:p>
        </w:tc>
      </w:tr>
      <w:tr>
        <w:tblPrEx>
          <w:tblCellMar>
            <w:top w:w="0" w:type="dxa"/>
            <w:left w:w="0" w:type="dxa"/>
            <w:bottom w:w="0" w:type="dxa"/>
            <w:right w:w="0" w:type="dxa"/>
          </w:tblCellMar>
        </w:tblPrEx>
        <w:trPr>
          <w:trHeight w:val="283" w:hRule="atLeast"/>
          <w:jc w:val="center"/>
        </w:trPr>
        <w:tc>
          <w:tcPr>
            <w:tcW w:w="803" w:type="pct"/>
            <w:tcBorders>
              <w:top w:val="single" w:color="000000" w:sz="4" w:space="0"/>
              <w:left w:val="single" w:color="000000" w:sz="4" w:space="0"/>
              <w:bottom w:val="single" w:color="000000" w:sz="4" w:space="0"/>
              <w:right w:val="single" w:color="000000" w:sz="4" w:space="0"/>
            </w:tcBorders>
            <w:vAlign w:val="center"/>
          </w:tcPr>
          <w:p>
            <w:pPr>
              <w:snapToGrid w:val="0"/>
              <w:ind w:left="463" w:right="461"/>
              <w:jc w:val="center"/>
              <w:rPr>
                <w:rFonts w:ascii="Times New Roman" w:hAnsi="Times New Roman" w:eastAsia="Calibri"/>
                <w:kern w:val="0"/>
                <w:sz w:val="18"/>
                <w:szCs w:val="18"/>
                <w:lang w:eastAsia="en-US"/>
              </w:rPr>
            </w:pPr>
            <w:r>
              <w:rPr>
                <w:rFonts w:ascii="Times New Roman" w:hAnsi="Times New Roman" w:eastAsia="Calibri"/>
                <w:kern w:val="0"/>
                <w:sz w:val="18"/>
                <w:szCs w:val="18"/>
                <w:lang w:eastAsia="en-US"/>
              </w:rPr>
              <w:t>15</w:t>
            </w:r>
          </w:p>
        </w:tc>
        <w:tc>
          <w:tcPr>
            <w:tcW w:w="2078" w:type="pct"/>
            <w:tcBorders>
              <w:top w:val="single" w:color="000000" w:sz="4" w:space="0"/>
              <w:left w:val="single" w:color="000000" w:sz="4" w:space="0"/>
              <w:bottom w:val="single" w:color="000000" w:sz="4" w:space="0"/>
              <w:right w:val="single" w:color="000000" w:sz="4" w:space="0"/>
            </w:tcBorders>
            <w:vAlign w:val="bottom"/>
          </w:tcPr>
          <w:p>
            <w:pPr>
              <w:snapToGrid w:val="0"/>
              <w:ind w:left="102"/>
              <w:jc w:val="center"/>
              <w:rPr>
                <w:rFonts w:ascii="Times New Roman" w:hAnsi="Times New Roman"/>
                <w:kern w:val="0"/>
                <w:sz w:val="18"/>
                <w:szCs w:val="18"/>
                <w:lang w:eastAsia="zh-CN"/>
              </w:rPr>
            </w:pPr>
            <w:r>
              <w:rPr>
                <w:rFonts w:ascii="Times New Roman" w:hAnsi="Times New Roman"/>
                <w:kern w:val="0"/>
                <w:sz w:val="18"/>
                <w:szCs w:val="18"/>
                <w:lang w:eastAsia="zh-CN"/>
              </w:rPr>
              <w:t>酒、饮</w:t>
            </w:r>
            <w:r>
              <w:rPr>
                <w:rFonts w:ascii="Times New Roman" w:hAnsi="Times New Roman"/>
                <w:spacing w:val="-3"/>
                <w:kern w:val="0"/>
                <w:sz w:val="18"/>
                <w:szCs w:val="18"/>
                <w:lang w:eastAsia="zh-CN"/>
              </w:rPr>
              <w:t>料</w:t>
            </w:r>
            <w:r>
              <w:rPr>
                <w:rFonts w:ascii="Times New Roman" w:hAnsi="Times New Roman"/>
                <w:kern w:val="0"/>
                <w:sz w:val="18"/>
                <w:szCs w:val="18"/>
                <w:lang w:eastAsia="zh-CN"/>
              </w:rPr>
              <w:t>和精</w:t>
            </w:r>
            <w:r>
              <w:rPr>
                <w:rFonts w:ascii="Times New Roman" w:hAnsi="Times New Roman"/>
                <w:spacing w:val="-3"/>
                <w:kern w:val="0"/>
                <w:sz w:val="18"/>
                <w:szCs w:val="18"/>
                <w:lang w:eastAsia="zh-CN"/>
              </w:rPr>
              <w:t>制</w:t>
            </w:r>
            <w:r>
              <w:rPr>
                <w:rFonts w:ascii="Times New Roman" w:hAnsi="Times New Roman"/>
                <w:kern w:val="0"/>
                <w:sz w:val="18"/>
                <w:szCs w:val="18"/>
                <w:lang w:eastAsia="zh-CN"/>
              </w:rPr>
              <w:t>茶制</w:t>
            </w:r>
            <w:r>
              <w:rPr>
                <w:rFonts w:ascii="Times New Roman" w:hAnsi="Times New Roman"/>
                <w:spacing w:val="-3"/>
                <w:kern w:val="0"/>
                <w:sz w:val="18"/>
                <w:szCs w:val="18"/>
                <w:lang w:eastAsia="zh-CN"/>
              </w:rPr>
              <w:t>造</w:t>
            </w:r>
            <w:r>
              <w:rPr>
                <w:rFonts w:ascii="Times New Roman" w:hAnsi="Times New Roman"/>
                <w:kern w:val="0"/>
                <w:sz w:val="18"/>
                <w:szCs w:val="18"/>
                <w:lang w:eastAsia="zh-CN"/>
              </w:rPr>
              <w:t>业</w:t>
            </w:r>
          </w:p>
        </w:tc>
        <w:tc>
          <w:tcPr>
            <w:tcW w:w="2119" w:type="pct"/>
            <w:tcBorders>
              <w:top w:val="single" w:color="000000" w:sz="4" w:space="0"/>
              <w:left w:val="single" w:color="000000" w:sz="4" w:space="0"/>
              <w:bottom w:val="single" w:color="000000" w:sz="4" w:space="0"/>
              <w:right w:val="single" w:color="000000" w:sz="4" w:space="0"/>
            </w:tcBorders>
            <w:vAlign w:val="bottom"/>
          </w:tcPr>
          <w:p>
            <w:pPr>
              <w:snapToGrid w:val="0"/>
              <w:jc w:val="center"/>
              <w:rPr>
                <w:rFonts w:ascii="Times New Roman" w:hAnsi="Times New Roman"/>
                <w:kern w:val="0"/>
                <w:sz w:val="18"/>
                <w:szCs w:val="18"/>
                <w:lang w:eastAsia="zh-CN"/>
              </w:rPr>
            </w:pPr>
            <w:r>
              <w:rPr>
                <w:rFonts w:ascii="Times New Roman" w:hAnsi="Times New Roman"/>
                <w:sz w:val="18"/>
                <w:szCs w:val="18"/>
                <w:lang w:eastAsia="en-US"/>
              </w:rPr>
              <w:t>包装</w:t>
            </w:r>
            <w:r>
              <w:rPr>
                <w:rFonts w:ascii="Times New Roman" w:hAnsi="Times New Roman"/>
                <w:spacing w:val="-3"/>
                <w:sz w:val="18"/>
                <w:szCs w:val="18"/>
                <w:lang w:eastAsia="en-US"/>
              </w:rPr>
              <w:t>印</w:t>
            </w:r>
            <w:r>
              <w:rPr>
                <w:rFonts w:ascii="Times New Roman" w:hAnsi="Times New Roman"/>
                <w:sz w:val="18"/>
                <w:szCs w:val="18"/>
                <w:lang w:eastAsia="en-US"/>
              </w:rPr>
              <w:t>刷</w:t>
            </w:r>
          </w:p>
        </w:tc>
      </w:tr>
      <w:tr>
        <w:tblPrEx>
          <w:tblCellMar>
            <w:top w:w="0" w:type="dxa"/>
            <w:left w:w="0" w:type="dxa"/>
            <w:bottom w:w="0" w:type="dxa"/>
            <w:right w:w="0" w:type="dxa"/>
          </w:tblCellMar>
        </w:tblPrEx>
        <w:trPr>
          <w:trHeight w:val="283" w:hRule="atLeast"/>
          <w:jc w:val="center"/>
        </w:trPr>
        <w:tc>
          <w:tcPr>
            <w:tcW w:w="803" w:type="pct"/>
            <w:tcBorders>
              <w:top w:val="single" w:color="000000" w:sz="4" w:space="0"/>
              <w:left w:val="single" w:color="000000" w:sz="4" w:space="0"/>
              <w:bottom w:val="single" w:color="000000" w:sz="4" w:space="0"/>
              <w:right w:val="single" w:color="000000" w:sz="4" w:space="0"/>
            </w:tcBorders>
            <w:vAlign w:val="center"/>
          </w:tcPr>
          <w:p>
            <w:pPr>
              <w:snapToGrid w:val="0"/>
              <w:ind w:left="463" w:right="461"/>
              <w:jc w:val="center"/>
              <w:rPr>
                <w:rFonts w:ascii="Times New Roman" w:hAnsi="Times New Roman" w:eastAsia="Calibri"/>
                <w:kern w:val="0"/>
                <w:sz w:val="18"/>
                <w:szCs w:val="18"/>
                <w:lang w:eastAsia="en-US"/>
              </w:rPr>
            </w:pPr>
            <w:r>
              <w:rPr>
                <w:rFonts w:ascii="Times New Roman" w:hAnsi="Times New Roman" w:eastAsia="Calibri"/>
                <w:kern w:val="0"/>
                <w:sz w:val="18"/>
                <w:szCs w:val="18"/>
                <w:lang w:eastAsia="en-US"/>
              </w:rPr>
              <w:t>16</w:t>
            </w:r>
          </w:p>
        </w:tc>
        <w:tc>
          <w:tcPr>
            <w:tcW w:w="2078" w:type="pct"/>
            <w:tcBorders>
              <w:top w:val="single" w:color="000000" w:sz="4" w:space="0"/>
              <w:left w:val="single" w:color="000000" w:sz="4" w:space="0"/>
              <w:bottom w:val="single" w:color="000000" w:sz="4" w:space="0"/>
              <w:right w:val="single" w:color="000000" w:sz="4" w:space="0"/>
            </w:tcBorders>
            <w:vAlign w:val="bottom"/>
          </w:tcPr>
          <w:p>
            <w:pPr>
              <w:snapToGrid w:val="0"/>
              <w:ind w:left="102"/>
              <w:jc w:val="center"/>
              <w:rPr>
                <w:rFonts w:ascii="Times New Roman" w:hAnsi="Times New Roman"/>
                <w:kern w:val="0"/>
                <w:sz w:val="18"/>
                <w:szCs w:val="18"/>
                <w:lang w:eastAsia="en-US"/>
              </w:rPr>
            </w:pPr>
            <w:r>
              <w:rPr>
                <w:rFonts w:ascii="Times New Roman" w:hAnsi="Times New Roman"/>
                <w:kern w:val="0"/>
                <w:sz w:val="18"/>
                <w:szCs w:val="18"/>
                <w:lang w:eastAsia="en-US"/>
              </w:rPr>
              <w:t>烟草制</w:t>
            </w:r>
            <w:r>
              <w:rPr>
                <w:rFonts w:ascii="Times New Roman" w:hAnsi="Times New Roman"/>
                <w:spacing w:val="-3"/>
                <w:kern w:val="0"/>
                <w:sz w:val="18"/>
                <w:szCs w:val="18"/>
                <w:lang w:eastAsia="en-US"/>
              </w:rPr>
              <w:t>品</w:t>
            </w:r>
            <w:r>
              <w:rPr>
                <w:rFonts w:ascii="Times New Roman" w:hAnsi="Times New Roman"/>
                <w:kern w:val="0"/>
                <w:sz w:val="18"/>
                <w:szCs w:val="18"/>
                <w:lang w:eastAsia="en-US"/>
              </w:rPr>
              <w:t>业</w:t>
            </w:r>
          </w:p>
        </w:tc>
        <w:tc>
          <w:tcPr>
            <w:tcW w:w="2119" w:type="pct"/>
            <w:tcBorders>
              <w:top w:val="single" w:color="000000" w:sz="4" w:space="0"/>
              <w:left w:val="single" w:color="000000" w:sz="4" w:space="0"/>
              <w:bottom w:val="single" w:color="000000" w:sz="4" w:space="0"/>
              <w:right w:val="single" w:color="000000" w:sz="4" w:space="0"/>
            </w:tcBorders>
            <w:vAlign w:val="bottom"/>
          </w:tcPr>
          <w:p>
            <w:pPr>
              <w:snapToGrid w:val="0"/>
              <w:jc w:val="center"/>
              <w:rPr>
                <w:rFonts w:ascii="Times New Roman" w:hAnsi="Times New Roman"/>
                <w:kern w:val="0"/>
                <w:sz w:val="18"/>
                <w:szCs w:val="18"/>
                <w:lang w:eastAsia="zh-CN"/>
              </w:rPr>
            </w:pPr>
            <w:r>
              <w:rPr>
                <w:rFonts w:ascii="Times New Roman" w:hAnsi="Times New Roman"/>
                <w:sz w:val="18"/>
                <w:szCs w:val="18"/>
                <w:lang w:eastAsia="zh-CN"/>
              </w:rPr>
              <w:t>烟叶</w:t>
            </w:r>
            <w:r>
              <w:rPr>
                <w:rFonts w:ascii="Times New Roman" w:hAnsi="Times New Roman"/>
                <w:spacing w:val="-3"/>
                <w:sz w:val="18"/>
                <w:szCs w:val="18"/>
                <w:lang w:eastAsia="zh-CN"/>
              </w:rPr>
              <w:t>烤</w:t>
            </w:r>
            <w:r>
              <w:rPr>
                <w:rFonts w:ascii="Times New Roman" w:hAnsi="Times New Roman"/>
                <w:sz w:val="18"/>
                <w:szCs w:val="18"/>
                <w:lang w:eastAsia="zh-CN"/>
              </w:rPr>
              <w:t>制</w:t>
            </w:r>
            <w:r>
              <w:rPr>
                <w:rFonts w:ascii="Times New Roman" w:hAnsi="Times New Roman"/>
                <w:spacing w:val="-3"/>
                <w:sz w:val="18"/>
                <w:szCs w:val="18"/>
                <w:lang w:eastAsia="zh-CN"/>
              </w:rPr>
              <w:t>、</w:t>
            </w:r>
            <w:r>
              <w:rPr>
                <w:rFonts w:ascii="Times New Roman" w:hAnsi="Times New Roman"/>
                <w:sz w:val="18"/>
                <w:szCs w:val="18"/>
                <w:lang w:eastAsia="zh-CN"/>
              </w:rPr>
              <w:t>包</w:t>
            </w:r>
            <w:r>
              <w:rPr>
                <w:rFonts w:ascii="Times New Roman" w:hAnsi="Times New Roman"/>
                <w:spacing w:val="-3"/>
                <w:sz w:val="18"/>
                <w:szCs w:val="18"/>
                <w:lang w:eastAsia="zh-CN"/>
              </w:rPr>
              <w:t>装</w:t>
            </w:r>
            <w:r>
              <w:rPr>
                <w:rFonts w:ascii="Times New Roman" w:hAnsi="Times New Roman"/>
                <w:sz w:val="18"/>
                <w:szCs w:val="18"/>
                <w:lang w:eastAsia="zh-CN"/>
              </w:rPr>
              <w:t>印</w:t>
            </w:r>
            <w:r>
              <w:rPr>
                <w:rFonts w:ascii="Times New Roman" w:hAnsi="Times New Roman"/>
                <w:spacing w:val="-3"/>
                <w:sz w:val="18"/>
                <w:szCs w:val="18"/>
                <w:lang w:eastAsia="zh-CN"/>
              </w:rPr>
              <w:t>刷</w:t>
            </w:r>
            <w:r>
              <w:rPr>
                <w:rFonts w:ascii="Times New Roman" w:hAnsi="Times New Roman"/>
                <w:sz w:val="18"/>
                <w:szCs w:val="18"/>
                <w:lang w:eastAsia="zh-CN"/>
              </w:rPr>
              <w:t>等</w:t>
            </w:r>
          </w:p>
        </w:tc>
      </w:tr>
      <w:tr>
        <w:tblPrEx>
          <w:tblCellMar>
            <w:top w:w="0" w:type="dxa"/>
            <w:left w:w="0" w:type="dxa"/>
            <w:bottom w:w="0" w:type="dxa"/>
            <w:right w:w="0" w:type="dxa"/>
          </w:tblCellMar>
        </w:tblPrEx>
        <w:trPr>
          <w:trHeight w:val="283" w:hRule="atLeast"/>
          <w:jc w:val="center"/>
        </w:trPr>
        <w:tc>
          <w:tcPr>
            <w:tcW w:w="803" w:type="pct"/>
            <w:tcBorders>
              <w:top w:val="single" w:color="000000" w:sz="4" w:space="0"/>
              <w:left w:val="single" w:color="000000" w:sz="4" w:space="0"/>
              <w:bottom w:val="single" w:color="000000" w:sz="4" w:space="0"/>
              <w:right w:val="single" w:color="000000" w:sz="4" w:space="0"/>
            </w:tcBorders>
            <w:vAlign w:val="center"/>
          </w:tcPr>
          <w:p>
            <w:pPr>
              <w:snapToGrid w:val="0"/>
              <w:ind w:left="463" w:right="465"/>
              <w:jc w:val="center"/>
              <w:rPr>
                <w:rFonts w:ascii="Times New Roman" w:hAnsi="Times New Roman" w:eastAsia="Calibri"/>
                <w:kern w:val="0"/>
                <w:sz w:val="18"/>
                <w:szCs w:val="18"/>
                <w:lang w:eastAsia="en-US"/>
              </w:rPr>
            </w:pPr>
            <w:r>
              <w:rPr>
                <w:rFonts w:ascii="Times New Roman" w:hAnsi="Times New Roman" w:eastAsia="Calibri"/>
                <w:spacing w:val="-2"/>
                <w:kern w:val="0"/>
                <w:sz w:val="18"/>
                <w:szCs w:val="18"/>
                <w:lang w:eastAsia="en-US"/>
              </w:rPr>
              <w:t>17</w:t>
            </w:r>
          </w:p>
        </w:tc>
        <w:tc>
          <w:tcPr>
            <w:tcW w:w="2078" w:type="pct"/>
            <w:tcBorders>
              <w:top w:val="single" w:color="000000" w:sz="4" w:space="0"/>
              <w:left w:val="single" w:color="000000" w:sz="4" w:space="0"/>
              <w:bottom w:val="single" w:color="000000" w:sz="4" w:space="0"/>
              <w:right w:val="single" w:color="000000" w:sz="4" w:space="0"/>
            </w:tcBorders>
            <w:vAlign w:val="bottom"/>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纺织业</w:t>
            </w:r>
          </w:p>
        </w:tc>
        <w:tc>
          <w:tcPr>
            <w:tcW w:w="2119" w:type="pct"/>
            <w:tcBorders>
              <w:top w:val="single" w:color="000000" w:sz="4" w:space="0"/>
              <w:left w:val="single" w:color="000000" w:sz="4" w:space="0"/>
              <w:bottom w:val="single" w:color="000000" w:sz="4" w:space="0"/>
              <w:right w:val="single" w:color="000000" w:sz="4" w:space="0"/>
            </w:tcBorders>
            <w:vAlign w:val="bottom"/>
          </w:tcPr>
          <w:p>
            <w:pPr>
              <w:snapToGrid w:val="0"/>
              <w:jc w:val="center"/>
              <w:rPr>
                <w:rFonts w:ascii="Times New Roman" w:hAnsi="Times New Roman"/>
                <w:kern w:val="0"/>
                <w:sz w:val="18"/>
                <w:szCs w:val="18"/>
                <w:lang w:eastAsia="en-US"/>
              </w:rPr>
            </w:pPr>
            <w:r>
              <w:rPr>
                <w:rFonts w:ascii="Times New Roman" w:hAnsi="Times New Roman"/>
                <w:sz w:val="18"/>
                <w:szCs w:val="18"/>
                <w:lang w:eastAsia="en-US"/>
              </w:rPr>
              <w:t>印染</w:t>
            </w:r>
            <w:r>
              <w:rPr>
                <w:rFonts w:ascii="Times New Roman" w:hAnsi="Times New Roman"/>
                <w:spacing w:val="-3"/>
                <w:sz w:val="18"/>
                <w:szCs w:val="18"/>
                <w:lang w:eastAsia="en-US"/>
              </w:rPr>
              <w:t>过</w:t>
            </w:r>
            <w:r>
              <w:rPr>
                <w:rFonts w:ascii="Times New Roman" w:hAnsi="Times New Roman"/>
                <w:sz w:val="18"/>
                <w:szCs w:val="18"/>
                <w:lang w:eastAsia="en-US"/>
              </w:rPr>
              <w:t>程</w:t>
            </w:r>
          </w:p>
        </w:tc>
      </w:tr>
      <w:tr>
        <w:tblPrEx>
          <w:tblCellMar>
            <w:top w:w="0" w:type="dxa"/>
            <w:left w:w="0" w:type="dxa"/>
            <w:bottom w:w="0" w:type="dxa"/>
            <w:right w:w="0" w:type="dxa"/>
          </w:tblCellMar>
        </w:tblPrEx>
        <w:trPr>
          <w:trHeight w:val="283" w:hRule="atLeast"/>
          <w:jc w:val="center"/>
        </w:trPr>
        <w:tc>
          <w:tcPr>
            <w:tcW w:w="803" w:type="pct"/>
            <w:tcBorders>
              <w:top w:val="single" w:color="000000" w:sz="4" w:space="0"/>
              <w:left w:val="single" w:color="000000" w:sz="4" w:space="0"/>
              <w:bottom w:val="single" w:color="000000" w:sz="4" w:space="0"/>
              <w:right w:val="single" w:color="000000" w:sz="4" w:space="0"/>
            </w:tcBorders>
            <w:vAlign w:val="center"/>
          </w:tcPr>
          <w:p>
            <w:pPr>
              <w:snapToGrid w:val="0"/>
              <w:ind w:left="463" w:right="461"/>
              <w:jc w:val="center"/>
              <w:rPr>
                <w:rFonts w:ascii="Times New Roman" w:hAnsi="Times New Roman" w:eastAsia="Calibri"/>
                <w:kern w:val="0"/>
                <w:sz w:val="18"/>
                <w:szCs w:val="18"/>
                <w:lang w:eastAsia="en-US"/>
              </w:rPr>
            </w:pPr>
            <w:r>
              <w:rPr>
                <w:rFonts w:ascii="Times New Roman" w:hAnsi="Times New Roman" w:eastAsia="Calibri"/>
                <w:kern w:val="0"/>
                <w:sz w:val="18"/>
                <w:szCs w:val="18"/>
                <w:lang w:eastAsia="en-US"/>
              </w:rPr>
              <w:t>18</w:t>
            </w:r>
          </w:p>
        </w:tc>
        <w:tc>
          <w:tcPr>
            <w:tcW w:w="2078" w:type="pct"/>
            <w:tcBorders>
              <w:top w:val="single" w:color="000000" w:sz="4" w:space="0"/>
              <w:left w:val="single" w:color="000000" w:sz="4" w:space="0"/>
              <w:bottom w:val="single" w:color="000000" w:sz="4" w:space="0"/>
              <w:right w:val="single" w:color="000000" w:sz="4" w:space="0"/>
            </w:tcBorders>
            <w:vAlign w:val="bottom"/>
          </w:tcPr>
          <w:p>
            <w:pPr>
              <w:snapToGrid w:val="0"/>
              <w:ind w:left="102"/>
              <w:jc w:val="center"/>
              <w:rPr>
                <w:rFonts w:ascii="Times New Roman" w:hAnsi="Times New Roman"/>
                <w:kern w:val="0"/>
                <w:sz w:val="18"/>
                <w:szCs w:val="18"/>
                <w:lang w:eastAsia="en-US"/>
              </w:rPr>
            </w:pPr>
            <w:r>
              <w:rPr>
                <w:rFonts w:ascii="Times New Roman" w:hAnsi="Times New Roman"/>
                <w:kern w:val="0"/>
                <w:sz w:val="18"/>
                <w:szCs w:val="18"/>
                <w:lang w:eastAsia="en-US"/>
              </w:rPr>
              <w:t>纺织服</w:t>
            </w:r>
            <w:r>
              <w:rPr>
                <w:rFonts w:ascii="Times New Roman" w:hAnsi="Times New Roman"/>
                <w:spacing w:val="-3"/>
                <w:kern w:val="0"/>
                <w:sz w:val="18"/>
                <w:szCs w:val="18"/>
                <w:lang w:eastAsia="en-US"/>
              </w:rPr>
              <w:t>装</w:t>
            </w:r>
            <w:r>
              <w:rPr>
                <w:rFonts w:ascii="Times New Roman" w:hAnsi="Times New Roman"/>
                <w:kern w:val="0"/>
                <w:sz w:val="18"/>
                <w:szCs w:val="18"/>
                <w:lang w:eastAsia="en-US"/>
              </w:rPr>
              <w:t>、服</w:t>
            </w:r>
            <w:r>
              <w:rPr>
                <w:rFonts w:ascii="Times New Roman" w:hAnsi="Times New Roman"/>
                <w:spacing w:val="-3"/>
                <w:kern w:val="0"/>
                <w:sz w:val="18"/>
                <w:szCs w:val="18"/>
                <w:lang w:eastAsia="en-US"/>
              </w:rPr>
              <w:t>饰业</w:t>
            </w:r>
          </w:p>
        </w:tc>
        <w:tc>
          <w:tcPr>
            <w:tcW w:w="2119" w:type="pct"/>
            <w:tcBorders>
              <w:top w:val="single" w:color="000000" w:sz="4" w:space="0"/>
              <w:left w:val="single" w:color="000000" w:sz="4" w:space="0"/>
              <w:bottom w:val="single" w:color="000000" w:sz="4" w:space="0"/>
              <w:right w:val="single" w:color="000000" w:sz="4" w:space="0"/>
            </w:tcBorders>
            <w:vAlign w:val="bottom"/>
          </w:tcPr>
          <w:p>
            <w:pPr>
              <w:snapToGrid w:val="0"/>
              <w:jc w:val="center"/>
              <w:rPr>
                <w:rFonts w:ascii="Times New Roman" w:hAnsi="Times New Roman"/>
                <w:kern w:val="0"/>
                <w:sz w:val="18"/>
                <w:szCs w:val="18"/>
                <w:lang w:eastAsia="en-US"/>
              </w:rPr>
            </w:pPr>
            <w:r>
              <w:rPr>
                <w:rFonts w:ascii="Times New Roman" w:hAnsi="Times New Roman"/>
                <w:sz w:val="18"/>
                <w:szCs w:val="18"/>
                <w:lang w:eastAsia="en-US"/>
              </w:rPr>
              <w:t>胶黏</w:t>
            </w:r>
            <w:r>
              <w:rPr>
                <w:rFonts w:ascii="Times New Roman" w:hAnsi="Times New Roman"/>
                <w:spacing w:val="-3"/>
                <w:sz w:val="18"/>
                <w:szCs w:val="18"/>
                <w:lang w:eastAsia="en-US"/>
              </w:rPr>
              <w:t>剂</w:t>
            </w:r>
            <w:r>
              <w:rPr>
                <w:rFonts w:ascii="Times New Roman" w:hAnsi="Times New Roman"/>
                <w:sz w:val="18"/>
                <w:szCs w:val="18"/>
                <w:lang w:eastAsia="en-US"/>
              </w:rPr>
              <w:t>使用</w:t>
            </w:r>
          </w:p>
        </w:tc>
      </w:tr>
      <w:tr>
        <w:tblPrEx>
          <w:tblCellMar>
            <w:top w:w="0" w:type="dxa"/>
            <w:left w:w="0" w:type="dxa"/>
            <w:bottom w:w="0" w:type="dxa"/>
            <w:right w:w="0" w:type="dxa"/>
          </w:tblCellMar>
        </w:tblPrEx>
        <w:trPr>
          <w:trHeight w:val="283" w:hRule="atLeast"/>
          <w:jc w:val="center"/>
        </w:trPr>
        <w:tc>
          <w:tcPr>
            <w:tcW w:w="803" w:type="pct"/>
            <w:tcBorders>
              <w:top w:val="single" w:color="000000" w:sz="4" w:space="0"/>
              <w:left w:val="single" w:color="000000" w:sz="4" w:space="0"/>
              <w:bottom w:val="single" w:color="000000" w:sz="4" w:space="0"/>
              <w:right w:val="single" w:color="000000" w:sz="4" w:space="0"/>
            </w:tcBorders>
            <w:vAlign w:val="center"/>
          </w:tcPr>
          <w:p>
            <w:pPr>
              <w:snapToGrid w:val="0"/>
              <w:ind w:left="463" w:right="461"/>
              <w:jc w:val="center"/>
              <w:rPr>
                <w:rFonts w:ascii="Times New Roman" w:hAnsi="Times New Roman" w:eastAsia="Calibri"/>
                <w:kern w:val="0"/>
                <w:sz w:val="18"/>
                <w:szCs w:val="18"/>
                <w:lang w:eastAsia="en-US"/>
              </w:rPr>
            </w:pPr>
            <w:r>
              <w:rPr>
                <w:rFonts w:ascii="Times New Roman" w:hAnsi="Times New Roman" w:eastAsia="Calibri"/>
                <w:kern w:val="0"/>
                <w:sz w:val="18"/>
                <w:szCs w:val="18"/>
                <w:lang w:eastAsia="en-US"/>
              </w:rPr>
              <w:t>19</w:t>
            </w:r>
          </w:p>
        </w:tc>
        <w:tc>
          <w:tcPr>
            <w:tcW w:w="2078" w:type="pct"/>
            <w:tcBorders>
              <w:top w:val="single" w:color="000000" w:sz="4" w:space="0"/>
              <w:left w:val="single" w:color="000000" w:sz="4" w:space="0"/>
              <w:bottom w:val="single" w:color="000000" w:sz="4" w:space="0"/>
              <w:right w:val="single" w:color="000000" w:sz="4" w:space="0"/>
            </w:tcBorders>
            <w:vAlign w:val="bottom"/>
          </w:tcPr>
          <w:p>
            <w:pPr>
              <w:snapToGrid w:val="0"/>
              <w:ind w:left="102"/>
              <w:jc w:val="center"/>
              <w:rPr>
                <w:rFonts w:ascii="Times New Roman" w:hAnsi="Times New Roman"/>
                <w:kern w:val="0"/>
                <w:sz w:val="18"/>
                <w:szCs w:val="18"/>
                <w:lang w:eastAsia="zh-CN"/>
              </w:rPr>
            </w:pPr>
            <w:r>
              <w:rPr>
                <w:rFonts w:ascii="Times New Roman" w:hAnsi="Times New Roman"/>
                <w:kern w:val="0"/>
                <w:sz w:val="18"/>
                <w:szCs w:val="18"/>
                <w:lang w:eastAsia="zh-CN"/>
              </w:rPr>
              <w:t>皮革、</w:t>
            </w:r>
            <w:r>
              <w:rPr>
                <w:rFonts w:ascii="Times New Roman" w:hAnsi="Times New Roman"/>
                <w:spacing w:val="-3"/>
                <w:kern w:val="0"/>
                <w:sz w:val="18"/>
                <w:szCs w:val="18"/>
                <w:lang w:eastAsia="zh-CN"/>
              </w:rPr>
              <w:t>毛</w:t>
            </w:r>
            <w:r>
              <w:rPr>
                <w:rFonts w:ascii="Times New Roman" w:hAnsi="Times New Roman"/>
                <w:kern w:val="0"/>
                <w:sz w:val="18"/>
                <w:szCs w:val="18"/>
                <w:lang w:eastAsia="zh-CN"/>
              </w:rPr>
              <w:t>皮、</w:t>
            </w:r>
            <w:r>
              <w:rPr>
                <w:rFonts w:ascii="Times New Roman" w:hAnsi="Times New Roman"/>
                <w:spacing w:val="-3"/>
                <w:kern w:val="0"/>
                <w:sz w:val="18"/>
                <w:szCs w:val="18"/>
                <w:lang w:eastAsia="zh-CN"/>
              </w:rPr>
              <w:t>羽</w:t>
            </w:r>
            <w:r>
              <w:rPr>
                <w:rFonts w:ascii="Times New Roman" w:hAnsi="Times New Roman"/>
                <w:kern w:val="0"/>
                <w:sz w:val="18"/>
                <w:szCs w:val="18"/>
                <w:lang w:eastAsia="zh-CN"/>
              </w:rPr>
              <w:t>毛及</w:t>
            </w:r>
            <w:r>
              <w:rPr>
                <w:rFonts w:ascii="Times New Roman" w:hAnsi="Times New Roman"/>
                <w:spacing w:val="-3"/>
                <w:kern w:val="0"/>
                <w:sz w:val="18"/>
                <w:szCs w:val="18"/>
                <w:lang w:eastAsia="zh-CN"/>
              </w:rPr>
              <w:t>其制</w:t>
            </w:r>
            <w:r>
              <w:rPr>
                <w:rFonts w:ascii="Times New Roman" w:hAnsi="Times New Roman"/>
                <w:kern w:val="0"/>
                <w:sz w:val="18"/>
                <w:szCs w:val="18"/>
                <w:lang w:eastAsia="zh-CN"/>
              </w:rPr>
              <w:t>品和制鞋业</w:t>
            </w:r>
          </w:p>
        </w:tc>
        <w:tc>
          <w:tcPr>
            <w:tcW w:w="2119" w:type="pct"/>
            <w:tcBorders>
              <w:top w:val="single" w:color="000000" w:sz="4" w:space="0"/>
              <w:left w:val="single" w:color="000000" w:sz="4" w:space="0"/>
              <w:bottom w:val="single" w:color="000000" w:sz="4" w:space="0"/>
              <w:right w:val="single" w:color="000000" w:sz="4" w:space="0"/>
            </w:tcBorders>
            <w:vAlign w:val="bottom"/>
          </w:tcPr>
          <w:p>
            <w:pPr>
              <w:snapToGrid w:val="0"/>
              <w:ind w:firstLine="360" w:firstLineChars="200"/>
              <w:jc w:val="center"/>
              <w:rPr>
                <w:rFonts w:ascii="Times New Roman" w:hAnsi="Times New Roman"/>
                <w:kern w:val="0"/>
                <w:sz w:val="18"/>
                <w:szCs w:val="18"/>
                <w:lang w:eastAsia="zh-CN"/>
              </w:rPr>
            </w:pPr>
            <w:r>
              <w:rPr>
                <w:rFonts w:ascii="Times New Roman" w:hAnsi="Times New Roman"/>
                <w:sz w:val="18"/>
                <w:szCs w:val="18"/>
                <w:lang w:eastAsia="zh-CN"/>
              </w:rPr>
              <w:t>皮革</w:t>
            </w:r>
            <w:r>
              <w:rPr>
                <w:rFonts w:ascii="Times New Roman" w:hAnsi="Times New Roman"/>
                <w:spacing w:val="-3"/>
                <w:sz w:val="18"/>
                <w:szCs w:val="18"/>
                <w:lang w:eastAsia="zh-CN"/>
              </w:rPr>
              <w:t>上</w:t>
            </w:r>
            <w:r>
              <w:rPr>
                <w:rFonts w:ascii="Times New Roman" w:hAnsi="Times New Roman"/>
                <w:sz w:val="18"/>
                <w:szCs w:val="18"/>
                <w:lang w:eastAsia="zh-CN"/>
              </w:rPr>
              <w:t>光</w:t>
            </w:r>
            <w:r>
              <w:rPr>
                <w:rFonts w:ascii="Times New Roman" w:hAnsi="Times New Roman"/>
                <w:spacing w:val="-3"/>
                <w:sz w:val="18"/>
                <w:szCs w:val="18"/>
                <w:lang w:eastAsia="zh-CN"/>
              </w:rPr>
              <w:t>、</w:t>
            </w:r>
            <w:r>
              <w:rPr>
                <w:rFonts w:ascii="Times New Roman" w:hAnsi="Times New Roman"/>
                <w:sz w:val="18"/>
                <w:szCs w:val="18"/>
                <w:lang w:eastAsia="zh-CN"/>
              </w:rPr>
              <w:t>眩</w:t>
            </w:r>
            <w:r>
              <w:rPr>
                <w:rFonts w:ascii="Times New Roman" w:hAnsi="Times New Roman"/>
                <w:spacing w:val="-3"/>
                <w:sz w:val="18"/>
                <w:szCs w:val="18"/>
                <w:lang w:eastAsia="zh-CN"/>
              </w:rPr>
              <w:t>皮</w:t>
            </w:r>
            <w:r>
              <w:rPr>
                <w:rFonts w:ascii="Times New Roman" w:hAnsi="Times New Roman"/>
                <w:sz w:val="18"/>
                <w:szCs w:val="18"/>
                <w:lang w:eastAsia="zh-CN"/>
              </w:rPr>
              <w:t>、</w:t>
            </w:r>
            <w:r>
              <w:rPr>
                <w:rFonts w:ascii="Times New Roman" w:hAnsi="Times New Roman"/>
                <w:spacing w:val="-3"/>
                <w:sz w:val="18"/>
                <w:szCs w:val="18"/>
                <w:lang w:eastAsia="zh-CN"/>
              </w:rPr>
              <w:t>上</w:t>
            </w:r>
            <w:r>
              <w:rPr>
                <w:rFonts w:ascii="Times New Roman" w:hAnsi="Times New Roman"/>
                <w:sz w:val="18"/>
                <w:szCs w:val="18"/>
                <w:lang w:eastAsia="zh-CN"/>
              </w:rPr>
              <w:t>胶</w:t>
            </w:r>
            <w:r>
              <w:rPr>
                <w:rFonts w:ascii="Times New Roman" w:hAnsi="Times New Roman"/>
                <w:spacing w:val="-3"/>
                <w:sz w:val="18"/>
                <w:szCs w:val="18"/>
                <w:lang w:eastAsia="zh-CN"/>
              </w:rPr>
              <w:t>、</w:t>
            </w:r>
            <w:r>
              <w:rPr>
                <w:rFonts w:ascii="Times New Roman" w:hAnsi="Times New Roman"/>
                <w:sz w:val="18"/>
                <w:szCs w:val="18"/>
                <w:lang w:eastAsia="zh-CN"/>
              </w:rPr>
              <w:t>溶剂清洗等</w:t>
            </w:r>
          </w:p>
        </w:tc>
      </w:tr>
      <w:tr>
        <w:tblPrEx>
          <w:tblCellMar>
            <w:top w:w="0" w:type="dxa"/>
            <w:left w:w="0" w:type="dxa"/>
            <w:bottom w:w="0" w:type="dxa"/>
            <w:right w:w="0" w:type="dxa"/>
          </w:tblCellMar>
        </w:tblPrEx>
        <w:trPr>
          <w:trHeight w:val="283" w:hRule="atLeast"/>
          <w:jc w:val="center"/>
        </w:trPr>
        <w:tc>
          <w:tcPr>
            <w:tcW w:w="803" w:type="pct"/>
            <w:tcBorders>
              <w:top w:val="single" w:color="000000" w:sz="4" w:space="0"/>
              <w:left w:val="single" w:color="000000" w:sz="4" w:space="0"/>
              <w:bottom w:val="single" w:color="000000" w:sz="4" w:space="0"/>
              <w:right w:val="single" w:color="000000" w:sz="4" w:space="0"/>
            </w:tcBorders>
            <w:vAlign w:val="center"/>
          </w:tcPr>
          <w:p>
            <w:pPr>
              <w:snapToGrid w:val="0"/>
              <w:ind w:left="463" w:right="465"/>
              <w:jc w:val="center"/>
              <w:rPr>
                <w:rFonts w:ascii="Times New Roman" w:hAnsi="Times New Roman" w:eastAsia="Calibri"/>
                <w:kern w:val="0"/>
                <w:sz w:val="18"/>
                <w:szCs w:val="18"/>
                <w:lang w:eastAsia="en-US"/>
              </w:rPr>
            </w:pPr>
            <w:r>
              <w:rPr>
                <w:rFonts w:ascii="Times New Roman" w:hAnsi="Times New Roman" w:eastAsia="Calibri"/>
                <w:spacing w:val="-2"/>
                <w:kern w:val="0"/>
                <w:sz w:val="18"/>
                <w:szCs w:val="18"/>
                <w:lang w:eastAsia="en-US"/>
              </w:rPr>
              <w:t>20</w:t>
            </w:r>
          </w:p>
        </w:tc>
        <w:tc>
          <w:tcPr>
            <w:tcW w:w="2078" w:type="pct"/>
            <w:tcBorders>
              <w:top w:val="single" w:color="000000" w:sz="4" w:space="0"/>
              <w:left w:val="single" w:color="000000" w:sz="4" w:space="0"/>
              <w:bottom w:val="single" w:color="000000" w:sz="4" w:space="0"/>
              <w:right w:val="single" w:color="000000" w:sz="4" w:space="0"/>
            </w:tcBorders>
            <w:vAlign w:val="bottom"/>
          </w:tcPr>
          <w:p>
            <w:pPr>
              <w:snapToGrid w:val="0"/>
              <w:ind w:left="102"/>
              <w:jc w:val="center"/>
              <w:rPr>
                <w:rFonts w:ascii="Times New Roman" w:hAnsi="Times New Roman"/>
                <w:kern w:val="0"/>
                <w:sz w:val="18"/>
                <w:szCs w:val="18"/>
                <w:lang w:eastAsia="zh-CN"/>
              </w:rPr>
            </w:pPr>
            <w:r>
              <w:rPr>
                <w:rFonts w:ascii="Times New Roman" w:hAnsi="Times New Roman"/>
                <w:kern w:val="0"/>
                <w:sz w:val="18"/>
                <w:szCs w:val="18"/>
                <w:lang w:eastAsia="zh-CN"/>
              </w:rPr>
              <w:t>木材加</w:t>
            </w:r>
            <w:r>
              <w:rPr>
                <w:rFonts w:ascii="Times New Roman" w:hAnsi="Times New Roman"/>
                <w:spacing w:val="-3"/>
                <w:kern w:val="0"/>
                <w:sz w:val="18"/>
                <w:szCs w:val="18"/>
                <w:lang w:eastAsia="zh-CN"/>
              </w:rPr>
              <w:t>工</w:t>
            </w:r>
            <w:r>
              <w:rPr>
                <w:rFonts w:ascii="Times New Roman" w:hAnsi="Times New Roman"/>
                <w:kern w:val="0"/>
                <w:sz w:val="18"/>
                <w:szCs w:val="18"/>
                <w:lang w:eastAsia="zh-CN"/>
              </w:rPr>
              <w:t>和木</w:t>
            </w:r>
            <w:r>
              <w:rPr>
                <w:rFonts w:ascii="Times New Roman" w:hAnsi="Times New Roman"/>
                <w:spacing w:val="-3"/>
                <w:kern w:val="0"/>
                <w:sz w:val="18"/>
                <w:szCs w:val="18"/>
                <w:lang w:eastAsia="zh-CN"/>
              </w:rPr>
              <w:t>、</w:t>
            </w:r>
            <w:r>
              <w:rPr>
                <w:rFonts w:ascii="Times New Roman" w:hAnsi="Times New Roman"/>
                <w:kern w:val="0"/>
                <w:sz w:val="18"/>
                <w:szCs w:val="18"/>
                <w:lang w:eastAsia="zh-CN"/>
              </w:rPr>
              <w:t>竹、</w:t>
            </w:r>
            <w:r>
              <w:rPr>
                <w:rFonts w:ascii="Times New Roman" w:hAnsi="Times New Roman"/>
                <w:spacing w:val="-3"/>
                <w:kern w:val="0"/>
                <w:sz w:val="18"/>
                <w:szCs w:val="18"/>
                <w:lang w:eastAsia="zh-CN"/>
              </w:rPr>
              <w:t>藤</w:t>
            </w:r>
            <w:r>
              <w:rPr>
                <w:rFonts w:ascii="Times New Roman" w:hAnsi="Times New Roman"/>
                <w:kern w:val="0"/>
                <w:sz w:val="18"/>
                <w:szCs w:val="18"/>
                <w:lang w:eastAsia="zh-CN"/>
              </w:rPr>
              <w:t>、棕、草</w:t>
            </w:r>
            <w:r>
              <w:rPr>
                <w:rFonts w:ascii="Times New Roman" w:hAnsi="Times New Roman"/>
                <w:spacing w:val="-3"/>
                <w:kern w:val="0"/>
                <w:sz w:val="18"/>
                <w:szCs w:val="18"/>
                <w:lang w:eastAsia="zh-CN"/>
              </w:rPr>
              <w:t>制</w:t>
            </w:r>
            <w:r>
              <w:rPr>
                <w:rFonts w:ascii="Times New Roman" w:hAnsi="Times New Roman"/>
                <w:kern w:val="0"/>
                <w:sz w:val="18"/>
                <w:szCs w:val="18"/>
                <w:lang w:eastAsia="zh-CN"/>
              </w:rPr>
              <w:t>品业</w:t>
            </w:r>
          </w:p>
        </w:tc>
        <w:tc>
          <w:tcPr>
            <w:tcW w:w="2119" w:type="pct"/>
            <w:tcBorders>
              <w:top w:val="single" w:color="000000" w:sz="4" w:space="0"/>
              <w:left w:val="single" w:color="000000" w:sz="4" w:space="0"/>
              <w:bottom w:val="single" w:color="000000" w:sz="4" w:space="0"/>
              <w:right w:val="single" w:color="000000" w:sz="4" w:space="0"/>
            </w:tcBorders>
            <w:vAlign w:val="bottom"/>
          </w:tcPr>
          <w:p>
            <w:pPr>
              <w:snapToGrid w:val="0"/>
              <w:jc w:val="center"/>
              <w:rPr>
                <w:rFonts w:ascii="Times New Roman" w:hAnsi="Times New Roman"/>
                <w:kern w:val="0"/>
                <w:sz w:val="18"/>
                <w:szCs w:val="18"/>
                <w:lang w:eastAsia="en-US"/>
              </w:rPr>
            </w:pPr>
            <w:r>
              <w:rPr>
                <w:rFonts w:ascii="Times New Roman" w:hAnsi="Times New Roman"/>
                <w:sz w:val="18"/>
                <w:szCs w:val="18"/>
                <w:lang w:eastAsia="en-US"/>
              </w:rPr>
              <w:t>人造</w:t>
            </w:r>
            <w:r>
              <w:rPr>
                <w:rFonts w:ascii="Times New Roman" w:hAnsi="Times New Roman"/>
                <w:spacing w:val="-3"/>
                <w:sz w:val="18"/>
                <w:szCs w:val="18"/>
                <w:lang w:eastAsia="en-US"/>
              </w:rPr>
              <w:t>板</w:t>
            </w:r>
            <w:r>
              <w:rPr>
                <w:rFonts w:ascii="Times New Roman" w:hAnsi="Times New Roman"/>
                <w:sz w:val="18"/>
                <w:szCs w:val="18"/>
                <w:lang w:eastAsia="en-US"/>
              </w:rPr>
              <w:t>制造</w:t>
            </w:r>
          </w:p>
        </w:tc>
      </w:tr>
      <w:tr>
        <w:tblPrEx>
          <w:tblCellMar>
            <w:top w:w="0" w:type="dxa"/>
            <w:left w:w="0" w:type="dxa"/>
            <w:bottom w:w="0" w:type="dxa"/>
            <w:right w:w="0" w:type="dxa"/>
          </w:tblCellMar>
        </w:tblPrEx>
        <w:trPr>
          <w:trHeight w:val="283" w:hRule="atLeast"/>
          <w:jc w:val="center"/>
        </w:trPr>
        <w:tc>
          <w:tcPr>
            <w:tcW w:w="803" w:type="pct"/>
            <w:tcBorders>
              <w:top w:val="single" w:color="000000" w:sz="4" w:space="0"/>
              <w:left w:val="single" w:color="000000" w:sz="4" w:space="0"/>
              <w:bottom w:val="single" w:color="000000" w:sz="4" w:space="0"/>
              <w:right w:val="single" w:color="000000" w:sz="4" w:space="0"/>
            </w:tcBorders>
            <w:vAlign w:val="center"/>
          </w:tcPr>
          <w:p>
            <w:pPr>
              <w:snapToGrid w:val="0"/>
              <w:ind w:left="463" w:right="461"/>
              <w:jc w:val="center"/>
              <w:rPr>
                <w:rFonts w:ascii="Times New Roman" w:hAnsi="Times New Roman" w:eastAsia="Calibri"/>
                <w:kern w:val="0"/>
                <w:sz w:val="18"/>
                <w:szCs w:val="18"/>
                <w:lang w:eastAsia="en-US"/>
              </w:rPr>
            </w:pPr>
            <w:r>
              <w:rPr>
                <w:rFonts w:ascii="Times New Roman" w:hAnsi="Times New Roman" w:eastAsia="Calibri"/>
                <w:kern w:val="0"/>
                <w:sz w:val="18"/>
                <w:szCs w:val="18"/>
                <w:lang w:eastAsia="en-US"/>
              </w:rPr>
              <w:t>21</w:t>
            </w:r>
          </w:p>
        </w:tc>
        <w:tc>
          <w:tcPr>
            <w:tcW w:w="2078" w:type="pct"/>
            <w:tcBorders>
              <w:top w:val="single" w:color="000000" w:sz="4" w:space="0"/>
              <w:left w:val="single" w:color="000000" w:sz="4" w:space="0"/>
              <w:bottom w:val="single" w:color="000000" w:sz="4" w:space="0"/>
              <w:right w:val="single" w:color="000000" w:sz="4" w:space="0"/>
            </w:tcBorders>
            <w:vAlign w:val="bottom"/>
          </w:tcPr>
          <w:p>
            <w:pPr>
              <w:snapToGrid w:val="0"/>
              <w:spacing w:before="68"/>
              <w:ind w:left="102"/>
              <w:jc w:val="center"/>
              <w:rPr>
                <w:rFonts w:ascii="Times New Roman" w:hAnsi="Times New Roman"/>
                <w:kern w:val="0"/>
                <w:sz w:val="18"/>
                <w:szCs w:val="18"/>
                <w:lang w:eastAsia="en-US"/>
              </w:rPr>
            </w:pPr>
            <w:r>
              <w:rPr>
                <w:rFonts w:ascii="Times New Roman" w:hAnsi="Times New Roman"/>
                <w:kern w:val="0"/>
                <w:sz w:val="18"/>
                <w:szCs w:val="18"/>
                <w:lang w:eastAsia="en-US"/>
              </w:rPr>
              <w:t>家具制</w:t>
            </w:r>
            <w:r>
              <w:rPr>
                <w:rFonts w:ascii="Times New Roman" w:hAnsi="Times New Roman"/>
                <w:spacing w:val="-3"/>
                <w:kern w:val="0"/>
                <w:sz w:val="18"/>
                <w:szCs w:val="18"/>
                <w:lang w:eastAsia="en-US"/>
              </w:rPr>
              <w:t>造</w:t>
            </w:r>
            <w:r>
              <w:rPr>
                <w:rFonts w:ascii="Times New Roman" w:hAnsi="Times New Roman"/>
                <w:kern w:val="0"/>
                <w:sz w:val="18"/>
                <w:szCs w:val="18"/>
                <w:lang w:eastAsia="en-US"/>
              </w:rPr>
              <w:t>业</w:t>
            </w:r>
          </w:p>
        </w:tc>
        <w:tc>
          <w:tcPr>
            <w:tcW w:w="2119" w:type="pct"/>
            <w:tcBorders>
              <w:top w:val="single" w:color="000000" w:sz="4" w:space="0"/>
              <w:left w:val="single" w:color="000000" w:sz="4" w:space="0"/>
              <w:bottom w:val="single" w:color="000000" w:sz="4" w:space="0"/>
              <w:right w:val="single" w:color="000000" w:sz="4" w:space="0"/>
            </w:tcBorders>
            <w:vAlign w:val="bottom"/>
          </w:tcPr>
          <w:p>
            <w:pPr>
              <w:snapToGrid w:val="0"/>
              <w:jc w:val="center"/>
              <w:rPr>
                <w:rFonts w:ascii="Times New Roman" w:hAnsi="Times New Roman"/>
                <w:kern w:val="0"/>
                <w:sz w:val="18"/>
                <w:szCs w:val="18"/>
                <w:lang w:eastAsia="zh-CN"/>
              </w:rPr>
            </w:pPr>
            <w:r>
              <w:rPr>
                <w:rFonts w:ascii="Times New Roman" w:hAnsi="Times New Roman"/>
                <w:sz w:val="18"/>
                <w:szCs w:val="18"/>
                <w:lang w:eastAsia="en-US"/>
              </w:rPr>
              <w:t>家具</w:t>
            </w:r>
            <w:r>
              <w:rPr>
                <w:rFonts w:ascii="Times New Roman" w:hAnsi="Times New Roman"/>
                <w:spacing w:val="-3"/>
                <w:sz w:val="18"/>
                <w:szCs w:val="18"/>
                <w:lang w:eastAsia="en-US"/>
              </w:rPr>
              <w:t>表</w:t>
            </w:r>
            <w:r>
              <w:rPr>
                <w:rFonts w:ascii="Times New Roman" w:hAnsi="Times New Roman"/>
                <w:sz w:val="18"/>
                <w:szCs w:val="18"/>
                <w:lang w:eastAsia="en-US"/>
              </w:rPr>
              <w:t>面</w:t>
            </w:r>
            <w:r>
              <w:rPr>
                <w:rFonts w:ascii="Times New Roman" w:hAnsi="Times New Roman"/>
                <w:spacing w:val="-3"/>
                <w:sz w:val="18"/>
                <w:szCs w:val="18"/>
                <w:lang w:eastAsia="en-US"/>
              </w:rPr>
              <w:t>喷</w:t>
            </w:r>
            <w:r>
              <w:rPr>
                <w:rFonts w:ascii="Times New Roman" w:hAnsi="Times New Roman"/>
                <w:sz w:val="18"/>
                <w:szCs w:val="18"/>
                <w:lang w:eastAsia="en-US"/>
              </w:rPr>
              <w:t>漆</w:t>
            </w:r>
          </w:p>
        </w:tc>
      </w:tr>
      <w:tr>
        <w:tblPrEx>
          <w:tblCellMar>
            <w:top w:w="0" w:type="dxa"/>
            <w:left w:w="0" w:type="dxa"/>
            <w:bottom w:w="0" w:type="dxa"/>
            <w:right w:w="0" w:type="dxa"/>
          </w:tblCellMar>
        </w:tblPrEx>
        <w:trPr>
          <w:trHeight w:val="283" w:hRule="atLeast"/>
          <w:jc w:val="center"/>
        </w:trPr>
        <w:tc>
          <w:tcPr>
            <w:tcW w:w="803" w:type="pct"/>
            <w:tcBorders>
              <w:top w:val="single" w:color="000000" w:sz="4" w:space="0"/>
              <w:left w:val="single" w:color="000000" w:sz="4" w:space="0"/>
              <w:bottom w:val="single" w:color="000000" w:sz="4" w:space="0"/>
              <w:right w:val="single" w:color="000000" w:sz="4" w:space="0"/>
            </w:tcBorders>
            <w:vAlign w:val="center"/>
          </w:tcPr>
          <w:p>
            <w:pPr>
              <w:snapToGrid w:val="0"/>
              <w:ind w:left="463" w:right="461"/>
              <w:jc w:val="center"/>
              <w:rPr>
                <w:rFonts w:ascii="Times New Roman" w:hAnsi="Times New Roman" w:eastAsia="Calibri"/>
                <w:kern w:val="0"/>
                <w:sz w:val="18"/>
                <w:szCs w:val="18"/>
                <w:lang w:eastAsia="en-US"/>
              </w:rPr>
            </w:pPr>
            <w:r>
              <w:rPr>
                <w:rFonts w:ascii="Times New Roman" w:hAnsi="Times New Roman" w:eastAsia="Calibri"/>
                <w:kern w:val="0"/>
                <w:sz w:val="18"/>
                <w:szCs w:val="18"/>
                <w:lang w:eastAsia="en-US"/>
              </w:rPr>
              <w:t>22</w:t>
            </w:r>
          </w:p>
        </w:tc>
        <w:tc>
          <w:tcPr>
            <w:tcW w:w="2078" w:type="pct"/>
            <w:tcBorders>
              <w:top w:val="single" w:color="000000" w:sz="4" w:space="0"/>
              <w:left w:val="single" w:color="000000" w:sz="4" w:space="0"/>
              <w:bottom w:val="single" w:color="000000" w:sz="4" w:space="0"/>
              <w:right w:val="single" w:color="000000" w:sz="4" w:space="0"/>
            </w:tcBorders>
            <w:vAlign w:val="bottom"/>
          </w:tcPr>
          <w:p>
            <w:pPr>
              <w:snapToGrid w:val="0"/>
              <w:ind w:left="102"/>
              <w:jc w:val="center"/>
              <w:rPr>
                <w:rFonts w:ascii="Times New Roman" w:hAnsi="Times New Roman"/>
                <w:kern w:val="0"/>
                <w:sz w:val="18"/>
                <w:szCs w:val="18"/>
                <w:lang w:eastAsia="en-US"/>
              </w:rPr>
            </w:pPr>
            <w:r>
              <w:rPr>
                <w:rFonts w:ascii="Times New Roman" w:hAnsi="Times New Roman"/>
                <w:kern w:val="0"/>
                <w:sz w:val="18"/>
                <w:szCs w:val="18"/>
                <w:lang w:eastAsia="en-US"/>
              </w:rPr>
              <w:t>造纸和</w:t>
            </w:r>
            <w:r>
              <w:rPr>
                <w:rFonts w:ascii="Times New Roman" w:hAnsi="Times New Roman"/>
                <w:spacing w:val="-3"/>
                <w:kern w:val="0"/>
                <w:sz w:val="18"/>
                <w:szCs w:val="18"/>
                <w:lang w:eastAsia="en-US"/>
              </w:rPr>
              <w:t>纸</w:t>
            </w:r>
            <w:r>
              <w:rPr>
                <w:rFonts w:ascii="Times New Roman" w:hAnsi="Times New Roman"/>
                <w:kern w:val="0"/>
                <w:sz w:val="18"/>
                <w:szCs w:val="18"/>
                <w:lang w:eastAsia="en-US"/>
              </w:rPr>
              <w:t>制品业</w:t>
            </w:r>
          </w:p>
        </w:tc>
        <w:tc>
          <w:tcPr>
            <w:tcW w:w="2119" w:type="pct"/>
            <w:tcBorders>
              <w:top w:val="single" w:color="000000" w:sz="4" w:space="0"/>
              <w:left w:val="single" w:color="000000" w:sz="4" w:space="0"/>
              <w:bottom w:val="single" w:color="000000" w:sz="4" w:space="0"/>
              <w:right w:val="single" w:color="000000" w:sz="4" w:space="0"/>
            </w:tcBorders>
            <w:vAlign w:val="bottom"/>
          </w:tcPr>
          <w:p>
            <w:pPr>
              <w:snapToGrid w:val="0"/>
              <w:jc w:val="center"/>
              <w:rPr>
                <w:rFonts w:ascii="Times New Roman" w:hAnsi="Times New Roman"/>
                <w:kern w:val="0"/>
                <w:sz w:val="18"/>
                <w:szCs w:val="18"/>
                <w:lang w:eastAsia="zh-CN"/>
              </w:rPr>
            </w:pPr>
            <w:r>
              <w:rPr>
                <w:rFonts w:ascii="Times New Roman" w:hAnsi="Times New Roman"/>
                <w:sz w:val="18"/>
                <w:szCs w:val="18"/>
                <w:lang w:eastAsia="en-US"/>
              </w:rPr>
              <w:t>纸张</w:t>
            </w:r>
            <w:r>
              <w:rPr>
                <w:rFonts w:ascii="Times New Roman" w:hAnsi="Times New Roman"/>
                <w:spacing w:val="-3"/>
                <w:sz w:val="18"/>
                <w:szCs w:val="18"/>
                <w:lang w:eastAsia="en-US"/>
              </w:rPr>
              <w:t>涂</w:t>
            </w:r>
            <w:r>
              <w:rPr>
                <w:rFonts w:ascii="Times New Roman" w:hAnsi="Times New Roman"/>
                <w:sz w:val="18"/>
                <w:szCs w:val="18"/>
                <w:lang w:eastAsia="en-US"/>
              </w:rPr>
              <w:t>层</w:t>
            </w:r>
            <w:r>
              <w:rPr>
                <w:rFonts w:ascii="Times New Roman" w:hAnsi="Times New Roman"/>
                <w:spacing w:val="-3"/>
                <w:sz w:val="18"/>
                <w:szCs w:val="18"/>
                <w:lang w:eastAsia="en-US"/>
              </w:rPr>
              <w:t>、</w:t>
            </w:r>
            <w:r>
              <w:rPr>
                <w:rFonts w:ascii="Times New Roman" w:hAnsi="Times New Roman"/>
                <w:sz w:val="18"/>
                <w:szCs w:val="18"/>
                <w:lang w:eastAsia="en-US"/>
              </w:rPr>
              <w:t>纸</w:t>
            </w:r>
            <w:r>
              <w:rPr>
                <w:rFonts w:ascii="Times New Roman" w:hAnsi="Times New Roman"/>
                <w:spacing w:val="-3"/>
                <w:sz w:val="18"/>
                <w:szCs w:val="18"/>
                <w:lang w:eastAsia="en-US"/>
              </w:rPr>
              <w:t>张</w:t>
            </w:r>
            <w:r>
              <w:rPr>
                <w:rFonts w:ascii="Times New Roman" w:hAnsi="Times New Roman"/>
                <w:sz w:val="18"/>
                <w:szCs w:val="18"/>
                <w:lang w:eastAsia="en-US"/>
              </w:rPr>
              <w:t>干燥</w:t>
            </w:r>
          </w:p>
        </w:tc>
      </w:tr>
      <w:tr>
        <w:tblPrEx>
          <w:tblCellMar>
            <w:top w:w="0" w:type="dxa"/>
            <w:left w:w="0" w:type="dxa"/>
            <w:bottom w:w="0" w:type="dxa"/>
            <w:right w:w="0" w:type="dxa"/>
          </w:tblCellMar>
        </w:tblPrEx>
        <w:trPr>
          <w:trHeight w:val="283" w:hRule="atLeast"/>
          <w:jc w:val="center"/>
        </w:trPr>
        <w:tc>
          <w:tcPr>
            <w:tcW w:w="803" w:type="pct"/>
            <w:tcBorders>
              <w:top w:val="single" w:color="000000" w:sz="4" w:space="0"/>
              <w:left w:val="single" w:color="000000" w:sz="4" w:space="0"/>
              <w:bottom w:val="single" w:color="000000" w:sz="4" w:space="0"/>
              <w:right w:val="single" w:color="000000" w:sz="4" w:space="0"/>
            </w:tcBorders>
            <w:vAlign w:val="center"/>
          </w:tcPr>
          <w:p>
            <w:pPr>
              <w:snapToGrid w:val="0"/>
              <w:ind w:left="463" w:right="461"/>
              <w:jc w:val="center"/>
              <w:rPr>
                <w:rFonts w:ascii="Times New Roman" w:hAnsi="Times New Roman" w:eastAsia="Calibri"/>
                <w:kern w:val="0"/>
                <w:sz w:val="18"/>
                <w:szCs w:val="18"/>
                <w:lang w:eastAsia="en-US"/>
              </w:rPr>
            </w:pPr>
            <w:r>
              <w:rPr>
                <w:rFonts w:ascii="Times New Roman" w:hAnsi="Times New Roman" w:eastAsia="Calibri"/>
                <w:kern w:val="0"/>
                <w:sz w:val="18"/>
                <w:szCs w:val="18"/>
                <w:lang w:eastAsia="en-US"/>
              </w:rPr>
              <w:t>23</w:t>
            </w:r>
          </w:p>
        </w:tc>
        <w:tc>
          <w:tcPr>
            <w:tcW w:w="2078" w:type="pct"/>
            <w:tcBorders>
              <w:top w:val="single" w:color="000000" w:sz="4" w:space="0"/>
              <w:left w:val="single" w:color="000000" w:sz="4" w:space="0"/>
              <w:bottom w:val="single" w:color="000000" w:sz="4" w:space="0"/>
              <w:right w:val="single" w:color="000000" w:sz="4" w:space="0"/>
            </w:tcBorders>
            <w:vAlign w:val="bottom"/>
          </w:tcPr>
          <w:p>
            <w:pPr>
              <w:snapToGrid w:val="0"/>
              <w:spacing w:before="65"/>
              <w:ind w:left="102"/>
              <w:jc w:val="center"/>
              <w:rPr>
                <w:rFonts w:ascii="Times New Roman" w:hAnsi="Times New Roman"/>
                <w:kern w:val="0"/>
                <w:sz w:val="18"/>
                <w:szCs w:val="18"/>
                <w:lang w:eastAsia="zh-CN"/>
              </w:rPr>
            </w:pPr>
            <w:r>
              <w:rPr>
                <w:rFonts w:ascii="Times New Roman" w:hAnsi="Times New Roman"/>
                <w:kern w:val="0"/>
                <w:sz w:val="18"/>
                <w:szCs w:val="18"/>
                <w:lang w:eastAsia="zh-CN"/>
              </w:rPr>
              <w:t>印刷和</w:t>
            </w:r>
            <w:r>
              <w:rPr>
                <w:rFonts w:ascii="Times New Roman" w:hAnsi="Times New Roman"/>
                <w:spacing w:val="-3"/>
                <w:kern w:val="0"/>
                <w:sz w:val="18"/>
                <w:szCs w:val="18"/>
                <w:lang w:eastAsia="zh-CN"/>
              </w:rPr>
              <w:t>记</w:t>
            </w:r>
            <w:r>
              <w:rPr>
                <w:rFonts w:ascii="Times New Roman" w:hAnsi="Times New Roman"/>
                <w:kern w:val="0"/>
                <w:sz w:val="18"/>
                <w:szCs w:val="18"/>
                <w:lang w:eastAsia="zh-CN"/>
              </w:rPr>
              <w:t>录媒</w:t>
            </w:r>
            <w:r>
              <w:rPr>
                <w:rFonts w:ascii="Times New Roman" w:hAnsi="Times New Roman"/>
                <w:spacing w:val="-3"/>
                <w:kern w:val="0"/>
                <w:sz w:val="18"/>
                <w:szCs w:val="18"/>
                <w:lang w:eastAsia="zh-CN"/>
              </w:rPr>
              <w:t>介</w:t>
            </w:r>
            <w:r>
              <w:rPr>
                <w:rFonts w:ascii="Times New Roman" w:hAnsi="Times New Roman"/>
                <w:kern w:val="0"/>
                <w:sz w:val="18"/>
                <w:szCs w:val="18"/>
                <w:lang w:eastAsia="zh-CN"/>
              </w:rPr>
              <w:t>复制业</w:t>
            </w:r>
          </w:p>
        </w:tc>
        <w:tc>
          <w:tcPr>
            <w:tcW w:w="2119" w:type="pct"/>
            <w:tcBorders>
              <w:top w:val="single" w:color="000000" w:sz="4" w:space="0"/>
              <w:left w:val="single" w:color="000000" w:sz="4" w:space="0"/>
              <w:bottom w:val="single" w:color="000000" w:sz="4" w:space="0"/>
              <w:right w:val="single" w:color="000000" w:sz="4" w:space="0"/>
            </w:tcBorders>
            <w:vAlign w:val="bottom"/>
          </w:tcPr>
          <w:p>
            <w:pPr>
              <w:snapToGrid w:val="0"/>
              <w:jc w:val="center"/>
              <w:rPr>
                <w:rFonts w:ascii="Times New Roman" w:hAnsi="Times New Roman"/>
                <w:kern w:val="0"/>
                <w:sz w:val="18"/>
                <w:szCs w:val="18"/>
                <w:lang w:eastAsia="zh-CN"/>
              </w:rPr>
            </w:pPr>
            <w:r>
              <w:rPr>
                <w:rFonts w:ascii="Times New Roman" w:hAnsi="Times New Roman"/>
                <w:sz w:val="18"/>
                <w:szCs w:val="18"/>
                <w:lang w:eastAsia="zh-CN"/>
              </w:rPr>
              <w:t>喷漆</w:t>
            </w:r>
            <w:r>
              <w:rPr>
                <w:rFonts w:ascii="Times New Roman" w:hAnsi="Times New Roman"/>
                <w:spacing w:val="-3"/>
                <w:sz w:val="18"/>
                <w:szCs w:val="18"/>
                <w:lang w:eastAsia="zh-CN"/>
              </w:rPr>
              <w:t>、</w:t>
            </w:r>
            <w:r>
              <w:rPr>
                <w:rFonts w:ascii="Times New Roman" w:hAnsi="Times New Roman"/>
                <w:sz w:val="18"/>
                <w:szCs w:val="18"/>
                <w:lang w:eastAsia="zh-CN"/>
              </w:rPr>
              <w:t>洗</w:t>
            </w:r>
            <w:r>
              <w:rPr>
                <w:rFonts w:ascii="Times New Roman" w:hAnsi="Times New Roman"/>
                <w:spacing w:val="-3"/>
                <w:sz w:val="18"/>
                <w:szCs w:val="18"/>
                <w:lang w:eastAsia="zh-CN"/>
              </w:rPr>
              <w:t>版</w:t>
            </w:r>
            <w:r>
              <w:rPr>
                <w:rFonts w:ascii="Times New Roman" w:hAnsi="Times New Roman"/>
                <w:sz w:val="18"/>
                <w:szCs w:val="18"/>
                <w:lang w:eastAsia="zh-CN"/>
              </w:rPr>
              <w:t>、</w:t>
            </w:r>
            <w:r>
              <w:rPr>
                <w:rFonts w:ascii="Times New Roman" w:hAnsi="Times New Roman"/>
                <w:spacing w:val="-3"/>
                <w:sz w:val="18"/>
                <w:szCs w:val="18"/>
                <w:lang w:eastAsia="zh-CN"/>
              </w:rPr>
              <w:t>烘</w:t>
            </w:r>
            <w:r>
              <w:rPr>
                <w:rFonts w:ascii="Times New Roman" w:hAnsi="Times New Roman"/>
                <w:sz w:val="18"/>
                <w:szCs w:val="18"/>
                <w:lang w:eastAsia="zh-CN"/>
              </w:rPr>
              <w:t>干</w:t>
            </w:r>
            <w:r>
              <w:rPr>
                <w:rFonts w:ascii="Times New Roman" w:hAnsi="Times New Roman"/>
                <w:spacing w:val="-3"/>
                <w:sz w:val="18"/>
                <w:szCs w:val="18"/>
                <w:lang w:eastAsia="zh-CN"/>
              </w:rPr>
              <w:t>、</w:t>
            </w:r>
            <w:r>
              <w:rPr>
                <w:rFonts w:ascii="Times New Roman" w:hAnsi="Times New Roman"/>
                <w:sz w:val="18"/>
                <w:szCs w:val="18"/>
                <w:lang w:eastAsia="zh-CN"/>
              </w:rPr>
              <w:t>油</w:t>
            </w:r>
            <w:r>
              <w:rPr>
                <w:rFonts w:ascii="Times New Roman" w:hAnsi="Times New Roman"/>
                <w:spacing w:val="-3"/>
                <w:sz w:val="18"/>
                <w:szCs w:val="18"/>
                <w:lang w:eastAsia="zh-CN"/>
              </w:rPr>
              <w:t>墨</w:t>
            </w:r>
            <w:r>
              <w:rPr>
                <w:rFonts w:ascii="Times New Roman" w:hAnsi="Times New Roman"/>
                <w:sz w:val="18"/>
                <w:szCs w:val="18"/>
                <w:lang w:eastAsia="zh-CN"/>
              </w:rPr>
              <w:t>稀释</w:t>
            </w:r>
          </w:p>
        </w:tc>
      </w:tr>
      <w:tr>
        <w:tblPrEx>
          <w:tblCellMar>
            <w:top w:w="0" w:type="dxa"/>
            <w:left w:w="0" w:type="dxa"/>
            <w:bottom w:w="0" w:type="dxa"/>
            <w:right w:w="0" w:type="dxa"/>
          </w:tblCellMar>
        </w:tblPrEx>
        <w:trPr>
          <w:trHeight w:val="283" w:hRule="atLeast"/>
          <w:jc w:val="center"/>
        </w:trPr>
        <w:tc>
          <w:tcPr>
            <w:tcW w:w="803" w:type="pct"/>
            <w:tcBorders>
              <w:top w:val="single" w:color="000000" w:sz="4" w:space="0"/>
              <w:left w:val="single" w:color="000000" w:sz="4" w:space="0"/>
              <w:bottom w:val="single" w:color="000000" w:sz="4" w:space="0"/>
              <w:right w:val="single" w:color="000000" w:sz="4" w:space="0"/>
            </w:tcBorders>
            <w:vAlign w:val="center"/>
          </w:tcPr>
          <w:p>
            <w:pPr>
              <w:snapToGrid w:val="0"/>
              <w:ind w:left="463" w:right="461"/>
              <w:jc w:val="center"/>
              <w:rPr>
                <w:rFonts w:ascii="Times New Roman" w:hAnsi="Times New Roman" w:eastAsia="Calibri"/>
                <w:kern w:val="0"/>
                <w:sz w:val="18"/>
                <w:szCs w:val="18"/>
                <w:lang w:eastAsia="en-US"/>
              </w:rPr>
            </w:pPr>
            <w:r>
              <w:rPr>
                <w:rFonts w:ascii="Times New Roman" w:hAnsi="Times New Roman" w:eastAsia="Calibri"/>
                <w:kern w:val="0"/>
                <w:sz w:val="18"/>
                <w:szCs w:val="18"/>
                <w:lang w:eastAsia="en-US"/>
              </w:rPr>
              <w:t>24</w:t>
            </w:r>
          </w:p>
        </w:tc>
        <w:tc>
          <w:tcPr>
            <w:tcW w:w="2078" w:type="pct"/>
            <w:tcBorders>
              <w:top w:val="single" w:color="000000" w:sz="4" w:space="0"/>
              <w:left w:val="single" w:color="000000" w:sz="4" w:space="0"/>
              <w:bottom w:val="single" w:color="000000" w:sz="4" w:space="0"/>
              <w:right w:val="single" w:color="000000" w:sz="4" w:space="0"/>
            </w:tcBorders>
            <w:vAlign w:val="bottom"/>
          </w:tcPr>
          <w:p>
            <w:pPr>
              <w:snapToGrid w:val="0"/>
              <w:ind w:left="102"/>
              <w:jc w:val="center"/>
              <w:rPr>
                <w:rFonts w:ascii="Times New Roman" w:hAnsi="Times New Roman"/>
                <w:kern w:val="0"/>
                <w:sz w:val="18"/>
                <w:szCs w:val="18"/>
                <w:lang w:eastAsia="zh-CN"/>
              </w:rPr>
            </w:pPr>
            <w:r>
              <w:rPr>
                <w:rFonts w:ascii="Times New Roman" w:hAnsi="Times New Roman"/>
                <w:kern w:val="0"/>
                <w:sz w:val="18"/>
                <w:szCs w:val="18"/>
                <w:lang w:eastAsia="zh-CN"/>
              </w:rPr>
              <w:t>文教、</w:t>
            </w:r>
            <w:r>
              <w:rPr>
                <w:rFonts w:ascii="Times New Roman" w:hAnsi="Times New Roman"/>
                <w:spacing w:val="-3"/>
                <w:kern w:val="0"/>
                <w:sz w:val="18"/>
                <w:szCs w:val="18"/>
                <w:lang w:eastAsia="zh-CN"/>
              </w:rPr>
              <w:t>工</w:t>
            </w:r>
            <w:r>
              <w:rPr>
                <w:rFonts w:ascii="Times New Roman" w:hAnsi="Times New Roman"/>
                <w:kern w:val="0"/>
                <w:sz w:val="18"/>
                <w:szCs w:val="18"/>
                <w:lang w:eastAsia="zh-CN"/>
              </w:rPr>
              <w:t>美、</w:t>
            </w:r>
            <w:r>
              <w:rPr>
                <w:rFonts w:ascii="Times New Roman" w:hAnsi="Times New Roman"/>
                <w:spacing w:val="-3"/>
                <w:kern w:val="0"/>
                <w:sz w:val="18"/>
                <w:szCs w:val="18"/>
                <w:lang w:eastAsia="zh-CN"/>
              </w:rPr>
              <w:t>体</w:t>
            </w:r>
            <w:r>
              <w:rPr>
                <w:rFonts w:ascii="Times New Roman" w:hAnsi="Times New Roman"/>
                <w:kern w:val="0"/>
                <w:sz w:val="18"/>
                <w:szCs w:val="18"/>
                <w:lang w:eastAsia="zh-CN"/>
              </w:rPr>
              <w:t>育和</w:t>
            </w:r>
            <w:r>
              <w:rPr>
                <w:rFonts w:ascii="Times New Roman" w:hAnsi="Times New Roman"/>
                <w:spacing w:val="-3"/>
                <w:kern w:val="0"/>
                <w:sz w:val="18"/>
                <w:szCs w:val="18"/>
                <w:lang w:eastAsia="zh-CN"/>
              </w:rPr>
              <w:t>娱乐</w:t>
            </w:r>
            <w:r>
              <w:rPr>
                <w:rFonts w:ascii="Times New Roman" w:hAnsi="Times New Roman"/>
                <w:kern w:val="0"/>
                <w:sz w:val="18"/>
                <w:szCs w:val="18"/>
                <w:lang w:eastAsia="zh-CN"/>
              </w:rPr>
              <w:t>用品制造业</w:t>
            </w:r>
          </w:p>
        </w:tc>
        <w:tc>
          <w:tcPr>
            <w:tcW w:w="2119" w:type="pct"/>
            <w:tcBorders>
              <w:top w:val="single" w:color="000000" w:sz="4" w:space="0"/>
              <w:left w:val="single" w:color="000000" w:sz="4" w:space="0"/>
              <w:bottom w:val="single" w:color="000000" w:sz="4" w:space="0"/>
              <w:right w:val="single" w:color="000000" w:sz="4" w:space="0"/>
            </w:tcBorders>
            <w:vAlign w:val="bottom"/>
          </w:tcPr>
          <w:p>
            <w:pPr>
              <w:snapToGrid w:val="0"/>
              <w:jc w:val="center"/>
              <w:rPr>
                <w:rFonts w:ascii="Times New Roman" w:hAnsi="Times New Roman"/>
                <w:kern w:val="0"/>
                <w:sz w:val="18"/>
                <w:szCs w:val="18"/>
                <w:lang w:eastAsia="zh-CN"/>
              </w:rPr>
            </w:pPr>
            <w:r>
              <w:rPr>
                <w:rFonts w:ascii="Times New Roman" w:hAnsi="Times New Roman"/>
                <w:sz w:val="18"/>
                <w:szCs w:val="18"/>
                <w:lang w:eastAsia="en-US"/>
              </w:rPr>
              <w:t>墨水</w:t>
            </w:r>
            <w:r>
              <w:rPr>
                <w:rFonts w:ascii="Times New Roman" w:hAnsi="Times New Roman"/>
                <w:spacing w:val="-3"/>
                <w:sz w:val="18"/>
                <w:szCs w:val="18"/>
                <w:lang w:eastAsia="en-US"/>
              </w:rPr>
              <w:t>使</w:t>
            </w:r>
            <w:r>
              <w:rPr>
                <w:rFonts w:ascii="Times New Roman" w:hAnsi="Times New Roman"/>
                <w:sz w:val="18"/>
                <w:szCs w:val="18"/>
                <w:lang w:eastAsia="en-US"/>
              </w:rPr>
              <w:t>用</w:t>
            </w:r>
          </w:p>
        </w:tc>
      </w:tr>
      <w:tr>
        <w:tblPrEx>
          <w:tblCellMar>
            <w:top w:w="0" w:type="dxa"/>
            <w:left w:w="0" w:type="dxa"/>
            <w:bottom w:w="0" w:type="dxa"/>
            <w:right w:w="0" w:type="dxa"/>
          </w:tblCellMar>
        </w:tblPrEx>
        <w:trPr>
          <w:trHeight w:val="283" w:hRule="atLeast"/>
          <w:jc w:val="center"/>
        </w:trPr>
        <w:tc>
          <w:tcPr>
            <w:tcW w:w="803" w:type="pct"/>
            <w:tcBorders>
              <w:top w:val="single" w:color="000000" w:sz="4" w:space="0"/>
              <w:left w:val="single" w:color="000000" w:sz="4" w:space="0"/>
              <w:bottom w:val="single" w:color="000000" w:sz="4" w:space="0"/>
              <w:right w:val="single" w:color="000000" w:sz="4" w:space="0"/>
            </w:tcBorders>
            <w:vAlign w:val="center"/>
          </w:tcPr>
          <w:p>
            <w:pPr>
              <w:snapToGrid w:val="0"/>
              <w:ind w:left="463" w:right="465"/>
              <w:jc w:val="center"/>
              <w:rPr>
                <w:rFonts w:ascii="Times New Roman" w:hAnsi="Times New Roman" w:eastAsia="Calibri"/>
                <w:kern w:val="0"/>
                <w:sz w:val="18"/>
                <w:szCs w:val="18"/>
                <w:lang w:eastAsia="en-US"/>
              </w:rPr>
            </w:pPr>
            <w:r>
              <w:rPr>
                <w:rFonts w:ascii="Times New Roman" w:hAnsi="Times New Roman" w:eastAsia="Calibri"/>
                <w:spacing w:val="-2"/>
                <w:kern w:val="0"/>
                <w:sz w:val="18"/>
                <w:szCs w:val="18"/>
                <w:lang w:eastAsia="en-US"/>
              </w:rPr>
              <w:t>25</w:t>
            </w:r>
          </w:p>
        </w:tc>
        <w:tc>
          <w:tcPr>
            <w:tcW w:w="2078" w:type="pct"/>
            <w:tcBorders>
              <w:top w:val="single" w:color="000000" w:sz="4" w:space="0"/>
              <w:left w:val="single" w:color="000000" w:sz="4" w:space="0"/>
              <w:bottom w:val="single" w:color="000000" w:sz="4" w:space="0"/>
              <w:right w:val="single" w:color="000000" w:sz="4" w:space="0"/>
            </w:tcBorders>
            <w:vAlign w:val="center"/>
          </w:tcPr>
          <w:p>
            <w:pPr>
              <w:snapToGrid w:val="0"/>
              <w:ind w:left="102"/>
              <w:jc w:val="center"/>
              <w:rPr>
                <w:rFonts w:ascii="Times New Roman" w:hAnsi="Times New Roman"/>
                <w:kern w:val="0"/>
                <w:sz w:val="18"/>
                <w:szCs w:val="18"/>
                <w:lang w:eastAsia="zh-CN"/>
              </w:rPr>
            </w:pPr>
            <w:r>
              <w:rPr>
                <w:rFonts w:ascii="Times New Roman" w:hAnsi="Times New Roman"/>
                <w:kern w:val="0"/>
                <w:sz w:val="18"/>
                <w:szCs w:val="18"/>
                <w:lang w:eastAsia="zh-CN"/>
              </w:rPr>
              <w:t>石油加</w:t>
            </w:r>
            <w:r>
              <w:rPr>
                <w:rFonts w:ascii="Times New Roman" w:hAnsi="Times New Roman"/>
                <w:spacing w:val="-3"/>
                <w:kern w:val="0"/>
                <w:sz w:val="18"/>
                <w:szCs w:val="18"/>
                <w:lang w:eastAsia="zh-CN"/>
              </w:rPr>
              <w:t>工</w:t>
            </w:r>
            <w:r>
              <w:rPr>
                <w:rFonts w:ascii="Times New Roman" w:hAnsi="Times New Roman"/>
                <w:kern w:val="0"/>
                <w:sz w:val="18"/>
                <w:szCs w:val="18"/>
                <w:lang w:eastAsia="zh-CN"/>
              </w:rPr>
              <w:t>、炼</w:t>
            </w:r>
            <w:r>
              <w:rPr>
                <w:rFonts w:ascii="Times New Roman" w:hAnsi="Times New Roman"/>
                <w:spacing w:val="-3"/>
                <w:kern w:val="0"/>
                <w:sz w:val="18"/>
                <w:szCs w:val="18"/>
                <w:lang w:eastAsia="zh-CN"/>
              </w:rPr>
              <w:t>焦</w:t>
            </w:r>
            <w:r>
              <w:rPr>
                <w:rFonts w:ascii="Times New Roman" w:hAnsi="Times New Roman"/>
                <w:kern w:val="0"/>
                <w:sz w:val="18"/>
                <w:szCs w:val="18"/>
                <w:lang w:eastAsia="zh-CN"/>
              </w:rPr>
              <w:t>和核</w:t>
            </w:r>
            <w:r>
              <w:rPr>
                <w:rFonts w:ascii="Times New Roman" w:hAnsi="Times New Roman"/>
                <w:spacing w:val="-3"/>
                <w:kern w:val="0"/>
                <w:sz w:val="18"/>
                <w:szCs w:val="18"/>
                <w:lang w:eastAsia="zh-CN"/>
              </w:rPr>
              <w:t>燃料</w:t>
            </w:r>
            <w:r>
              <w:rPr>
                <w:rFonts w:ascii="Times New Roman" w:hAnsi="Times New Roman"/>
                <w:kern w:val="0"/>
                <w:sz w:val="18"/>
                <w:szCs w:val="18"/>
                <w:lang w:eastAsia="zh-CN"/>
              </w:rPr>
              <w:t>加工业</w:t>
            </w:r>
          </w:p>
        </w:tc>
        <w:tc>
          <w:tcPr>
            <w:tcW w:w="2119" w:type="pct"/>
            <w:tcBorders>
              <w:top w:val="single" w:color="000000" w:sz="4" w:space="0"/>
              <w:left w:val="single" w:color="000000" w:sz="4" w:space="0"/>
              <w:bottom w:val="single" w:color="000000" w:sz="4" w:space="0"/>
              <w:right w:val="single" w:color="000000" w:sz="4" w:space="0"/>
            </w:tcBorders>
            <w:vAlign w:val="bottom"/>
          </w:tcPr>
          <w:p>
            <w:pPr>
              <w:snapToGrid w:val="0"/>
              <w:jc w:val="center"/>
              <w:rPr>
                <w:rFonts w:ascii="Times New Roman" w:hAnsi="Times New Roman"/>
                <w:kern w:val="0"/>
                <w:sz w:val="18"/>
                <w:szCs w:val="18"/>
                <w:lang w:eastAsia="zh-CN"/>
              </w:rPr>
            </w:pPr>
            <w:r>
              <w:rPr>
                <w:rFonts w:ascii="Times New Roman" w:hAnsi="Times New Roman"/>
                <w:sz w:val="18"/>
                <w:szCs w:val="18"/>
                <w:lang w:eastAsia="zh-CN"/>
              </w:rPr>
              <w:t>石油</w:t>
            </w:r>
            <w:r>
              <w:rPr>
                <w:rFonts w:ascii="Times New Roman" w:hAnsi="Times New Roman"/>
                <w:spacing w:val="-3"/>
                <w:sz w:val="18"/>
                <w:szCs w:val="18"/>
                <w:lang w:eastAsia="zh-CN"/>
              </w:rPr>
              <w:t>炼</w:t>
            </w:r>
            <w:r>
              <w:rPr>
                <w:rFonts w:ascii="Times New Roman" w:hAnsi="Times New Roman"/>
                <w:sz w:val="18"/>
                <w:szCs w:val="18"/>
                <w:lang w:eastAsia="zh-CN"/>
              </w:rPr>
              <w:t>制</w:t>
            </w:r>
            <w:r>
              <w:rPr>
                <w:rFonts w:ascii="Times New Roman" w:hAnsi="Times New Roman"/>
                <w:spacing w:val="-3"/>
                <w:sz w:val="18"/>
                <w:szCs w:val="18"/>
                <w:lang w:eastAsia="zh-CN"/>
              </w:rPr>
              <w:t>、</w:t>
            </w:r>
            <w:r>
              <w:rPr>
                <w:rFonts w:ascii="Times New Roman" w:hAnsi="Times New Roman"/>
                <w:sz w:val="18"/>
                <w:szCs w:val="18"/>
                <w:lang w:eastAsia="zh-CN"/>
              </w:rPr>
              <w:t>炼</w:t>
            </w:r>
            <w:r>
              <w:rPr>
                <w:rFonts w:ascii="Times New Roman" w:hAnsi="Times New Roman"/>
                <w:spacing w:val="-3"/>
                <w:sz w:val="18"/>
                <w:szCs w:val="18"/>
                <w:lang w:eastAsia="zh-CN"/>
              </w:rPr>
              <w:t>焦</w:t>
            </w:r>
            <w:r>
              <w:rPr>
                <w:rFonts w:ascii="Times New Roman" w:hAnsi="Times New Roman"/>
                <w:sz w:val="18"/>
                <w:szCs w:val="18"/>
                <w:lang w:eastAsia="zh-CN"/>
              </w:rPr>
              <w:t>、</w:t>
            </w:r>
            <w:r>
              <w:rPr>
                <w:rFonts w:ascii="Times New Roman" w:hAnsi="Times New Roman"/>
                <w:spacing w:val="-3"/>
                <w:sz w:val="18"/>
                <w:szCs w:val="18"/>
                <w:lang w:eastAsia="zh-CN"/>
              </w:rPr>
              <w:t>原</w:t>
            </w:r>
            <w:r>
              <w:rPr>
                <w:rFonts w:ascii="Times New Roman" w:hAnsi="Times New Roman"/>
                <w:sz w:val="18"/>
                <w:szCs w:val="18"/>
                <w:lang w:eastAsia="zh-CN"/>
              </w:rPr>
              <w:t>料</w:t>
            </w:r>
            <w:r>
              <w:rPr>
                <w:rFonts w:ascii="Times New Roman" w:hAnsi="Times New Roman"/>
                <w:spacing w:val="-3"/>
                <w:sz w:val="18"/>
                <w:szCs w:val="18"/>
                <w:lang w:eastAsia="zh-CN"/>
              </w:rPr>
              <w:t>和</w:t>
            </w:r>
            <w:r>
              <w:rPr>
                <w:rFonts w:ascii="Times New Roman" w:hAnsi="Times New Roman"/>
                <w:sz w:val="18"/>
                <w:szCs w:val="18"/>
                <w:lang w:eastAsia="zh-CN"/>
              </w:rPr>
              <w:t>产品的存</w:t>
            </w:r>
            <w:r>
              <w:rPr>
                <w:rFonts w:ascii="Times New Roman" w:hAnsi="Times New Roman"/>
                <w:spacing w:val="-3"/>
                <w:sz w:val="18"/>
                <w:szCs w:val="18"/>
                <w:lang w:eastAsia="zh-CN"/>
              </w:rPr>
              <w:t>储</w:t>
            </w:r>
            <w:r>
              <w:rPr>
                <w:rFonts w:ascii="Times New Roman" w:hAnsi="Times New Roman"/>
                <w:sz w:val="18"/>
                <w:szCs w:val="18"/>
                <w:lang w:eastAsia="zh-CN"/>
              </w:rPr>
              <w:t>输</w:t>
            </w:r>
            <w:r>
              <w:rPr>
                <w:rFonts w:ascii="Times New Roman" w:hAnsi="Times New Roman"/>
                <w:spacing w:val="-3"/>
                <w:sz w:val="18"/>
                <w:szCs w:val="18"/>
                <w:lang w:eastAsia="zh-CN"/>
              </w:rPr>
              <w:t>送</w:t>
            </w:r>
            <w:r>
              <w:rPr>
                <w:rFonts w:ascii="Times New Roman" w:hAnsi="Times New Roman"/>
                <w:sz w:val="18"/>
                <w:szCs w:val="18"/>
                <w:lang w:eastAsia="zh-CN"/>
              </w:rPr>
              <w:t>过</w:t>
            </w:r>
            <w:r>
              <w:rPr>
                <w:rFonts w:ascii="Times New Roman" w:hAnsi="Times New Roman"/>
                <w:spacing w:val="-3"/>
                <w:sz w:val="18"/>
                <w:szCs w:val="18"/>
                <w:lang w:eastAsia="zh-CN"/>
              </w:rPr>
              <w:t>程</w:t>
            </w:r>
            <w:r>
              <w:rPr>
                <w:rFonts w:ascii="Times New Roman" w:hAnsi="Times New Roman"/>
                <w:sz w:val="18"/>
                <w:szCs w:val="18"/>
                <w:lang w:eastAsia="zh-CN"/>
              </w:rPr>
              <w:t>泄</w:t>
            </w:r>
            <w:r>
              <w:rPr>
                <w:rFonts w:ascii="Times New Roman" w:hAnsi="Times New Roman"/>
                <w:spacing w:val="-3"/>
                <w:sz w:val="18"/>
                <w:szCs w:val="18"/>
                <w:lang w:eastAsia="zh-CN"/>
              </w:rPr>
              <w:t>漏</w:t>
            </w:r>
            <w:r>
              <w:rPr>
                <w:rFonts w:ascii="Times New Roman" w:hAnsi="Times New Roman"/>
                <w:sz w:val="18"/>
                <w:szCs w:val="18"/>
                <w:lang w:eastAsia="zh-CN"/>
              </w:rPr>
              <w:t>、</w:t>
            </w:r>
            <w:r>
              <w:rPr>
                <w:rFonts w:ascii="Times New Roman" w:hAnsi="Times New Roman"/>
                <w:spacing w:val="-3"/>
                <w:sz w:val="18"/>
                <w:szCs w:val="18"/>
                <w:lang w:eastAsia="zh-CN"/>
              </w:rPr>
              <w:t>污</w:t>
            </w:r>
            <w:r>
              <w:rPr>
                <w:rFonts w:ascii="Times New Roman" w:hAnsi="Times New Roman"/>
                <w:sz w:val="18"/>
                <w:szCs w:val="18"/>
                <w:lang w:eastAsia="zh-CN"/>
              </w:rPr>
              <w:t>水处理过程挥发、罐体检修或发生事故</w:t>
            </w:r>
          </w:p>
        </w:tc>
      </w:tr>
      <w:tr>
        <w:tblPrEx>
          <w:tblCellMar>
            <w:top w:w="0" w:type="dxa"/>
            <w:left w:w="0" w:type="dxa"/>
            <w:bottom w:w="0" w:type="dxa"/>
            <w:right w:w="0" w:type="dxa"/>
          </w:tblCellMar>
        </w:tblPrEx>
        <w:trPr>
          <w:trHeight w:val="283" w:hRule="atLeast"/>
          <w:jc w:val="center"/>
        </w:trPr>
        <w:tc>
          <w:tcPr>
            <w:tcW w:w="803" w:type="pct"/>
            <w:tcBorders>
              <w:top w:val="single" w:color="000000" w:sz="4" w:space="0"/>
              <w:left w:val="single" w:color="000000" w:sz="4" w:space="0"/>
              <w:bottom w:val="single" w:color="000000" w:sz="4" w:space="0"/>
              <w:right w:val="single" w:color="000000" w:sz="4" w:space="0"/>
            </w:tcBorders>
            <w:vAlign w:val="center"/>
          </w:tcPr>
          <w:p>
            <w:pPr>
              <w:snapToGrid w:val="0"/>
              <w:ind w:left="463" w:right="465"/>
              <w:jc w:val="center"/>
              <w:rPr>
                <w:rFonts w:ascii="Times New Roman" w:hAnsi="Times New Roman" w:eastAsia="Calibri"/>
                <w:kern w:val="0"/>
                <w:sz w:val="18"/>
                <w:szCs w:val="18"/>
                <w:lang w:eastAsia="en-US"/>
              </w:rPr>
            </w:pPr>
            <w:r>
              <w:rPr>
                <w:rFonts w:ascii="Times New Roman" w:hAnsi="Times New Roman" w:eastAsia="Calibri"/>
                <w:spacing w:val="-2"/>
                <w:kern w:val="0"/>
                <w:sz w:val="18"/>
                <w:szCs w:val="18"/>
                <w:lang w:eastAsia="en-US"/>
              </w:rPr>
              <w:t>26</w:t>
            </w:r>
          </w:p>
        </w:tc>
        <w:tc>
          <w:tcPr>
            <w:tcW w:w="2078" w:type="pct"/>
            <w:tcBorders>
              <w:top w:val="single" w:color="000000" w:sz="4" w:space="0"/>
              <w:left w:val="single" w:color="000000" w:sz="4" w:space="0"/>
              <w:bottom w:val="single" w:color="000000" w:sz="4" w:space="0"/>
              <w:right w:val="single" w:color="000000" w:sz="4" w:space="0"/>
            </w:tcBorders>
            <w:vAlign w:val="center"/>
          </w:tcPr>
          <w:p>
            <w:pPr>
              <w:snapToGrid w:val="0"/>
              <w:ind w:left="102"/>
              <w:jc w:val="center"/>
              <w:rPr>
                <w:rFonts w:ascii="Times New Roman" w:hAnsi="Times New Roman"/>
                <w:kern w:val="0"/>
                <w:sz w:val="18"/>
                <w:szCs w:val="18"/>
                <w:lang w:eastAsia="zh-CN"/>
              </w:rPr>
            </w:pPr>
            <w:r>
              <w:rPr>
                <w:rFonts w:ascii="Times New Roman" w:hAnsi="Times New Roman"/>
                <w:kern w:val="0"/>
                <w:sz w:val="18"/>
                <w:szCs w:val="18"/>
                <w:lang w:eastAsia="zh-CN"/>
              </w:rPr>
              <w:t>化学原</w:t>
            </w:r>
            <w:r>
              <w:rPr>
                <w:rFonts w:ascii="Times New Roman" w:hAnsi="Times New Roman"/>
                <w:spacing w:val="-3"/>
                <w:kern w:val="0"/>
                <w:sz w:val="18"/>
                <w:szCs w:val="18"/>
                <w:lang w:eastAsia="zh-CN"/>
              </w:rPr>
              <w:t>料</w:t>
            </w:r>
            <w:r>
              <w:rPr>
                <w:rFonts w:ascii="Times New Roman" w:hAnsi="Times New Roman"/>
                <w:kern w:val="0"/>
                <w:sz w:val="18"/>
                <w:szCs w:val="18"/>
                <w:lang w:eastAsia="zh-CN"/>
              </w:rPr>
              <w:t>和化</w:t>
            </w:r>
            <w:r>
              <w:rPr>
                <w:rFonts w:ascii="Times New Roman" w:hAnsi="Times New Roman"/>
                <w:spacing w:val="-3"/>
                <w:kern w:val="0"/>
                <w:sz w:val="18"/>
                <w:szCs w:val="18"/>
                <w:lang w:eastAsia="zh-CN"/>
              </w:rPr>
              <w:t>学</w:t>
            </w:r>
            <w:r>
              <w:rPr>
                <w:rFonts w:ascii="Times New Roman" w:hAnsi="Times New Roman"/>
                <w:kern w:val="0"/>
                <w:sz w:val="18"/>
                <w:szCs w:val="18"/>
                <w:lang w:eastAsia="zh-CN"/>
              </w:rPr>
              <w:t>制品</w:t>
            </w:r>
            <w:r>
              <w:rPr>
                <w:rFonts w:ascii="Times New Roman" w:hAnsi="Times New Roman"/>
                <w:spacing w:val="-3"/>
                <w:kern w:val="0"/>
                <w:sz w:val="18"/>
                <w:szCs w:val="18"/>
                <w:lang w:eastAsia="zh-CN"/>
              </w:rPr>
              <w:t>制造</w:t>
            </w:r>
            <w:r>
              <w:rPr>
                <w:rFonts w:ascii="Times New Roman" w:hAnsi="Times New Roman"/>
                <w:kern w:val="0"/>
                <w:sz w:val="18"/>
                <w:szCs w:val="18"/>
                <w:lang w:eastAsia="zh-CN"/>
              </w:rPr>
              <w:t>业</w:t>
            </w:r>
          </w:p>
        </w:tc>
        <w:tc>
          <w:tcPr>
            <w:tcW w:w="2119" w:type="pct"/>
            <w:tcBorders>
              <w:top w:val="single" w:color="000000" w:sz="4" w:space="0"/>
              <w:left w:val="single" w:color="000000" w:sz="4" w:space="0"/>
              <w:bottom w:val="single" w:color="000000" w:sz="4" w:space="0"/>
              <w:right w:val="single" w:color="000000" w:sz="4" w:space="0"/>
            </w:tcBorders>
            <w:vAlign w:val="bottom"/>
          </w:tcPr>
          <w:p>
            <w:pPr>
              <w:pStyle w:val="122"/>
              <w:jc w:val="center"/>
              <w:rPr>
                <w:sz w:val="18"/>
                <w:szCs w:val="18"/>
                <w:lang w:eastAsia="zh-CN"/>
              </w:rPr>
            </w:pPr>
            <w:r>
              <w:rPr>
                <w:rFonts w:eastAsia="宋体"/>
                <w:sz w:val="18"/>
                <w:szCs w:val="18"/>
                <w:lang w:eastAsia="zh-CN"/>
              </w:rPr>
              <w:t>涂料</w:t>
            </w:r>
            <w:r>
              <w:rPr>
                <w:rFonts w:eastAsia="宋体"/>
                <w:spacing w:val="-3"/>
                <w:sz w:val="18"/>
                <w:szCs w:val="18"/>
                <w:lang w:eastAsia="zh-CN"/>
              </w:rPr>
              <w:t>、</w:t>
            </w:r>
            <w:r>
              <w:rPr>
                <w:rFonts w:eastAsia="宋体"/>
                <w:sz w:val="18"/>
                <w:szCs w:val="18"/>
                <w:lang w:eastAsia="zh-CN"/>
              </w:rPr>
              <w:t>油</w:t>
            </w:r>
            <w:r>
              <w:rPr>
                <w:rFonts w:eastAsia="宋体"/>
                <w:spacing w:val="-3"/>
                <w:sz w:val="18"/>
                <w:szCs w:val="18"/>
                <w:lang w:eastAsia="zh-CN"/>
              </w:rPr>
              <w:t>墨</w:t>
            </w:r>
            <w:r>
              <w:rPr>
                <w:rFonts w:eastAsia="宋体"/>
                <w:sz w:val="18"/>
                <w:szCs w:val="18"/>
                <w:lang w:eastAsia="zh-CN"/>
              </w:rPr>
              <w:t>、</w:t>
            </w:r>
            <w:r>
              <w:rPr>
                <w:rFonts w:eastAsia="宋体"/>
                <w:spacing w:val="-3"/>
                <w:sz w:val="18"/>
                <w:szCs w:val="18"/>
                <w:lang w:eastAsia="zh-CN"/>
              </w:rPr>
              <w:t>农</w:t>
            </w:r>
            <w:r>
              <w:rPr>
                <w:rFonts w:eastAsia="宋体"/>
                <w:sz w:val="18"/>
                <w:szCs w:val="18"/>
                <w:lang w:eastAsia="zh-CN"/>
              </w:rPr>
              <w:t>药</w:t>
            </w:r>
            <w:r>
              <w:rPr>
                <w:rFonts w:eastAsia="宋体"/>
                <w:spacing w:val="-3"/>
                <w:sz w:val="18"/>
                <w:szCs w:val="18"/>
                <w:lang w:eastAsia="zh-CN"/>
              </w:rPr>
              <w:t>、</w:t>
            </w:r>
            <w:r>
              <w:rPr>
                <w:rFonts w:eastAsia="宋体"/>
                <w:sz w:val="18"/>
                <w:szCs w:val="18"/>
                <w:lang w:eastAsia="zh-CN"/>
              </w:rPr>
              <w:t>合</w:t>
            </w:r>
            <w:r>
              <w:rPr>
                <w:rFonts w:eastAsia="宋体"/>
                <w:spacing w:val="-3"/>
                <w:sz w:val="18"/>
                <w:szCs w:val="18"/>
                <w:lang w:eastAsia="zh-CN"/>
              </w:rPr>
              <w:t>成</w:t>
            </w:r>
            <w:r>
              <w:rPr>
                <w:rFonts w:eastAsia="宋体"/>
                <w:sz w:val="18"/>
                <w:szCs w:val="18"/>
                <w:lang w:eastAsia="zh-CN"/>
              </w:rPr>
              <w:t>材料、</w:t>
            </w:r>
            <w:r>
              <w:rPr>
                <w:rFonts w:eastAsia="宋体"/>
                <w:spacing w:val="-3"/>
                <w:sz w:val="18"/>
                <w:szCs w:val="18"/>
                <w:lang w:eastAsia="zh-CN"/>
              </w:rPr>
              <w:t>染</w:t>
            </w:r>
            <w:r>
              <w:rPr>
                <w:rFonts w:eastAsia="宋体"/>
                <w:sz w:val="18"/>
                <w:szCs w:val="18"/>
                <w:lang w:eastAsia="zh-CN"/>
              </w:rPr>
              <w:t>料</w:t>
            </w:r>
            <w:r>
              <w:rPr>
                <w:rFonts w:eastAsia="宋体"/>
                <w:spacing w:val="-3"/>
                <w:sz w:val="18"/>
                <w:szCs w:val="18"/>
                <w:lang w:eastAsia="zh-CN"/>
              </w:rPr>
              <w:t>等</w:t>
            </w:r>
            <w:r>
              <w:rPr>
                <w:rFonts w:eastAsia="宋体"/>
                <w:sz w:val="18"/>
                <w:szCs w:val="18"/>
                <w:lang w:eastAsia="zh-CN"/>
              </w:rPr>
              <w:t>的</w:t>
            </w:r>
            <w:r>
              <w:rPr>
                <w:rFonts w:eastAsia="宋体"/>
                <w:spacing w:val="-3"/>
                <w:sz w:val="18"/>
                <w:szCs w:val="18"/>
                <w:lang w:eastAsia="zh-CN"/>
              </w:rPr>
              <w:t>制</w:t>
            </w:r>
            <w:r>
              <w:rPr>
                <w:rFonts w:eastAsia="宋体"/>
                <w:sz w:val="18"/>
                <w:szCs w:val="18"/>
                <w:lang w:eastAsia="zh-CN"/>
              </w:rPr>
              <w:t>造</w:t>
            </w:r>
            <w:r>
              <w:rPr>
                <w:rFonts w:eastAsia="宋体"/>
                <w:spacing w:val="-3"/>
                <w:sz w:val="18"/>
                <w:szCs w:val="18"/>
                <w:lang w:eastAsia="zh-CN"/>
              </w:rPr>
              <w:t>、</w:t>
            </w:r>
            <w:r>
              <w:rPr>
                <w:rFonts w:eastAsia="宋体"/>
                <w:sz w:val="18"/>
                <w:szCs w:val="18"/>
                <w:lang w:eastAsia="zh-CN"/>
              </w:rPr>
              <w:t>储</w:t>
            </w:r>
            <w:r>
              <w:rPr>
                <w:rFonts w:eastAsia="宋体"/>
                <w:spacing w:val="-3"/>
                <w:sz w:val="18"/>
                <w:szCs w:val="18"/>
                <w:lang w:eastAsia="zh-CN"/>
              </w:rPr>
              <w:t>罐</w:t>
            </w:r>
            <w:r>
              <w:rPr>
                <w:rFonts w:eastAsia="宋体"/>
                <w:sz w:val="18"/>
                <w:szCs w:val="18"/>
                <w:lang w:eastAsia="zh-CN"/>
              </w:rPr>
              <w:t>呼吸</w:t>
            </w:r>
            <w:r>
              <w:rPr>
                <w:sz w:val="18"/>
                <w:szCs w:val="18"/>
                <w:lang w:eastAsia="zh-CN"/>
              </w:rPr>
              <w:t>气、</w:t>
            </w:r>
            <w:r>
              <w:rPr>
                <w:spacing w:val="-3"/>
                <w:sz w:val="18"/>
                <w:szCs w:val="18"/>
                <w:lang w:eastAsia="zh-CN"/>
              </w:rPr>
              <w:t>管</w:t>
            </w:r>
            <w:r>
              <w:rPr>
                <w:sz w:val="18"/>
                <w:szCs w:val="18"/>
                <w:lang w:eastAsia="zh-CN"/>
              </w:rPr>
              <w:t>线</w:t>
            </w:r>
            <w:r>
              <w:rPr>
                <w:spacing w:val="-3"/>
                <w:sz w:val="18"/>
                <w:szCs w:val="18"/>
                <w:lang w:eastAsia="zh-CN"/>
              </w:rPr>
              <w:t>泄</w:t>
            </w:r>
            <w:r>
              <w:rPr>
                <w:sz w:val="18"/>
                <w:szCs w:val="18"/>
                <w:lang w:eastAsia="zh-CN"/>
              </w:rPr>
              <w:t>漏</w:t>
            </w:r>
            <w:r>
              <w:rPr>
                <w:spacing w:val="-3"/>
                <w:sz w:val="18"/>
                <w:szCs w:val="18"/>
                <w:lang w:eastAsia="zh-CN"/>
              </w:rPr>
              <w:t>、</w:t>
            </w:r>
            <w:r>
              <w:rPr>
                <w:sz w:val="18"/>
                <w:szCs w:val="18"/>
                <w:lang w:eastAsia="zh-CN"/>
              </w:rPr>
              <w:t>污</w:t>
            </w:r>
            <w:r>
              <w:rPr>
                <w:spacing w:val="-3"/>
                <w:sz w:val="18"/>
                <w:szCs w:val="18"/>
                <w:lang w:eastAsia="zh-CN"/>
              </w:rPr>
              <w:t>水</w:t>
            </w:r>
            <w:r>
              <w:rPr>
                <w:sz w:val="18"/>
                <w:szCs w:val="18"/>
                <w:lang w:eastAsia="zh-CN"/>
              </w:rPr>
              <w:t>处</w:t>
            </w:r>
            <w:r>
              <w:rPr>
                <w:spacing w:val="-3"/>
                <w:sz w:val="18"/>
                <w:szCs w:val="18"/>
                <w:lang w:eastAsia="zh-CN"/>
              </w:rPr>
              <w:t>理</w:t>
            </w:r>
            <w:r>
              <w:rPr>
                <w:sz w:val="18"/>
                <w:szCs w:val="18"/>
                <w:lang w:eastAsia="zh-CN"/>
              </w:rPr>
              <w:t>、罐 体检</w:t>
            </w:r>
            <w:r>
              <w:rPr>
                <w:spacing w:val="-3"/>
                <w:sz w:val="18"/>
                <w:szCs w:val="18"/>
                <w:lang w:eastAsia="zh-CN"/>
              </w:rPr>
              <w:t>修</w:t>
            </w:r>
            <w:r>
              <w:rPr>
                <w:sz w:val="18"/>
                <w:szCs w:val="18"/>
                <w:lang w:eastAsia="zh-CN"/>
              </w:rPr>
              <w:t>或</w:t>
            </w:r>
            <w:r>
              <w:rPr>
                <w:spacing w:val="-3"/>
                <w:sz w:val="18"/>
                <w:szCs w:val="18"/>
                <w:lang w:eastAsia="zh-CN"/>
              </w:rPr>
              <w:t>事</w:t>
            </w:r>
            <w:r>
              <w:rPr>
                <w:sz w:val="18"/>
                <w:szCs w:val="18"/>
                <w:lang w:eastAsia="zh-CN"/>
              </w:rPr>
              <w:t>故</w:t>
            </w:r>
          </w:p>
        </w:tc>
      </w:tr>
      <w:tr>
        <w:tblPrEx>
          <w:tblCellMar>
            <w:top w:w="0" w:type="dxa"/>
            <w:left w:w="0" w:type="dxa"/>
            <w:bottom w:w="0" w:type="dxa"/>
            <w:right w:w="0" w:type="dxa"/>
          </w:tblCellMar>
        </w:tblPrEx>
        <w:trPr>
          <w:trHeight w:val="283" w:hRule="atLeast"/>
          <w:jc w:val="center"/>
        </w:trPr>
        <w:tc>
          <w:tcPr>
            <w:tcW w:w="803" w:type="pct"/>
            <w:tcBorders>
              <w:top w:val="single" w:color="000000" w:sz="4" w:space="0"/>
              <w:left w:val="single" w:color="000000" w:sz="4" w:space="0"/>
              <w:bottom w:val="single" w:color="000000" w:sz="4" w:space="0"/>
              <w:right w:val="single" w:color="000000" w:sz="4" w:space="0"/>
            </w:tcBorders>
            <w:vAlign w:val="center"/>
          </w:tcPr>
          <w:p>
            <w:pPr>
              <w:snapToGrid w:val="0"/>
              <w:ind w:right="2"/>
              <w:jc w:val="center"/>
              <w:rPr>
                <w:rFonts w:ascii="Times New Roman" w:hAnsi="Times New Roman" w:eastAsia="Calibri"/>
                <w:kern w:val="0"/>
                <w:sz w:val="18"/>
                <w:szCs w:val="18"/>
                <w:lang w:eastAsia="en-US"/>
              </w:rPr>
            </w:pPr>
            <w:r>
              <w:rPr>
                <w:rFonts w:ascii="Times New Roman" w:hAnsi="Times New Roman" w:eastAsia="Calibri"/>
                <w:spacing w:val="-4"/>
                <w:kern w:val="0"/>
                <w:sz w:val="18"/>
                <w:szCs w:val="18"/>
                <w:lang w:eastAsia="en-US"/>
              </w:rPr>
              <w:t>27</w:t>
            </w:r>
          </w:p>
        </w:tc>
        <w:tc>
          <w:tcPr>
            <w:tcW w:w="2078" w:type="pct"/>
            <w:tcBorders>
              <w:top w:val="single" w:color="000000" w:sz="4" w:space="0"/>
              <w:left w:val="single" w:color="000000" w:sz="4" w:space="0"/>
              <w:bottom w:val="single" w:color="000000" w:sz="4" w:space="0"/>
              <w:right w:val="single" w:color="000000" w:sz="4" w:space="0"/>
            </w:tcBorders>
            <w:vAlign w:val="center"/>
          </w:tcPr>
          <w:p>
            <w:pPr>
              <w:snapToGrid w:val="0"/>
              <w:ind w:left="102"/>
              <w:jc w:val="center"/>
              <w:rPr>
                <w:rFonts w:ascii="Times New Roman" w:hAnsi="Times New Roman"/>
                <w:kern w:val="0"/>
                <w:sz w:val="18"/>
                <w:szCs w:val="18"/>
                <w:lang w:eastAsia="en-US"/>
              </w:rPr>
            </w:pPr>
            <w:r>
              <w:rPr>
                <w:rFonts w:ascii="Times New Roman" w:hAnsi="Times New Roman"/>
                <w:kern w:val="0"/>
                <w:sz w:val="18"/>
                <w:szCs w:val="18"/>
                <w:lang w:eastAsia="en-US"/>
              </w:rPr>
              <w:t>医药制</w:t>
            </w:r>
            <w:r>
              <w:rPr>
                <w:rFonts w:ascii="Times New Roman" w:hAnsi="Times New Roman"/>
                <w:spacing w:val="-3"/>
                <w:kern w:val="0"/>
                <w:sz w:val="18"/>
                <w:szCs w:val="18"/>
                <w:lang w:eastAsia="en-US"/>
              </w:rPr>
              <w:t>造</w:t>
            </w:r>
            <w:r>
              <w:rPr>
                <w:rFonts w:ascii="Times New Roman" w:hAnsi="Times New Roman"/>
                <w:kern w:val="0"/>
                <w:sz w:val="18"/>
                <w:szCs w:val="18"/>
                <w:lang w:eastAsia="en-US"/>
              </w:rPr>
              <w:t>业</w:t>
            </w:r>
          </w:p>
        </w:tc>
        <w:tc>
          <w:tcPr>
            <w:tcW w:w="2119" w:type="pct"/>
            <w:tcBorders>
              <w:top w:val="single" w:color="000000" w:sz="4" w:space="0"/>
              <w:left w:val="single" w:color="000000" w:sz="4" w:space="0"/>
              <w:bottom w:val="single" w:color="000000" w:sz="4" w:space="0"/>
              <w:right w:val="single" w:color="000000" w:sz="4" w:space="0"/>
            </w:tcBorders>
            <w:vAlign w:val="bottom"/>
          </w:tcPr>
          <w:p>
            <w:pPr>
              <w:snapToGrid w:val="0"/>
              <w:jc w:val="center"/>
              <w:rPr>
                <w:rFonts w:ascii="Times New Roman" w:hAnsi="Times New Roman"/>
                <w:kern w:val="0"/>
                <w:sz w:val="18"/>
                <w:szCs w:val="18"/>
                <w:lang w:eastAsia="zh-CN"/>
              </w:rPr>
            </w:pPr>
            <w:r>
              <w:rPr>
                <w:rFonts w:ascii="Times New Roman" w:hAnsi="Times New Roman"/>
                <w:sz w:val="18"/>
                <w:szCs w:val="18"/>
                <w:lang w:eastAsia="zh-CN"/>
              </w:rPr>
              <w:t>反应</w:t>
            </w:r>
            <w:r>
              <w:rPr>
                <w:rFonts w:ascii="Times New Roman" w:hAnsi="Times New Roman"/>
                <w:spacing w:val="-3"/>
                <w:sz w:val="18"/>
                <w:szCs w:val="18"/>
                <w:lang w:eastAsia="zh-CN"/>
              </w:rPr>
              <w:t>釜</w:t>
            </w:r>
            <w:r>
              <w:rPr>
                <w:rFonts w:ascii="Times New Roman" w:hAnsi="Times New Roman"/>
                <w:sz w:val="18"/>
                <w:szCs w:val="18"/>
                <w:lang w:eastAsia="zh-CN"/>
              </w:rPr>
              <w:t>尾</w:t>
            </w:r>
            <w:r>
              <w:rPr>
                <w:rFonts w:ascii="Times New Roman" w:hAnsi="Times New Roman"/>
                <w:spacing w:val="-3"/>
                <w:sz w:val="18"/>
                <w:szCs w:val="18"/>
                <w:lang w:eastAsia="zh-CN"/>
              </w:rPr>
              <w:t>气</w:t>
            </w:r>
            <w:r>
              <w:rPr>
                <w:rFonts w:ascii="Times New Roman" w:hAnsi="Times New Roman"/>
                <w:sz w:val="18"/>
                <w:szCs w:val="18"/>
                <w:lang w:eastAsia="zh-CN"/>
              </w:rPr>
              <w:t>、</w:t>
            </w:r>
            <w:r>
              <w:rPr>
                <w:rFonts w:ascii="Times New Roman" w:hAnsi="Times New Roman"/>
                <w:spacing w:val="-3"/>
                <w:sz w:val="18"/>
                <w:szCs w:val="18"/>
                <w:lang w:eastAsia="zh-CN"/>
              </w:rPr>
              <w:t>药</w:t>
            </w:r>
            <w:r>
              <w:rPr>
                <w:rFonts w:ascii="Times New Roman" w:hAnsi="Times New Roman"/>
                <w:sz w:val="18"/>
                <w:szCs w:val="18"/>
                <w:lang w:eastAsia="zh-CN"/>
              </w:rPr>
              <w:t>物</w:t>
            </w:r>
            <w:r>
              <w:rPr>
                <w:rFonts w:ascii="Times New Roman" w:hAnsi="Times New Roman"/>
                <w:spacing w:val="-3"/>
                <w:sz w:val="18"/>
                <w:szCs w:val="18"/>
                <w:lang w:eastAsia="zh-CN"/>
              </w:rPr>
              <w:t>有</w:t>
            </w:r>
            <w:r>
              <w:rPr>
                <w:rFonts w:ascii="Times New Roman" w:hAnsi="Times New Roman"/>
                <w:sz w:val="18"/>
                <w:szCs w:val="18"/>
                <w:lang w:eastAsia="zh-CN"/>
              </w:rPr>
              <w:t>效</w:t>
            </w:r>
            <w:r>
              <w:rPr>
                <w:rFonts w:ascii="Times New Roman" w:hAnsi="Times New Roman"/>
                <w:spacing w:val="-3"/>
                <w:sz w:val="18"/>
                <w:szCs w:val="18"/>
                <w:lang w:eastAsia="zh-CN"/>
              </w:rPr>
              <w:t>成</w:t>
            </w:r>
            <w:r>
              <w:rPr>
                <w:rFonts w:ascii="Times New Roman" w:hAnsi="Times New Roman"/>
                <w:sz w:val="18"/>
                <w:szCs w:val="18"/>
                <w:lang w:eastAsia="zh-CN"/>
              </w:rPr>
              <w:t>分萃取、</w:t>
            </w:r>
            <w:r>
              <w:rPr>
                <w:rFonts w:ascii="Times New Roman" w:hAnsi="Times New Roman"/>
                <w:spacing w:val="-3"/>
                <w:sz w:val="18"/>
                <w:szCs w:val="18"/>
                <w:lang w:eastAsia="zh-CN"/>
              </w:rPr>
              <w:t>炮</w:t>
            </w:r>
            <w:r>
              <w:rPr>
                <w:rFonts w:ascii="Times New Roman" w:hAnsi="Times New Roman"/>
                <w:sz w:val="18"/>
                <w:szCs w:val="18"/>
                <w:lang w:eastAsia="zh-CN"/>
              </w:rPr>
              <w:t>制</w:t>
            </w:r>
            <w:r>
              <w:rPr>
                <w:rFonts w:ascii="Times New Roman" w:hAnsi="Times New Roman"/>
                <w:spacing w:val="-3"/>
                <w:sz w:val="18"/>
                <w:szCs w:val="18"/>
                <w:lang w:eastAsia="zh-CN"/>
              </w:rPr>
              <w:t>、</w:t>
            </w:r>
            <w:r>
              <w:rPr>
                <w:rFonts w:ascii="Times New Roman" w:hAnsi="Times New Roman"/>
                <w:sz w:val="18"/>
                <w:szCs w:val="18"/>
                <w:lang w:eastAsia="zh-CN"/>
              </w:rPr>
              <w:t>洗</w:t>
            </w:r>
            <w:r>
              <w:rPr>
                <w:rFonts w:ascii="Times New Roman" w:hAnsi="Times New Roman"/>
                <w:spacing w:val="-3"/>
                <w:sz w:val="18"/>
                <w:szCs w:val="18"/>
                <w:lang w:eastAsia="zh-CN"/>
              </w:rPr>
              <w:t>涤</w:t>
            </w:r>
            <w:r>
              <w:rPr>
                <w:rFonts w:ascii="Times New Roman" w:hAnsi="Times New Roman"/>
                <w:sz w:val="18"/>
                <w:szCs w:val="18"/>
                <w:lang w:eastAsia="zh-CN"/>
              </w:rPr>
              <w:t>、</w:t>
            </w:r>
            <w:r>
              <w:rPr>
                <w:rFonts w:ascii="Times New Roman" w:hAnsi="Times New Roman"/>
                <w:spacing w:val="-3"/>
                <w:sz w:val="18"/>
                <w:szCs w:val="18"/>
                <w:lang w:eastAsia="zh-CN"/>
              </w:rPr>
              <w:t>提</w:t>
            </w:r>
            <w:r>
              <w:rPr>
                <w:rFonts w:ascii="Times New Roman" w:hAnsi="Times New Roman"/>
                <w:sz w:val="18"/>
                <w:szCs w:val="18"/>
                <w:lang w:eastAsia="zh-CN"/>
              </w:rPr>
              <w:t>取</w:t>
            </w:r>
            <w:r>
              <w:rPr>
                <w:rFonts w:ascii="Times New Roman" w:hAnsi="Times New Roman"/>
                <w:spacing w:val="-3"/>
                <w:sz w:val="18"/>
                <w:szCs w:val="18"/>
                <w:lang w:eastAsia="zh-CN"/>
              </w:rPr>
              <w:t>、</w:t>
            </w:r>
            <w:r>
              <w:rPr>
                <w:rFonts w:ascii="Times New Roman" w:hAnsi="Times New Roman"/>
                <w:sz w:val="18"/>
                <w:szCs w:val="18"/>
                <w:lang w:eastAsia="zh-CN"/>
              </w:rPr>
              <w:t>污水处理</w:t>
            </w:r>
          </w:p>
        </w:tc>
      </w:tr>
      <w:tr>
        <w:tblPrEx>
          <w:tblCellMar>
            <w:top w:w="0" w:type="dxa"/>
            <w:left w:w="0" w:type="dxa"/>
            <w:bottom w:w="0" w:type="dxa"/>
            <w:right w:w="0" w:type="dxa"/>
          </w:tblCellMar>
        </w:tblPrEx>
        <w:trPr>
          <w:trHeight w:val="283" w:hRule="atLeast"/>
          <w:jc w:val="center"/>
        </w:trPr>
        <w:tc>
          <w:tcPr>
            <w:tcW w:w="803" w:type="pct"/>
            <w:tcBorders>
              <w:top w:val="single" w:color="000000" w:sz="4" w:space="0"/>
              <w:left w:val="single" w:color="000000" w:sz="4" w:space="0"/>
              <w:bottom w:val="single" w:color="000000" w:sz="4" w:space="0"/>
              <w:right w:val="single" w:color="000000" w:sz="4" w:space="0"/>
            </w:tcBorders>
            <w:vAlign w:val="center"/>
          </w:tcPr>
          <w:p>
            <w:pPr>
              <w:snapToGrid w:val="0"/>
              <w:ind w:left="463" w:right="461"/>
              <w:jc w:val="center"/>
              <w:rPr>
                <w:rFonts w:ascii="Times New Roman" w:hAnsi="Times New Roman" w:eastAsia="Calibri"/>
                <w:kern w:val="0"/>
                <w:sz w:val="18"/>
                <w:szCs w:val="18"/>
                <w:lang w:eastAsia="en-US"/>
              </w:rPr>
            </w:pPr>
            <w:r>
              <w:rPr>
                <w:rFonts w:ascii="Times New Roman" w:hAnsi="Times New Roman" w:eastAsia="Calibri"/>
                <w:kern w:val="0"/>
                <w:sz w:val="18"/>
                <w:szCs w:val="18"/>
                <w:lang w:eastAsia="en-US"/>
              </w:rPr>
              <w:t>28</w:t>
            </w:r>
          </w:p>
        </w:tc>
        <w:tc>
          <w:tcPr>
            <w:tcW w:w="2078" w:type="pct"/>
            <w:tcBorders>
              <w:top w:val="single" w:color="000000" w:sz="4" w:space="0"/>
              <w:left w:val="single" w:color="000000" w:sz="4" w:space="0"/>
              <w:bottom w:val="single" w:color="000000" w:sz="4" w:space="0"/>
              <w:right w:val="single" w:color="000000" w:sz="4" w:space="0"/>
            </w:tcBorders>
            <w:vAlign w:val="bottom"/>
          </w:tcPr>
          <w:p>
            <w:pPr>
              <w:snapToGrid w:val="0"/>
              <w:ind w:left="102"/>
              <w:jc w:val="center"/>
              <w:rPr>
                <w:rFonts w:ascii="Times New Roman" w:hAnsi="Times New Roman"/>
                <w:kern w:val="0"/>
                <w:sz w:val="18"/>
                <w:szCs w:val="18"/>
                <w:lang w:eastAsia="en-US"/>
              </w:rPr>
            </w:pPr>
            <w:r>
              <w:rPr>
                <w:rFonts w:ascii="Times New Roman" w:hAnsi="Times New Roman"/>
                <w:kern w:val="0"/>
                <w:sz w:val="18"/>
                <w:szCs w:val="18"/>
                <w:lang w:eastAsia="en-US"/>
              </w:rPr>
              <w:t>化学纤</w:t>
            </w:r>
            <w:r>
              <w:rPr>
                <w:rFonts w:ascii="Times New Roman" w:hAnsi="Times New Roman"/>
                <w:spacing w:val="-3"/>
                <w:kern w:val="0"/>
                <w:sz w:val="18"/>
                <w:szCs w:val="18"/>
                <w:lang w:eastAsia="en-US"/>
              </w:rPr>
              <w:t>维</w:t>
            </w:r>
            <w:r>
              <w:rPr>
                <w:rFonts w:ascii="Times New Roman" w:hAnsi="Times New Roman"/>
                <w:kern w:val="0"/>
                <w:sz w:val="18"/>
                <w:szCs w:val="18"/>
                <w:lang w:eastAsia="en-US"/>
              </w:rPr>
              <w:t>制造业</w:t>
            </w:r>
          </w:p>
        </w:tc>
        <w:tc>
          <w:tcPr>
            <w:tcW w:w="2119" w:type="pct"/>
            <w:tcBorders>
              <w:top w:val="single" w:color="000000" w:sz="4" w:space="0"/>
              <w:left w:val="single" w:color="000000" w:sz="4" w:space="0"/>
              <w:bottom w:val="single" w:color="000000" w:sz="4" w:space="0"/>
              <w:right w:val="single" w:color="000000" w:sz="4" w:space="0"/>
            </w:tcBorders>
            <w:vAlign w:val="bottom"/>
          </w:tcPr>
          <w:p>
            <w:pPr>
              <w:keepNext/>
              <w:snapToGrid w:val="0"/>
              <w:jc w:val="center"/>
              <w:rPr>
                <w:rFonts w:ascii="Times New Roman" w:hAnsi="Times New Roman"/>
                <w:kern w:val="0"/>
                <w:sz w:val="18"/>
                <w:szCs w:val="18"/>
                <w:lang w:eastAsia="zh-CN"/>
              </w:rPr>
            </w:pPr>
            <w:r>
              <w:rPr>
                <w:rFonts w:ascii="Times New Roman" w:hAnsi="Times New Roman"/>
                <w:sz w:val="18"/>
                <w:szCs w:val="18"/>
                <w:lang w:eastAsia="zh-CN"/>
              </w:rPr>
              <w:t>人造</w:t>
            </w:r>
            <w:r>
              <w:rPr>
                <w:rFonts w:ascii="Times New Roman" w:hAnsi="Times New Roman"/>
                <w:spacing w:val="-3"/>
                <w:sz w:val="18"/>
                <w:szCs w:val="18"/>
                <w:lang w:eastAsia="zh-CN"/>
              </w:rPr>
              <w:t>纤</w:t>
            </w:r>
            <w:r>
              <w:rPr>
                <w:rFonts w:ascii="Times New Roman" w:hAnsi="Times New Roman"/>
                <w:sz w:val="18"/>
                <w:szCs w:val="18"/>
                <w:lang w:eastAsia="zh-CN"/>
              </w:rPr>
              <w:t>维</w:t>
            </w:r>
            <w:r>
              <w:rPr>
                <w:rFonts w:ascii="Times New Roman" w:hAnsi="Times New Roman"/>
                <w:spacing w:val="-3"/>
                <w:sz w:val="18"/>
                <w:szCs w:val="18"/>
                <w:lang w:eastAsia="zh-CN"/>
              </w:rPr>
              <w:t>、</w:t>
            </w:r>
            <w:r>
              <w:rPr>
                <w:rFonts w:ascii="Times New Roman" w:hAnsi="Times New Roman"/>
                <w:sz w:val="18"/>
                <w:szCs w:val="18"/>
                <w:lang w:eastAsia="zh-CN"/>
              </w:rPr>
              <w:t>合</w:t>
            </w:r>
            <w:r>
              <w:rPr>
                <w:rFonts w:ascii="Times New Roman" w:hAnsi="Times New Roman"/>
                <w:spacing w:val="-3"/>
                <w:sz w:val="18"/>
                <w:szCs w:val="18"/>
                <w:lang w:eastAsia="zh-CN"/>
              </w:rPr>
              <w:t>成</w:t>
            </w:r>
            <w:r>
              <w:rPr>
                <w:rFonts w:ascii="Times New Roman" w:hAnsi="Times New Roman"/>
                <w:sz w:val="18"/>
                <w:szCs w:val="18"/>
                <w:lang w:eastAsia="zh-CN"/>
              </w:rPr>
              <w:t>纤</w:t>
            </w:r>
            <w:r>
              <w:rPr>
                <w:rFonts w:ascii="Times New Roman" w:hAnsi="Times New Roman"/>
                <w:spacing w:val="-3"/>
                <w:sz w:val="18"/>
                <w:szCs w:val="18"/>
                <w:lang w:eastAsia="zh-CN"/>
              </w:rPr>
              <w:t>维</w:t>
            </w:r>
            <w:r>
              <w:rPr>
                <w:rFonts w:ascii="Times New Roman" w:hAnsi="Times New Roman"/>
                <w:sz w:val="18"/>
                <w:szCs w:val="18"/>
                <w:lang w:eastAsia="zh-CN"/>
              </w:rPr>
              <w:t>制造</w:t>
            </w:r>
          </w:p>
        </w:tc>
      </w:tr>
      <w:tr>
        <w:tblPrEx>
          <w:tblCellMar>
            <w:top w:w="0" w:type="dxa"/>
            <w:left w:w="0" w:type="dxa"/>
            <w:bottom w:w="0" w:type="dxa"/>
            <w:right w:w="0" w:type="dxa"/>
          </w:tblCellMar>
        </w:tblPrEx>
        <w:trPr>
          <w:trHeight w:val="283" w:hRule="atLeast"/>
          <w:jc w:val="center"/>
        </w:trPr>
        <w:tc>
          <w:tcPr>
            <w:tcW w:w="803" w:type="pct"/>
            <w:tcBorders>
              <w:top w:val="single" w:color="000000" w:sz="4" w:space="0"/>
              <w:left w:val="single" w:color="000000" w:sz="4" w:space="0"/>
              <w:bottom w:val="single" w:color="000000" w:sz="4" w:space="0"/>
              <w:right w:val="single" w:color="000000" w:sz="4" w:space="0"/>
            </w:tcBorders>
            <w:vAlign w:val="center"/>
          </w:tcPr>
          <w:p>
            <w:pPr>
              <w:snapToGrid w:val="0"/>
              <w:ind w:left="463" w:right="461"/>
              <w:jc w:val="center"/>
              <w:rPr>
                <w:rFonts w:ascii="Times New Roman" w:hAnsi="Times New Roman" w:eastAsia="Calibri"/>
                <w:kern w:val="0"/>
                <w:sz w:val="18"/>
                <w:szCs w:val="18"/>
                <w:lang w:eastAsia="en-US"/>
              </w:rPr>
            </w:pPr>
            <w:r>
              <w:rPr>
                <w:rFonts w:ascii="Times New Roman" w:hAnsi="Times New Roman" w:eastAsia="Calibri"/>
                <w:kern w:val="0"/>
                <w:sz w:val="18"/>
                <w:szCs w:val="18"/>
                <w:lang w:eastAsia="en-US"/>
              </w:rPr>
              <w:t>29</w:t>
            </w:r>
          </w:p>
        </w:tc>
        <w:tc>
          <w:tcPr>
            <w:tcW w:w="2078" w:type="pct"/>
            <w:tcBorders>
              <w:top w:val="single" w:color="000000" w:sz="4" w:space="0"/>
              <w:left w:val="single" w:color="000000" w:sz="4" w:space="0"/>
              <w:bottom w:val="single" w:color="000000" w:sz="4" w:space="0"/>
              <w:right w:val="single" w:color="000000" w:sz="4" w:space="0"/>
            </w:tcBorders>
            <w:vAlign w:val="center"/>
          </w:tcPr>
          <w:p>
            <w:pPr>
              <w:snapToGrid w:val="0"/>
              <w:ind w:left="102"/>
              <w:jc w:val="center"/>
              <w:rPr>
                <w:rFonts w:ascii="Times New Roman" w:hAnsi="Times New Roman"/>
                <w:kern w:val="0"/>
                <w:sz w:val="18"/>
                <w:szCs w:val="18"/>
                <w:lang w:eastAsia="en-US"/>
              </w:rPr>
            </w:pPr>
            <w:r>
              <w:rPr>
                <w:rFonts w:ascii="Times New Roman" w:hAnsi="Times New Roman"/>
                <w:kern w:val="0"/>
                <w:sz w:val="18"/>
                <w:szCs w:val="18"/>
                <w:lang w:eastAsia="en-US"/>
              </w:rPr>
              <w:t>橡胶和</w:t>
            </w:r>
            <w:r>
              <w:rPr>
                <w:rFonts w:ascii="Times New Roman" w:hAnsi="Times New Roman"/>
                <w:spacing w:val="-3"/>
                <w:kern w:val="0"/>
                <w:sz w:val="18"/>
                <w:szCs w:val="18"/>
                <w:lang w:eastAsia="en-US"/>
              </w:rPr>
              <w:t>塑</w:t>
            </w:r>
            <w:r>
              <w:rPr>
                <w:rFonts w:ascii="Times New Roman" w:hAnsi="Times New Roman"/>
                <w:kern w:val="0"/>
                <w:sz w:val="18"/>
                <w:szCs w:val="18"/>
                <w:lang w:eastAsia="en-US"/>
              </w:rPr>
              <w:t>料制</w:t>
            </w:r>
            <w:r>
              <w:rPr>
                <w:rFonts w:ascii="Times New Roman" w:hAnsi="Times New Roman"/>
                <w:spacing w:val="-3"/>
                <w:kern w:val="0"/>
                <w:sz w:val="18"/>
                <w:szCs w:val="18"/>
                <w:lang w:eastAsia="en-US"/>
              </w:rPr>
              <w:t>品</w:t>
            </w:r>
            <w:r>
              <w:rPr>
                <w:rFonts w:ascii="Times New Roman" w:hAnsi="Times New Roman"/>
                <w:kern w:val="0"/>
                <w:sz w:val="18"/>
                <w:szCs w:val="18"/>
                <w:lang w:eastAsia="en-US"/>
              </w:rPr>
              <w:t>业</w:t>
            </w:r>
          </w:p>
        </w:tc>
        <w:tc>
          <w:tcPr>
            <w:tcW w:w="2119" w:type="pct"/>
            <w:tcBorders>
              <w:top w:val="single" w:color="000000" w:sz="4" w:space="0"/>
              <w:left w:val="single" w:color="000000" w:sz="4" w:space="0"/>
              <w:bottom w:val="single" w:color="000000" w:sz="4" w:space="0"/>
              <w:right w:val="single" w:color="000000" w:sz="4" w:space="0"/>
            </w:tcBorders>
            <w:vAlign w:val="center"/>
          </w:tcPr>
          <w:p>
            <w:pPr>
              <w:pStyle w:val="122"/>
              <w:jc w:val="center"/>
              <w:rPr>
                <w:sz w:val="18"/>
                <w:szCs w:val="18"/>
                <w:lang w:eastAsia="zh-CN"/>
              </w:rPr>
            </w:pPr>
            <w:r>
              <w:rPr>
                <w:rFonts w:eastAsia="宋体"/>
                <w:sz w:val="18"/>
                <w:szCs w:val="18"/>
                <w:lang w:eastAsia="zh-CN"/>
              </w:rPr>
              <w:t>炼胶</w:t>
            </w:r>
            <w:r>
              <w:rPr>
                <w:rFonts w:eastAsia="宋体"/>
                <w:spacing w:val="-3"/>
                <w:sz w:val="18"/>
                <w:szCs w:val="18"/>
                <w:lang w:eastAsia="zh-CN"/>
              </w:rPr>
              <w:t>、</w:t>
            </w:r>
            <w:r>
              <w:rPr>
                <w:rFonts w:eastAsia="宋体"/>
                <w:sz w:val="18"/>
                <w:szCs w:val="18"/>
                <w:lang w:eastAsia="zh-CN"/>
              </w:rPr>
              <w:t>橡</w:t>
            </w:r>
            <w:r>
              <w:rPr>
                <w:rFonts w:eastAsia="宋体"/>
                <w:spacing w:val="-3"/>
                <w:sz w:val="18"/>
                <w:szCs w:val="18"/>
                <w:lang w:eastAsia="zh-CN"/>
              </w:rPr>
              <w:t>胶</w:t>
            </w:r>
            <w:r>
              <w:rPr>
                <w:rFonts w:eastAsia="宋体"/>
                <w:sz w:val="18"/>
                <w:szCs w:val="18"/>
                <w:lang w:eastAsia="zh-CN"/>
              </w:rPr>
              <w:t>硫</w:t>
            </w:r>
            <w:r>
              <w:rPr>
                <w:rFonts w:eastAsia="宋体"/>
                <w:spacing w:val="-3"/>
                <w:sz w:val="18"/>
                <w:szCs w:val="18"/>
                <w:lang w:eastAsia="zh-CN"/>
              </w:rPr>
              <w:t>化</w:t>
            </w:r>
            <w:r>
              <w:rPr>
                <w:rFonts w:eastAsia="宋体"/>
                <w:sz w:val="18"/>
                <w:szCs w:val="18"/>
                <w:lang w:eastAsia="zh-CN"/>
              </w:rPr>
              <w:t>、</w:t>
            </w:r>
            <w:r>
              <w:rPr>
                <w:rFonts w:eastAsia="宋体"/>
                <w:spacing w:val="-3"/>
                <w:sz w:val="18"/>
                <w:szCs w:val="18"/>
                <w:lang w:eastAsia="zh-CN"/>
              </w:rPr>
              <w:t>人</w:t>
            </w:r>
            <w:r>
              <w:rPr>
                <w:rFonts w:eastAsia="宋体"/>
                <w:sz w:val="18"/>
                <w:szCs w:val="18"/>
                <w:lang w:eastAsia="zh-CN"/>
              </w:rPr>
              <w:t>造</w:t>
            </w:r>
            <w:r>
              <w:rPr>
                <w:rFonts w:eastAsia="宋体"/>
                <w:spacing w:val="-3"/>
                <w:sz w:val="18"/>
                <w:szCs w:val="18"/>
                <w:lang w:eastAsia="zh-CN"/>
              </w:rPr>
              <w:t>革</w:t>
            </w:r>
            <w:r>
              <w:rPr>
                <w:rFonts w:eastAsia="宋体"/>
                <w:sz w:val="18"/>
                <w:szCs w:val="18"/>
                <w:lang w:eastAsia="zh-CN"/>
              </w:rPr>
              <w:t>生</w:t>
            </w:r>
            <w:r>
              <w:rPr>
                <w:sz w:val="18"/>
                <w:szCs w:val="18"/>
                <w:lang w:eastAsia="zh-CN"/>
              </w:rPr>
              <w:t>产、</w:t>
            </w:r>
            <w:r>
              <w:rPr>
                <w:spacing w:val="-3"/>
                <w:sz w:val="18"/>
                <w:szCs w:val="18"/>
                <w:lang w:eastAsia="zh-CN"/>
              </w:rPr>
              <w:t>泡</w:t>
            </w:r>
            <w:r>
              <w:rPr>
                <w:sz w:val="18"/>
                <w:szCs w:val="18"/>
                <w:lang w:eastAsia="zh-CN"/>
              </w:rPr>
              <w:t>沫</w:t>
            </w:r>
            <w:r>
              <w:rPr>
                <w:spacing w:val="-3"/>
                <w:sz w:val="18"/>
                <w:szCs w:val="18"/>
                <w:lang w:eastAsia="zh-CN"/>
              </w:rPr>
              <w:t>板</w:t>
            </w:r>
            <w:r>
              <w:rPr>
                <w:sz w:val="18"/>
                <w:szCs w:val="18"/>
                <w:lang w:eastAsia="zh-CN"/>
              </w:rPr>
              <w:t>生</w:t>
            </w:r>
            <w:r>
              <w:rPr>
                <w:spacing w:val="-3"/>
                <w:sz w:val="18"/>
                <w:szCs w:val="18"/>
                <w:lang w:eastAsia="zh-CN"/>
              </w:rPr>
              <w:t>产</w:t>
            </w:r>
            <w:r>
              <w:rPr>
                <w:sz w:val="18"/>
                <w:szCs w:val="18"/>
                <w:lang w:eastAsia="zh-CN"/>
              </w:rPr>
              <w:t>、</w:t>
            </w:r>
            <w:r>
              <w:rPr>
                <w:spacing w:val="-3"/>
                <w:sz w:val="18"/>
                <w:szCs w:val="18"/>
                <w:lang w:eastAsia="zh-CN"/>
              </w:rPr>
              <w:t>上</w:t>
            </w:r>
            <w:r>
              <w:rPr>
                <w:sz w:val="18"/>
                <w:szCs w:val="18"/>
                <w:lang w:eastAsia="zh-CN"/>
              </w:rPr>
              <w:t>胶</w:t>
            </w:r>
            <w:r>
              <w:rPr>
                <w:spacing w:val="-3"/>
                <w:sz w:val="18"/>
                <w:szCs w:val="18"/>
                <w:lang w:eastAsia="zh-CN"/>
              </w:rPr>
              <w:t>、</w:t>
            </w:r>
            <w:r>
              <w:rPr>
                <w:sz w:val="18"/>
                <w:szCs w:val="18"/>
                <w:lang w:eastAsia="zh-CN"/>
              </w:rPr>
              <w:t>表面 喷涂</w:t>
            </w:r>
          </w:p>
        </w:tc>
      </w:tr>
      <w:tr>
        <w:tblPrEx>
          <w:tblCellMar>
            <w:top w:w="0" w:type="dxa"/>
            <w:left w:w="0" w:type="dxa"/>
            <w:bottom w:w="0" w:type="dxa"/>
            <w:right w:w="0" w:type="dxa"/>
          </w:tblCellMar>
        </w:tblPrEx>
        <w:trPr>
          <w:trHeight w:val="283" w:hRule="atLeast"/>
          <w:jc w:val="center"/>
        </w:trPr>
        <w:tc>
          <w:tcPr>
            <w:tcW w:w="803" w:type="pct"/>
            <w:tcBorders>
              <w:top w:val="single" w:color="000000" w:sz="4" w:space="0"/>
              <w:left w:val="single" w:color="000000" w:sz="4" w:space="0"/>
              <w:bottom w:val="single" w:color="000000" w:sz="4" w:space="0"/>
              <w:right w:val="single" w:color="000000" w:sz="4" w:space="0"/>
            </w:tcBorders>
            <w:vAlign w:val="center"/>
          </w:tcPr>
          <w:p>
            <w:pPr>
              <w:snapToGrid w:val="0"/>
              <w:ind w:left="463" w:right="461"/>
              <w:jc w:val="center"/>
              <w:rPr>
                <w:rFonts w:ascii="Times New Roman" w:hAnsi="Times New Roman" w:eastAsia="Calibri"/>
                <w:kern w:val="0"/>
                <w:sz w:val="18"/>
                <w:szCs w:val="18"/>
                <w:lang w:eastAsia="en-US"/>
              </w:rPr>
            </w:pPr>
            <w:r>
              <w:rPr>
                <w:rFonts w:ascii="Times New Roman" w:hAnsi="Times New Roman" w:eastAsia="Calibri"/>
                <w:kern w:val="0"/>
                <w:sz w:val="18"/>
                <w:szCs w:val="18"/>
                <w:lang w:eastAsia="en-US"/>
              </w:rPr>
              <w:t>30</w:t>
            </w:r>
          </w:p>
        </w:tc>
        <w:tc>
          <w:tcPr>
            <w:tcW w:w="2078" w:type="pct"/>
            <w:tcBorders>
              <w:top w:val="single" w:color="000000" w:sz="4" w:space="0"/>
              <w:left w:val="single" w:color="000000" w:sz="4" w:space="0"/>
              <w:bottom w:val="single" w:color="000000" w:sz="4" w:space="0"/>
              <w:right w:val="single" w:color="000000" w:sz="4" w:space="0"/>
            </w:tcBorders>
            <w:vAlign w:val="center"/>
          </w:tcPr>
          <w:p>
            <w:pPr>
              <w:snapToGrid w:val="0"/>
              <w:ind w:left="102"/>
              <w:jc w:val="center"/>
              <w:rPr>
                <w:rFonts w:ascii="Times New Roman" w:hAnsi="Times New Roman"/>
                <w:kern w:val="0"/>
                <w:sz w:val="18"/>
                <w:szCs w:val="18"/>
                <w:lang w:eastAsia="en-US"/>
              </w:rPr>
            </w:pPr>
            <w:r>
              <w:rPr>
                <w:rFonts w:ascii="Times New Roman" w:hAnsi="Times New Roman"/>
                <w:kern w:val="0"/>
                <w:sz w:val="18"/>
                <w:szCs w:val="18"/>
                <w:lang w:eastAsia="en-US"/>
              </w:rPr>
              <w:t>非金属</w:t>
            </w:r>
            <w:r>
              <w:rPr>
                <w:rFonts w:ascii="Times New Roman" w:hAnsi="Times New Roman"/>
                <w:spacing w:val="-3"/>
                <w:kern w:val="0"/>
                <w:sz w:val="18"/>
                <w:szCs w:val="18"/>
                <w:lang w:eastAsia="en-US"/>
              </w:rPr>
              <w:t>矿</w:t>
            </w:r>
            <w:r>
              <w:rPr>
                <w:rFonts w:ascii="Times New Roman" w:hAnsi="Times New Roman"/>
                <w:kern w:val="0"/>
                <w:sz w:val="18"/>
                <w:szCs w:val="18"/>
                <w:lang w:eastAsia="en-US"/>
              </w:rPr>
              <w:t>物制</w:t>
            </w:r>
            <w:r>
              <w:rPr>
                <w:rFonts w:ascii="Times New Roman" w:hAnsi="Times New Roman"/>
                <w:spacing w:val="-3"/>
                <w:kern w:val="0"/>
                <w:sz w:val="18"/>
                <w:szCs w:val="18"/>
                <w:lang w:eastAsia="en-US"/>
              </w:rPr>
              <w:t>品</w:t>
            </w:r>
            <w:r>
              <w:rPr>
                <w:rFonts w:ascii="Times New Roman" w:hAnsi="Times New Roman"/>
                <w:kern w:val="0"/>
                <w:sz w:val="18"/>
                <w:szCs w:val="18"/>
                <w:lang w:eastAsia="en-US"/>
              </w:rPr>
              <w:t>业</w:t>
            </w:r>
          </w:p>
        </w:tc>
        <w:tc>
          <w:tcPr>
            <w:tcW w:w="2119" w:type="pct"/>
            <w:tcBorders>
              <w:top w:val="single" w:color="000000" w:sz="4" w:space="0"/>
              <w:left w:val="single" w:color="000000" w:sz="4" w:space="0"/>
              <w:bottom w:val="single" w:color="000000" w:sz="4" w:space="0"/>
              <w:right w:val="single" w:color="000000" w:sz="4" w:space="0"/>
            </w:tcBorders>
            <w:vAlign w:val="center"/>
          </w:tcPr>
          <w:p>
            <w:pPr>
              <w:keepNext/>
              <w:snapToGrid w:val="0"/>
              <w:jc w:val="center"/>
              <w:rPr>
                <w:rFonts w:ascii="Times New Roman" w:hAnsi="Times New Roman"/>
                <w:kern w:val="0"/>
                <w:sz w:val="18"/>
                <w:szCs w:val="18"/>
                <w:lang w:eastAsia="zh-CN"/>
              </w:rPr>
            </w:pPr>
            <w:r>
              <w:rPr>
                <w:rFonts w:ascii="Times New Roman" w:hAnsi="Times New Roman"/>
                <w:sz w:val="18"/>
                <w:szCs w:val="18"/>
                <w:lang w:eastAsia="en-US"/>
              </w:rPr>
              <w:t>窑炉</w:t>
            </w:r>
            <w:r>
              <w:rPr>
                <w:rFonts w:ascii="Times New Roman" w:hAnsi="Times New Roman"/>
                <w:spacing w:val="-3"/>
                <w:sz w:val="18"/>
                <w:szCs w:val="18"/>
                <w:lang w:eastAsia="en-US"/>
              </w:rPr>
              <w:t>尾</w:t>
            </w:r>
            <w:r>
              <w:rPr>
                <w:rFonts w:ascii="Times New Roman" w:hAnsi="Times New Roman"/>
                <w:sz w:val="18"/>
                <w:szCs w:val="18"/>
                <w:lang w:eastAsia="en-US"/>
              </w:rPr>
              <w:t>气</w:t>
            </w:r>
          </w:p>
        </w:tc>
      </w:tr>
      <w:tr>
        <w:tblPrEx>
          <w:tblCellMar>
            <w:top w:w="0" w:type="dxa"/>
            <w:left w:w="0" w:type="dxa"/>
            <w:bottom w:w="0" w:type="dxa"/>
            <w:right w:w="0" w:type="dxa"/>
          </w:tblCellMar>
        </w:tblPrEx>
        <w:trPr>
          <w:trHeight w:val="283" w:hRule="atLeast"/>
          <w:jc w:val="center"/>
        </w:trPr>
        <w:tc>
          <w:tcPr>
            <w:tcW w:w="803" w:type="pct"/>
            <w:tcBorders>
              <w:top w:val="single" w:color="000000" w:sz="4" w:space="0"/>
              <w:left w:val="single" w:color="000000" w:sz="4" w:space="0"/>
              <w:bottom w:val="single" w:color="000000" w:sz="4" w:space="0"/>
              <w:right w:val="single" w:color="000000" w:sz="4" w:space="0"/>
            </w:tcBorders>
            <w:vAlign w:val="center"/>
          </w:tcPr>
          <w:p>
            <w:pPr>
              <w:snapToGrid w:val="0"/>
              <w:ind w:left="463" w:right="461"/>
              <w:jc w:val="center"/>
              <w:rPr>
                <w:rFonts w:ascii="Times New Roman" w:hAnsi="Times New Roman" w:eastAsia="Calibri"/>
                <w:kern w:val="0"/>
                <w:sz w:val="18"/>
                <w:szCs w:val="18"/>
                <w:lang w:eastAsia="en-US"/>
              </w:rPr>
            </w:pPr>
            <w:r>
              <w:rPr>
                <w:rFonts w:ascii="Times New Roman" w:hAnsi="Times New Roman" w:eastAsia="Calibri"/>
                <w:kern w:val="0"/>
                <w:sz w:val="18"/>
                <w:szCs w:val="18"/>
                <w:lang w:eastAsia="en-US"/>
              </w:rPr>
              <w:t>31</w:t>
            </w:r>
          </w:p>
        </w:tc>
        <w:tc>
          <w:tcPr>
            <w:tcW w:w="2078" w:type="pct"/>
            <w:tcBorders>
              <w:top w:val="single" w:color="000000" w:sz="4" w:space="0"/>
              <w:left w:val="single" w:color="000000" w:sz="4" w:space="0"/>
              <w:bottom w:val="single" w:color="000000" w:sz="4" w:space="0"/>
              <w:right w:val="single" w:color="000000" w:sz="4" w:space="0"/>
            </w:tcBorders>
            <w:vAlign w:val="center"/>
          </w:tcPr>
          <w:p>
            <w:pPr>
              <w:snapToGrid w:val="0"/>
              <w:ind w:left="102"/>
              <w:jc w:val="center"/>
              <w:rPr>
                <w:rFonts w:ascii="Times New Roman" w:hAnsi="Times New Roman"/>
                <w:kern w:val="0"/>
                <w:sz w:val="18"/>
                <w:szCs w:val="18"/>
                <w:lang w:eastAsia="zh-CN"/>
              </w:rPr>
            </w:pPr>
            <w:r>
              <w:rPr>
                <w:rFonts w:ascii="Times New Roman" w:hAnsi="Times New Roman"/>
                <w:kern w:val="0"/>
                <w:sz w:val="18"/>
                <w:szCs w:val="18"/>
                <w:lang w:eastAsia="zh-CN"/>
              </w:rPr>
              <w:t>黑色金</w:t>
            </w:r>
            <w:r>
              <w:rPr>
                <w:rFonts w:ascii="Times New Roman" w:hAnsi="Times New Roman"/>
                <w:spacing w:val="-3"/>
                <w:kern w:val="0"/>
                <w:sz w:val="18"/>
                <w:szCs w:val="18"/>
                <w:lang w:eastAsia="zh-CN"/>
              </w:rPr>
              <w:t>属</w:t>
            </w:r>
            <w:r>
              <w:rPr>
                <w:rFonts w:ascii="Times New Roman" w:hAnsi="Times New Roman"/>
                <w:kern w:val="0"/>
                <w:sz w:val="18"/>
                <w:szCs w:val="18"/>
                <w:lang w:eastAsia="zh-CN"/>
              </w:rPr>
              <w:t>冶炼</w:t>
            </w:r>
            <w:r>
              <w:rPr>
                <w:rFonts w:ascii="Times New Roman" w:hAnsi="Times New Roman"/>
                <w:spacing w:val="-3"/>
                <w:kern w:val="0"/>
                <w:sz w:val="18"/>
                <w:szCs w:val="18"/>
                <w:lang w:eastAsia="zh-CN"/>
              </w:rPr>
              <w:t>和</w:t>
            </w:r>
            <w:r>
              <w:rPr>
                <w:rFonts w:ascii="Times New Roman" w:hAnsi="Times New Roman"/>
                <w:kern w:val="0"/>
                <w:sz w:val="18"/>
                <w:szCs w:val="18"/>
                <w:lang w:eastAsia="zh-CN"/>
              </w:rPr>
              <w:t>压延</w:t>
            </w:r>
            <w:r>
              <w:rPr>
                <w:rFonts w:ascii="Times New Roman" w:hAnsi="Times New Roman"/>
                <w:spacing w:val="-3"/>
                <w:kern w:val="0"/>
                <w:sz w:val="18"/>
                <w:szCs w:val="18"/>
                <w:lang w:eastAsia="zh-CN"/>
              </w:rPr>
              <w:t>加工</w:t>
            </w:r>
            <w:r>
              <w:rPr>
                <w:rFonts w:ascii="Times New Roman" w:hAnsi="Times New Roman"/>
                <w:kern w:val="0"/>
                <w:sz w:val="18"/>
                <w:szCs w:val="18"/>
                <w:lang w:eastAsia="zh-CN"/>
              </w:rPr>
              <w:t>业</w:t>
            </w:r>
          </w:p>
        </w:tc>
        <w:tc>
          <w:tcPr>
            <w:tcW w:w="2119" w:type="pct"/>
            <w:tcBorders>
              <w:top w:val="single" w:color="000000" w:sz="4" w:space="0"/>
              <w:left w:val="single" w:color="000000" w:sz="4" w:space="0"/>
              <w:bottom w:val="single" w:color="000000" w:sz="4" w:space="0"/>
              <w:right w:val="single" w:color="000000" w:sz="4" w:space="0"/>
            </w:tcBorders>
            <w:vAlign w:val="center"/>
          </w:tcPr>
          <w:p>
            <w:pPr>
              <w:keepNext/>
              <w:snapToGrid w:val="0"/>
              <w:jc w:val="center"/>
              <w:rPr>
                <w:rFonts w:ascii="Times New Roman" w:hAnsi="Times New Roman"/>
                <w:kern w:val="0"/>
                <w:sz w:val="18"/>
                <w:szCs w:val="18"/>
                <w:lang w:eastAsia="zh-CN"/>
              </w:rPr>
            </w:pPr>
            <w:r>
              <w:rPr>
                <w:rFonts w:ascii="Times New Roman" w:hAnsi="Times New Roman"/>
                <w:sz w:val="18"/>
                <w:szCs w:val="18"/>
                <w:lang w:eastAsia="en-US"/>
              </w:rPr>
              <w:t>钢、</w:t>
            </w:r>
            <w:r>
              <w:rPr>
                <w:rFonts w:ascii="Times New Roman" w:hAnsi="Times New Roman"/>
                <w:spacing w:val="-3"/>
                <w:sz w:val="18"/>
                <w:szCs w:val="18"/>
                <w:lang w:eastAsia="en-US"/>
              </w:rPr>
              <w:t>铸</w:t>
            </w:r>
            <w:r>
              <w:rPr>
                <w:rFonts w:ascii="Times New Roman" w:hAnsi="Times New Roman"/>
                <w:sz w:val="18"/>
                <w:szCs w:val="18"/>
                <w:lang w:eastAsia="en-US"/>
              </w:rPr>
              <w:t>件</w:t>
            </w:r>
            <w:r>
              <w:rPr>
                <w:rFonts w:ascii="Times New Roman" w:hAnsi="Times New Roman"/>
                <w:spacing w:val="-3"/>
                <w:sz w:val="18"/>
                <w:szCs w:val="18"/>
                <w:lang w:eastAsia="en-US"/>
              </w:rPr>
              <w:t>等</w:t>
            </w:r>
            <w:r>
              <w:rPr>
                <w:rFonts w:ascii="Times New Roman" w:hAnsi="Times New Roman"/>
                <w:sz w:val="18"/>
                <w:szCs w:val="18"/>
                <w:lang w:eastAsia="en-US"/>
              </w:rPr>
              <w:t>铸</w:t>
            </w:r>
            <w:r>
              <w:rPr>
                <w:rFonts w:ascii="Times New Roman" w:hAnsi="Times New Roman"/>
                <w:spacing w:val="-3"/>
                <w:sz w:val="18"/>
                <w:szCs w:val="18"/>
                <w:lang w:eastAsia="en-US"/>
              </w:rPr>
              <w:t>造</w:t>
            </w:r>
            <w:r>
              <w:rPr>
                <w:rFonts w:ascii="Times New Roman" w:hAnsi="Times New Roman"/>
                <w:sz w:val="18"/>
                <w:szCs w:val="18"/>
                <w:lang w:eastAsia="en-US"/>
              </w:rPr>
              <w:t>过程</w:t>
            </w:r>
          </w:p>
        </w:tc>
      </w:tr>
      <w:tr>
        <w:tblPrEx>
          <w:tblCellMar>
            <w:top w:w="0" w:type="dxa"/>
            <w:left w:w="0" w:type="dxa"/>
            <w:bottom w:w="0" w:type="dxa"/>
            <w:right w:w="0" w:type="dxa"/>
          </w:tblCellMar>
        </w:tblPrEx>
        <w:trPr>
          <w:trHeight w:val="283" w:hRule="atLeast"/>
          <w:jc w:val="center"/>
        </w:trPr>
        <w:tc>
          <w:tcPr>
            <w:tcW w:w="803" w:type="pct"/>
            <w:tcBorders>
              <w:top w:val="single" w:color="000000" w:sz="4" w:space="0"/>
              <w:left w:val="single" w:color="000000" w:sz="4" w:space="0"/>
              <w:bottom w:val="single" w:color="000000" w:sz="4" w:space="0"/>
              <w:right w:val="single" w:color="000000" w:sz="4" w:space="0"/>
            </w:tcBorders>
            <w:vAlign w:val="center"/>
          </w:tcPr>
          <w:p>
            <w:pPr>
              <w:snapToGrid w:val="0"/>
              <w:ind w:left="463" w:right="461"/>
              <w:jc w:val="center"/>
              <w:rPr>
                <w:rFonts w:ascii="Times New Roman" w:hAnsi="Times New Roman" w:eastAsia="Calibri"/>
                <w:kern w:val="0"/>
                <w:sz w:val="18"/>
                <w:szCs w:val="18"/>
                <w:lang w:eastAsia="en-US"/>
              </w:rPr>
            </w:pPr>
            <w:r>
              <w:rPr>
                <w:rFonts w:ascii="Times New Roman" w:hAnsi="Times New Roman" w:eastAsia="Calibri"/>
                <w:kern w:val="0"/>
                <w:sz w:val="18"/>
                <w:szCs w:val="18"/>
                <w:lang w:eastAsia="en-US"/>
              </w:rPr>
              <w:t>32</w:t>
            </w:r>
          </w:p>
        </w:tc>
        <w:tc>
          <w:tcPr>
            <w:tcW w:w="2078" w:type="pct"/>
            <w:tcBorders>
              <w:top w:val="single" w:color="000000" w:sz="4" w:space="0"/>
              <w:left w:val="single" w:color="000000" w:sz="4" w:space="0"/>
              <w:bottom w:val="single" w:color="000000" w:sz="4" w:space="0"/>
              <w:right w:val="single" w:color="000000" w:sz="4" w:space="0"/>
            </w:tcBorders>
            <w:vAlign w:val="center"/>
          </w:tcPr>
          <w:p>
            <w:pPr>
              <w:snapToGrid w:val="0"/>
              <w:ind w:left="102"/>
              <w:jc w:val="center"/>
              <w:rPr>
                <w:rFonts w:ascii="Times New Roman" w:hAnsi="Times New Roman"/>
                <w:kern w:val="0"/>
                <w:sz w:val="18"/>
                <w:szCs w:val="18"/>
                <w:lang w:eastAsia="zh-CN"/>
              </w:rPr>
            </w:pPr>
            <w:r>
              <w:rPr>
                <w:rFonts w:ascii="Times New Roman" w:hAnsi="Times New Roman"/>
                <w:kern w:val="0"/>
                <w:sz w:val="18"/>
                <w:szCs w:val="18"/>
                <w:lang w:eastAsia="zh-CN"/>
              </w:rPr>
              <w:t>有色金</w:t>
            </w:r>
            <w:r>
              <w:rPr>
                <w:rFonts w:ascii="Times New Roman" w:hAnsi="Times New Roman"/>
                <w:spacing w:val="-3"/>
                <w:kern w:val="0"/>
                <w:sz w:val="18"/>
                <w:szCs w:val="18"/>
                <w:lang w:eastAsia="zh-CN"/>
              </w:rPr>
              <w:t>属</w:t>
            </w:r>
            <w:r>
              <w:rPr>
                <w:rFonts w:ascii="Times New Roman" w:hAnsi="Times New Roman"/>
                <w:kern w:val="0"/>
                <w:sz w:val="18"/>
                <w:szCs w:val="18"/>
                <w:lang w:eastAsia="zh-CN"/>
              </w:rPr>
              <w:t>冶炼</w:t>
            </w:r>
            <w:r>
              <w:rPr>
                <w:rFonts w:ascii="Times New Roman" w:hAnsi="Times New Roman"/>
                <w:spacing w:val="-3"/>
                <w:kern w:val="0"/>
                <w:sz w:val="18"/>
                <w:szCs w:val="18"/>
                <w:lang w:eastAsia="zh-CN"/>
              </w:rPr>
              <w:t>和</w:t>
            </w:r>
            <w:r>
              <w:rPr>
                <w:rFonts w:ascii="Times New Roman" w:hAnsi="Times New Roman"/>
                <w:kern w:val="0"/>
                <w:sz w:val="18"/>
                <w:szCs w:val="18"/>
                <w:lang w:eastAsia="zh-CN"/>
              </w:rPr>
              <w:t>压延</w:t>
            </w:r>
            <w:r>
              <w:rPr>
                <w:rFonts w:ascii="Times New Roman" w:hAnsi="Times New Roman"/>
                <w:spacing w:val="-3"/>
                <w:kern w:val="0"/>
                <w:sz w:val="18"/>
                <w:szCs w:val="18"/>
                <w:lang w:eastAsia="zh-CN"/>
              </w:rPr>
              <w:t>加工</w:t>
            </w:r>
            <w:r>
              <w:rPr>
                <w:rFonts w:ascii="Times New Roman" w:hAnsi="Times New Roman"/>
                <w:kern w:val="0"/>
                <w:sz w:val="18"/>
                <w:szCs w:val="18"/>
                <w:lang w:eastAsia="zh-CN"/>
              </w:rPr>
              <w:t>业</w:t>
            </w:r>
          </w:p>
        </w:tc>
        <w:tc>
          <w:tcPr>
            <w:tcW w:w="2119" w:type="pct"/>
            <w:tcBorders>
              <w:top w:val="single" w:color="000000" w:sz="4" w:space="0"/>
              <w:left w:val="single" w:color="000000" w:sz="4" w:space="0"/>
              <w:bottom w:val="single" w:color="000000" w:sz="4" w:space="0"/>
              <w:right w:val="single" w:color="000000" w:sz="4" w:space="0"/>
            </w:tcBorders>
            <w:vAlign w:val="center"/>
          </w:tcPr>
          <w:p>
            <w:pPr>
              <w:keepNext/>
              <w:snapToGrid w:val="0"/>
              <w:jc w:val="center"/>
              <w:rPr>
                <w:rFonts w:ascii="Times New Roman" w:hAnsi="Times New Roman"/>
                <w:kern w:val="0"/>
                <w:sz w:val="18"/>
                <w:szCs w:val="18"/>
                <w:lang w:eastAsia="zh-CN"/>
              </w:rPr>
            </w:pPr>
            <w:r>
              <w:rPr>
                <w:rFonts w:ascii="Times New Roman" w:hAnsi="Times New Roman"/>
                <w:sz w:val="18"/>
                <w:szCs w:val="18"/>
                <w:lang w:eastAsia="en-US"/>
              </w:rPr>
              <w:t>有色</w:t>
            </w:r>
            <w:r>
              <w:rPr>
                <w:rFonts w:ascii="Times New Roman" w:hAnsi="Times New Roman"/>
                <w:spacing w:val="-3"/>
                <w:sz w:val="18"/>
                <w:szCs w:val="18"/>
                <w:lang w:eastAsia="en-US"/>
              </w:rPr>
              <w:t>金</w:t>
            </w:r>
            <w:r>
              <w:rPr>
                <w:rFonts w:ascii="Times New Roman" w:hAnsi="Times New Roman"/>
                <w:sz w:val="18"/>
                <w:szCs w:val="18"/>
                <w:lang w:eastAsia="en-US"/>
              </w:rPr>
              <w:t>属</w:t>
            </w:r>
            <w:r>
              <w:rPr>
                <w:rFonts w:ascii="Times New Roman" w:hAnsi="Times New Roman"/>
                <w:spacing w:val="-3"/>
                <w:sz w:val="18"/>
                <w:szCs w:val="18"/>
                <w:lang w:eastAsia="en-US"/>
              </w:rPr>
              <w:t>铸</w:t>
            </w:r>
            <w:r>
              <w:rPr>
                <w:rFonts w:ascii="Times New Roman" w:hAnsi="Times New Roman"/>
                <w:sz w:val="18"/>
                <w:szCs w:val="18"/>
                <w:lang w:eastAsia="en-US"/>
              </w:rPr>
              <w:t>造</w:t>
            </w:r>
            <w:r>
              <w:rPr>
                <w:rFonts w:ascii="Times New Roman" w:hAnsi="Times New Roman"/>
                <w:spacing w:val="-3"/>
                <w:sz w:val="18"/>
                <w:szCs w:val="18"/>
                <w:lang w:eastAsia="en-US"/>
              </w:rPr>
              <w:t>过</w:t>
            </w:r>
            <w:r>
              <w:rPr>
                <w:rFonts w:ascii="Times New Roman" w:hAnsi="Times New Roman"/>
                <w:sz w:val="18"/>
                <w:szCs w:val="18"/>
                <w:lang w:eastAsia="en-US"/>
              </w:rPr>
              <w:t>程</w:t>
            </w:r>
          </w:p>
        </w:tc>
      </w:tr>
      <w:tr>
        <w:tblPrEx>
          <w:tblCellMar>
            <w:top w:w="0" w:type="dxa"/>
            <w:left w:w="0" w:type="dxa"/>
            <w:bottom w:w="0" w:type="dxa"/>
            <w:right w:w="0" w:type="dxa"/>
          </w:tblCellMar>
        </w:tblPrEx>
        <w:trPr>
          <w:trHeight w:val="283" w:hRule="atLeast"/>
          <w:jc w:val="center"/>
        </w:trPr>
        <w:tc>
          <w:tcPr>
            <w:tcW w:w="803" w:type="pct"/>
            <w:tcBorders>
              <w:top w:val="single" w:color="000000" w:sz="4" w:space="0"/>
              <w:left w:val="single" w:color="000000" w:sz="4" w:space="0"/>
              <w:bottom w:val="single" w:color="000000" w:sz="4" w:space="0"/>
              <w:right w:val="single" w:color="000000" w:sz="4" w:space="0"/>
            </w:tcBorders>
            <w:vAlign w:val="center"/>
          </w:tcPr>
          <w:p>
            <w:pPr>
              <w:snapToGrid w:val="0"/>
              <w:ind w:left="463" w:right="461"/>
              <w:jc w:val="center"/>
              <w:rPr>
                <w:rFonts w:ascii="Times New Roman" w:hAnsi="Times New Roman" w:eastAsia="Calibri"/>
                <w:kern w:val="0"/>
                <w:sz w:val="18"/>
                <w:szCs w:val="18"/>
                <w:lang w:eastAsia="en-US"/>
              </w:rPr>
            </w:pPr>
            <w:r>
              <w:rPr>
                <w:rFonts w:ascii="Times New Roman" w:hAnsi="Times New Roman" w:eastAsia="Calibri"/>
                <w:kern w:val="0"/>
                <w:sz w:val="18"/>
                <w:szCs w:val="18"/>
                <w:lang w:eastAsia="en-US"/>
              </w:rPr>
              <w:t>33</w:t>
            </w:r>
          </w:p>
        </w:tc>
        <w:tc>
          <w:tcPr>
            <w:tcW w:w="2078" w:type="pct"/>
            <w:tcBorders>
              <w:top w:val="single" w:color="000000" w:sz="4" w:space="0"/>
              <w:left w:val="single" w:color="000000" w:sz="4" w:space="0"/>
              <w:bottom w:val="single" w:color="000000" w:sz="4" w:space="0"/>
              <w:right w:val="single" w:color="000000" w:sz="4" w:space="0"/>
            </w:tcBorders>
            <w:vAlign w:val="center"/>
          </w:tcPr>
          <w:p>
            <w:pPr>
              <w:snapToGrid w:val="0"/>
              <w:ind w:left="102"/>
              <w:jc w:val="center"/>
              <w:rPr>
                <w:rFonts w:ascii="Times New Roman" w:hAnsi="Times New Roman"/>
                <w:kern w:val="0"/>
                <w:sz w:val="18"/>
                <w:szCs w:val="18"/>
                <w:lang w:eastAsia="en-US"/>
              </w:rPr>
            </w:pPr>
            <w:r>
              <w:rPr>
                <w:rFonts w:ascii="Times New Roman" w:hAnsi="Times New Roman"/>
                <w:kern w:val="0"/>
                <w:sz w:val="18"/>
                <w:szCs w:val="18"/>
                <w:lang w:eastAsia="en-US"/>
              </w:rPr>
              <w:t>金属制</w:t>
            </w:r>
            <w:r>
              <w:rPr>
                <w:rFonts w:ascii="Times New Roman" w:hAnsi="Times New Roman"/>
                <w:spacing w:val="-3"/>
                <w:kern w:val="0"/>
                <w:sz w:val="18"/>
                <w:szCs w:val="18"/>
                <w:lang w:eastAsia="en-US"/>
              </w:rPr>
              <w:t>品</w:t>
            </w:r>
            <w:r>
              <w:rPr>
                <w:rFonts w:ascii="Times New Roman" w:hAnsi="Times New Roman"/>
                <w:kern w:val="0"/>
                <w:sz w:val="18"/>
                <w:szCs w:val="18"/>
                <w:lang w:eastAsia="en-US"/>
              </w:rPr>
              <w:t>业</w:t>
            </w:r>
          </w:p>
        </w:tc>
        <w:tc>
          <w:tcPr>
            <w:tcW w:w="2119" w:type="pct"/>
            <w:tcBorders>
              <w:top w:val="single" w:color="000000" w:sz="4" w:space="0"/>
              <w:left w:val="single" w:color="000000" w:sz="4" w:space="0"/>
              <w:bottom w:val="single" w:color="000000" w:sz="4" w:space="0"/>
              <w:right w:val="single" w:color="000000" w:sz="4" w:space="0"/>
            </w:tcBorders>
            <w:vAlign w:val="center"/>
          </w:tcPr>
          <w:p>
            <w:pPr>
              <w:keepNext/>
              <w:snapToGrid w:val="0"/>
              <w:jc w:val="center"/>
              <w:rPr>
                <w:rFonts w:ascii="Times New Roman" w:hAnsi="Times New Roman"/>
                <w:kern w:val="0"/>
                <w:sz w:val="18"/>
                <w:szCs w:val="18"/>
                <w:lang w:eastAsia="zh-CN"/>
              </w:rPr>
            </w:pPr>
            <w:r>
              <w:rPr>
                <w:rFonts w:ascii="Times New Roman" w:hAnsi="Times New Roman"/>
                <w:sz w:val="18"/>
                <w:szCs w:val="18"/>
                <w:lang w:eastAsia="en-US"/>
              </w:rPr>
              <w:t>表面</w:t>
            </w:r>
            <w:r>
              <w:rPr>
                <w:rFonts w:ascii="Times New Roman" w:hAnsi="Times New Roman"/>
                <w:spacing w:val="-3"/>
                <w:sz w:val="18"/>
                <w:szCs w:val="18"/>
                <w:lang w:eastAsia="en-US"/>
              </w:rPr>
              <w:t>喷</w:t>
            </w:r>
            <w:r>
              <w:rPr>
                <w:rFonts w:ascii="Times New Roman" w:hAnsi="Times New Roman"/>
                <w:sz w:val="18"/>
                <w:szCs w:val="18"/>
                <w:lang w:eastAsia="en-US"/>
              </w:rPr>
              <w:t>涂</w:t>
            </w:r>
          </w:p>
        </w:tc>
      </w:tr>
      <w:tr>
        <w:tblPrEx>
          <w:tblCellMar>
            <w:top w:w="0" w:type="dxa"/>
            <w:left w:w="0" w:type="dxa"/>
            <w:bottom w:w="0" w:type="dxa"/>
            <w:right w:w="0" w:type="dxa"/>
          </w:tblCellMar>
        </w:tblPrEx>
        <w:trPr>
          <w:trHeight w:val="283" w:hRule="atLeast"/>
          <w:jc w:val="center"/>
        </w:trPr>
        <w:tc>
          <w:tcPr>
            <w:tcW w:w="803" w:type="pct"/>
            <w:tcBorders>
              <w:top w:val="single" w:color="000000" w:sz="4" w:space="0"/>
              <w:left w:val="single" w:color="000000" w:sz="4" w:space="0"/>
              <w:bottom w:val="single" w:color="000000" w:sz="4" w:space="0"/>
              <w:right w:val="single" w:color="000000" w:sz="4" w:space="0"/>
            </w:tcBorders>
            <w:vAlign w:val="center"/>
          </w:tcPr>
          <w:p>
            <w:pPr>
              <w:snapToGrid w:val="0"/>
              <w:ind w:left="463" w:right="461"/>
              <w:jc w:val="center"/>
              <w:rPr>
                <w:rFonts w:ascii="Times New Roman" w:hAnsi="Times New Roman" w:eastAsia="Calibri"/>
                <w:kern w:val="0"/>
                <w:sz w:val="18"/>
                <w:szCs w:val="18"/>
                <w:lang w:eastAsia="en-US"/>
              </w:rPr>
            </w:pPr>
            <w:r>
              <w:rPr>
                <w:rFonts w:ascii="Times New Roman" w:hAnsi="Times New Roman" w:eastAsia="Calibri"/>
                <w:kern w:val="0"/>
                <w:sz w:val="18"/>
                <w:szCs w:val="18"/>
                <w:lang w:eastAsia="en-US"/>
              </w:rPr>
              <w:t>34</w:t>
            </w:r>
          </w:p>
        </w:tc>
        <w:tc>
          <w:tcPr>
            <w:tcW w:w="2078" w:type="pct"/>
            <w:tcBorders>
              <w:top w:val="single" w:color="000000" w:sz="4" w:space="0"/>
              <w:left w:val="single" w:color="000000" w:sz="4" w:space="0"/>
              <w:bottom w:val="single" w:color="000000" w:sz="4" w:space="0"/>
              <w:right w:val="single" w:color="000000" w:sz="4" w:space="0"/>
            </w:tcBorders>
            <w:vAlign w:val="center"/>
          </w:tcPr>
          <w:p>
            <w:pPr>
              <w:snapToGrid w:val="0"/>
              <w:ind w:left="102"/>
              <w:jc w:val="center"/>
              <w:rPr>
                <w:rFonts w:ascii="Times New Roman" w:hAnsi="Times New Roman"/>
                <w:kern w:val="0"/>
                <w:sz w:val="18"/>
                <w:szCs w:val="18"/>
                <w:lang w:eastAsia="en-US"/>
              </w:rPr>
            </w:pPr>
            <w:r>
              <w:rPr>
                <w:rFonts w:ascii="Times New Roman" w:hAnsi="Times New Roman"/>
                <w:kern w:val="0"/>
                <w:sz w:val="18"/>
                <w:szCs w:val="18"/>
                <w:lang w:eastAsia="en-US"/>
              </w:rPr>
              <w:t>通用设</w:t>
            </w:r>
            <w:r>
              <w:rPr>
                <w:rFonts w:ascii="Times New Roman" w:hAnsi="Times New Roman"/>
                <w:spacing w:val="-3"/>
                <w:kern w:val="0"/>
                <w:sz w:val="18"/>
                <w:szCs w:val="18"/>
                <w:lang w:eastAsia="en-US"/>
              </w:rPr>
              <w:t>备</w:t>
            </w:r>
            <w:r>
              <w:rPr>
                <w:rFonts w:ascii="Times New Roman" w:hAnsi="Times New Roman"/>
                <w:kern w:val="0"/>
                <w:sz w:val="18"/>
                <w:szCs w:val="18"/>
                <w:lang w:eastAsia="en-US"/>
              </w:rPr>
              <w:t>制造业</w:t>
            </w:r>
          </w:p>
        </w:tc>
        <w:tc>
          <w:tcPr>
            <w:tcW w:w="2119" w:type="pct"/>
            <w:tcBorders>
              <w:top w:val="single" w:color="000000" w:sz="4" w:space="0"/>
              <w:left w:val="single" w:color="000000" w:sz="4" w:space="0"/>
              <w:bottom w:val="single" w:color="000000" w:sz="4" w:space="0"/>
              <w:right w:val="single" w:color="000000" w:sz="4" w:space="0"/>
            </w:tcBorders>
            <w:vAlign w:val="center"/>
          </w:tcPr>
          <w:p>
            <w:pPr>
              <w:keepNext/>
              <w:snapToGrid w:val="0"/>
              <w:jc w:val="center"/>
              <w:rPr>
                <w:rFonts w:ascii="Times New Roman" w:hAnsi="Times New Roman"/>
                <w:kern w:val="0"/>
                <w:sz w:val="18"/>
                <w:szCs w:val="18"/>
                <w:lang w:eastAsia="zh-CN"/>
              </w:rPr>
            </w:pPr>
            <w:r>
              <w:rPr>
                <w:rFonts w:ascii="Times New Roman" w:hAnsi="Times New Roman"/>
                <w:sz w:val="18"/>
                <w:szCs w:val="18"/>
                <w:lang w:eastAsia="en-US"/>
              </w:rPr>
              <w:t>表面</w:t>
            </w:r>
            <w:r>
              <w:rPr>
                <w:rFonts w:ascii="Times New Roman" w:hAnsi="Times New Roman"/>
                <w:spacing w:val="-3"/>
                <w:sz w:val="18"/>
                <w:szCs w:val="18"/>
                <w:lang w:eastAsia="en-US"/>
              </w:rPr>
              <w:t>喷</w:t>
            </w:r>
            <w:r>
              <w:rPr>
                <w:rFonts w:ascii="Times New Roman" w:hAnsi="Times New Roman"/>
                <w:sz w:val="18"/>
                <w:szCs w:val="18"/>
                <w:lang w:eastAsia="en-US"/>
              </w:rPr>
              <w:t>涂</w:t>
            </w:r>
          </w:p>
        </w:tc>
      </w:tr>
      <w:tr>
        <w:tblPrEx>
          <w:tblCellMar>
            <w:top w:w="0" w:type="dxa"/>
            <w:left w:w="0" w:type="dxa"/>
            <w:bottom w:w="0" w:type="dxa"/>
            <w:right w:w="0" w:type="dxa"/>
          </w:tblCellMar>
        </w:tblPrEx>
        <w:trPr>
          <w:trHeight w:val="283" w:hRule="atLeast"/>
          <w:jc w:val="center"/>
        </w:trPr>
        <w:tc>
          <w:tcPr>
            <w:tcW w:w="803" w:type="pct"/>
            <w:tcBorders>
              <w:top w:val="single" w:color="000000" w:sz="4" w:space="0"/>
              <w:left w:val="single" w:color="000000" w:sz="4" w:space="0"/>
              <w:bottom w:val="single" w:color="000000" w:sz="4" w:space="0"/>
              <w:right w:val="single" w:color="000000" w:sz="4" w:space="0"/>
            </w:tcBorders>
            <w:vAlign w:val="center"/>
          </w:tcPr>
          <w:p>
            <w:pPr>
              <w:snapToGrid w:val="0"/>
              <w:ind w:left="463" w:right="461"/>
              <w:jc w:val="center"/>
              <w:rPr>
                <w:rFonts w:ascii="Times New Roman" w:hAnsi="Times New Roman" w:eastAsia="Calibri"/>
                <w:kern w:val="0"/>
                <w:sz w:val="18"/>
                <w:szCs w:val="18"/>
                <w:lang w:eastAsia="en-US"/>
              </w:rPr>
            </w:pPr>
            <w:r>
              <w:rPr>
                <w:rFonts w:ascii="Times New Roman" w:hAnsi="Times New Roman" w:eastAsia="Calibri"/>
                <w:kern w:val="0"/>
                <w:sz w:val="18"/>
                <w:szCs w:val="18"/>
                <w:lang w:eastAsia="en-US"/>
              </w:rPr>
              <w:t>35</w:t>
            </w:r>
          </w:p>
        </w:tc>
        <w:tc>
          <w:tcPr>
            <w:tcW w:w="2078" w:type="pct"/>
            <w:tcBorders>
              <w:top w:val="single" w:color="000000" w:sz="4" w:space="0"/>
              <w:left w:val="single" w:color="000000" w:sz="4" w:space="0"/>
              <w:bottom w:val="single" w:color="000000" w:sz="4" w:space="0"/>
              <w:right w:val="single" w:color="000000" w:sz="4" w:space="0"/>
            </w:tcBorders>
            <w:vAlign w:val="center"/>
          </w:tcPr>
          <w:p>
            <w:pPr>
              <w:snapToGrid w:val="0"/>
              <w:ind w:left="102"/>
              <w:jc w:val="center"/>
              <w:rPr>
                <w:rFonts w:ascii="Times New Roman" w:hAnsi="Times New Roman"/>
                <w:kern w:val="0"/>
                <w:sz w:val="18"/>
                <w:szCs w:val="18"/>
                <w:lang w:eastAsia="en-US"/>
              </w:rPr>
            </w:pPr>
            <w:r>
              <w:rPr>
                <w:rFonts w:ascii="Times New Roman" w:hAnsi="Times New Roman"/>
                <w:kern w:val="0"/>
                <w:sz w:val="18"/>
                <w:szCs w:val="18"/>
                <w:lang w:eastAsia="en-US"/>
              </w:rPr>
              <w:t>专用设</w:t>
            </w:r>
            <w:r>
              <w:rPr>
                <w:rFonts w:ascii="Times New Roman" w:hAnsi="Times New Roman"/>
                <w:spacing w:val="-3"/>
                <w:kern w:val="0"/>
                <w:sz w:val="18"/>
                <w:szCs w:val="18"/>
                <w:lang w:eastAsia="en-US"/>
              </w:rPr>
              <w:t>备</w:t>
            </w:r>
            <w:r>
              <w:rPr>
                <w:rFonts w:ascii="Times New Roman" w:hAnsi="Times New Roman"/>
                <w:kern w:val="0"/>
                <w:sz w:val="18"/>
                <w:szCs w:val="18"/>
                <w:lang w:eastAsia="en-US"/>
              </w:rPr>
              <w:t>制造业</w:t>
            </w:r>
          </w:p>
        </w:tc>
        <w:tc>
          <w:tcPr>
            <w:tcW w:w="2119" w:type="pct"/>
            <w:tcBorders>
              <w:top w:val="single" w:color="000000" w:sz="4" w:space="0"/>
              <w:left w:val="single" w:color="000000" w:sz="4" w:space="0"/>
              <w:bottom w:val="single" w:color="000000" w:sz="4" w:space="0"/>
              <w:right w:val="single" w:color="000000" w:sz="4" w:space="0"/>
            </w:tcBorders>
            <w:vAlign w:val="center"/>
          </w:tcPr>
          <w:p>
            <w:pPr>
              <w:keepNext/>
              <w:snapToGrid w:val="0"/>
              <w:jc w:val="center"/>
              <w:rPr>
                <w:rFonts w:ascii="Times New Roman" w:hAnsi="Times New Roman"/>
                <w:kern w:val="0"/>
                <w:sz w:val="18"/>
                <w:szCs w:val="18"/>
                <w:lang w:eastAsia="en-US"/>
              </w:rPr>
            </w:pPr>
            <w:r>
              <w:rPr>
                <w:rFonts w:ascii="Times New Roman" w:hAnsi="Times New Roman"/>
                <w:sz w:val="18"/>
                <w:szCs w:val="18"/>
                <w:lang w:eastAsia="en-US"/>
              </w:rPr>
              <w:t>表面</w:t>
            </w:r>
            <w:r>
              <w:rPr>
                <w:rFonts w:ascii="Times New Roman" w:hAnsi="Times New Roman"/>
                <w:spacing w:val="-3"/>
                <w:sz w:val="18"/>
                <w:szCs w:val="18"/>
                <w:lang w:eastAsia="en-US"/>
              </w:rPr>
              <w:t>喷</w:t>
            </w:r>
            <w:r>
              <w:rPr>
                <w:rFonts w:ascii="Times New Roman" w:hAnsi="Times New Roman"/>
                <w:sz w:val="18"/>
                <w:szCs w:val="18"/>
                <w:lang w:eastAsia="en-US"/>
              </w:rPr>
              <w:t>涂</w:t>
            </w:r>
          </w:p>
        </w:tc>
      </w:tr>
      <w:tr>
        <w:tblPrEx>
          <w:tblCellMar>
            <w:top w:w="0" w:type="dxa"/>
            <w:left w:w="0" w:type="dxa"/>
            <w:bottom w:w="0" w:type="dxa"/>
            <w:right w:w="0" w:type="dxa"/>
          </w:tblCellMar>
        </w:tblPrEx>
        <w:trPr>
          <w:trHeight w:val="283" w:hRule="atLeast"/>
          <w:jc w:val="center"/>
        </w:trPr>
        <w:tc>
          <w:tcPr>
            <w:tcW w:w="803" w:type="pct"/>
            <w:tcBorders>
              <w:top w:val="single" w:color="000000" w:sz="4" w:space="0"/>
              <w:left w:val="single" w:color="000000" w:sz="4" w:space="0"/>
              <w:bottom w:val="single" w:color="000000" w:sz="4" w:space="0"/>
              <w:right w:val="single" w:color="000000" w:sz="4" w:space="0"/>
            </w:tcBorders>
            <w:vAlign w:val="center"/>
          </w:tcPr>
          <w:p>
            <w:pPr>
              <w:snapToGrid w:val="0"/>
              <w:ind w:left="463" w:right="461"/>
              <w:jc w:val="center"/>
              <w:rPr>
                <w:rFonts w:ascii="Times New Roman" w:hAnsi="Times New Roman" w:eastAsia="Calibri"/>
                <w:kern w:val="0"/>
                <w:sz w:val="18"/>
                <w:szCs w:val="18"/>
                <w:lang w:eastAsia="en-US"/>
              </w:rPr>
            </w:pPr>
            <w:r>
              <w:rPr>
                <w:rFonts w:ascii="Times New Roman" w:hAnsi="Times New Roman" w:eastAsia="Calibri"/>
                <w:kern w:val="0"/>
                <w:sz w:val="18"/>
                <w:szCs w:val="18"/>
                <w:lang w:eastAsia="en-US"/>
              </w:rPr>
              <w:t>36</w:t>
            </w:r>
          </w:p>
        </w:tc>
        <w:tc>
          <w:tcPr>
            <w:tcW w:w="2078" w:type="pct"/>
            <w:tcBorders>
              <w:top w:val="single" w:color="000000" w:sz="4" w:space="0"/>
              <w:left w:val="single" w:color="000000" w:sz="4" w:space="0"/>
              <w:bottom w:val="single" w:color="000000" w:sz="4" w:space="0"/>
              <w:right w:val="single" w:color="000000" w:sz="4" w:space="0"/>
            </w:tcBorders>
            <w:vAlign w:val="center"/>
          </w:tcPr>
          <w:p>
            <w:pPr>
              <w:snapToGrid w:val="0"/>
              <w:ind w:left="102"/>
              <w:jc w:val="center"/>
              <w:rPr>
                <w:rFonts w:ascii="Times New Roman" w:hAnsi="Times New Roman"/>
                <w:kern w:val="0"/>
                <w:sz w:val="18"/>
                <w:szCs w:val="18"/>
                <w:lang w:eastAsia="en-US"/>
              </w:rPr>
            </w:pPr>
            <w:r>
              <w:rPr>
                <w:rFonts w:ascii="Times New Roman" w:hAnsi="Times New Roman"/>
                <w:kern w:val="0"/>
                <w:sz w:val="18"/>
                <w:szCs w:val="18"/>
                <w:lang w:eastAsia="en-US"/>
              </w:rPr>
              <w:t>汽车制</w:t>
            </w:r>
            <w:r>
              <w:rPr>
                <w:rFonts w:ascii="Times New Roman" w:hAnsi="Times New Roman"/>
                <w:spacing w:val="-3"/>
                <w:kern w:val="0"/>
                <w:sz w:val="18"/>
                <w:szCs w:val="18"/>
                <w:lang w:eastAsia="en-US"/>
              </w:rPr>
              <w:t>造</w:t>
            </w:r>
            <w:r>
              <w:rPr>
                <w:rFonts w:ascii="Times New Roman" w:hAnsi="Times New Roman"/>
                <w:kern w:val="0"/>
                <w:sz w:val="18"/>
                <w:szCs w:val="18"/>
                <w:lang w:eastAsia="en-US"/>
              </w:rPr>
              <w:t>业</w:t>
            </w:r>
          </w:p>
        </w:tc>
        <w:tc>
          <w:tcPr>
            <w:tcW w:w="2119" w:type="pct"/>
            <w:tcBorders>
              <w:top w:val="single" w:color="000000" w:sz="4" w:space="0"/>
              <w:left w:val="single" w:color="000000" w:sz="4" w:space="0"/>
              <w:bottom w:val="single" w:color="000000" w:sz="4" w:space="0"/>
              <w:right w:val="single" w:color="000000" w:sz="4" w:space="0"/>
            </w:tcBorders>
            <w:vAlign w:val="center"/>
          </w:tcPr>
          <w:p>
            <w:pPr>
              <w:keepNext/>
              <w:snapToGrid w:val="0"/>
              <w:jc w:val="center"/>
              <w:rPr>
                <w:rFonts w:ascii="Times New Roman" w:hAnsi="Times New Roman"/>
                <w:kern w:val="0"/>
                <w:sz w:val="18"/>
                <w:szCs w:val="18"/>
                <w:lang w:eastAsia="zh-CN"/>
              </w:rPr>
            </w:pPr>
            <w:r>
              <w:rPr>
                <w:rFonts w:ascii="Times New Roman" w:hAnsi="Times New Roman"/>
                <w:sz w:val="18"/>
                <w:szCs w:val="18"/>
                <w:lang w:eastAsia="en-US"/>
              </w:rPr>
              <w:t>表面</w:t>
            </w:r>
            <w:r>
              <w:rPr>
                <w:rFonts w:ascii="Times New Roman" w:hAnsi="Times New Roman"/>
                <w:spacing w:val="-3"/>
                <w:sz w:val="18"/>
                <w:szCs w:val="18"/>
                <w:lang w:eastAsia="en-US"/>
              </w:rPr>
              <w:t>喷</w:t>
            </w:r>
            <w:r>
              <w:rPr>
                <w:rFonts w:ascii="Times New Roman" w:hAnsi="Times New Roman"/>
                <w:sz w:val="18"/>
                <w:szCs w:val="18"/>
                <w:lang w:eastAsia="en-US"/>
              </w:rPr>
              <w:t>涂</w:t>
            </w:r>
          </w:p>
        </w:tc>
      </w:tr>
      <w:tr>
        <w:tblPrEx>
          <w:tblCellMar>
            <w:top w:w="0" w:type="dxa"/>
            <w:left w:w="0" w:type="dxa"/>
            <w:bottom w:w="0" w:type="dxa"/>
            <w:right w:w="0" w:type="dxa"/>
          </w:tblCellMar>
        </w:tblPrEx>
        <w:trPr>
          <w:trHeight w:val="283" w:hRule="atLeast"/>
          <w:jc w:val="center"/>
        </w:trPr>
        <w:tc>
          <w:tcPr>
            <w:tcW w:w="803" w:type="pct"/>
            <w:tcBorders>
              <w:top w:val="single" w:color="000000" w:sz="4" w:space="0"/>
              <w:left w:val="single" w:color="000000" w:sz="4" w:space="0"/>
              <w:bottom w:val="single" w:color="000000" w:sz="4" w:space="0"/>
              <w:right w:val="single" w:color="000000" w:sz="4" w:space="0"/>
            </w:tcBorders>
            <w:vAlign w:val="center"/>
          </w:tcPr>
          <w:p>
            <w:pPr>
              <w:snapToGrid w:val="0"/>
              <w:ind w:left="463" w:right="461"/>
              <w:jc w:val="center"/>
              <w:rPr>
                <w:rFonts w:ascii="Times New Roman" w:hAnsi="Times New Roman" w:eastAsia="Calibri"/>
                <w:kern w:val="0"/>
                <w:sz w:val="18"/>
                <w:szCs w:val="18"/>
                <w:lang w:eastAsia="en-US"/>
              </w:rPr>
            </w:pPr>
            <w:r>
              <w:rPr>
                <w:rFonts w:ascii="Times New Roman" w:hAnsi="Times New Roman" w:eastAsia="Calibri"/>
                <w:spacing w:val="-4"/>
                <w:kern w:val="0"/>
                <w:sz w:val="18"/>
                <w:szCs w:val="18"/>
                <w:lang w:eastAsia="en-US"/>
              </w:rPr>
              <w:t>37</w:t>
            </w:r>
          </w:p>
        </w:tc>
        <w:tc>
          <w:tcPr>
            <w:tcW w:w="2078" w:type="pct"/>
            <w:tcBorders>
              <w:top w:val="single" w:color="000000" w:sz="4" w:space="0"/>
              <w:left w:val="single" w:color="000000" w:sz="4" w:space="0"/>
              <w:bottom w:val="single" w:color="000000" w:sz="4" w:space="0"/>
              <w:right w:val="single" w:color="000000" w:sz="4" w:space="0"/>
            </w:tcBorders>
            <w:vAlign w:val="center"/>
          </w:tcPr>
          <w:p>
            <w:pPr>
              <w:snapToGrid w:val="0"/>
              <w:ind w:left="102"/>
              <w:jc w:val="center"/>
              <w:rPr>
                <w:rFonts w:ascii="Times New Roman" w:hAnsi="Times New Roman"/>
                <w:kern w:val="0"/>
                <w:sz w:val="18"/>
                <w:szCs w:val="18"/>
                <w:lang w:eastAsia="zh-CN"/>
              </w:rPr>
            </w:pPr>
            <w:r>
              <w:rPr>
                <w:rFonts w:ascii="Times New Roman" w:hAnsi="Times New Roman"/>
                <w:kern w:val="0"/>
                <w:sz w:val="18"/>
                <w:szCs w:val="18"/>
                <w:lang w:eastAsia="zh-CN"/>
              </w:rPr>
              <w:t>铁路、</w:t>
            </w:r>
            <w:r>
              <w:rPr>
                <w:rFonts w:ascii="Times New Roman" w:hAnsi="Times New Roman"/>
                <w:spacing w:val="-3"/>
                <w:kern w:val="0"/>
                <w:sz w:val="18"/>
                <w:szCs w:val="18"/>
                <w:lang w:eastAsia="zh-CN"/>
              </w:rPr>
              <w:t>船</w:t>
            </w:r>
            <w:r>
              <w:rPr>
                <w:rFonts w:ascii="Times New Roman" w:hAnsi="Times New Roman"/>
                <w:kern w:val="0"/>
                <w:sz w:val="18"/>
                <w:szCs w:val="18"/>
                <w:lang w:eastAsia="zh-CN"/>
              </w:rPr>
              <w:t>舶、</w:t>
            </w:r>
            <w:r>
              <w:rPr>
                <w:rFonts w:ascii="Times New Roman" w:hAnsi="Times New Roman"/>
                <w:spacing w:val="-3"/>
                <w:kern w:val="0"/>
                <w:sz w:val="18"/>
                <w:szCs w:val="18"/>
                <w:lang w:eastAsia="zh-CN"/>
              </w:rPr>
              <w:t>航</w:t>
            </w:r>
            <w:r>
              <w:rPr>
                <w:rFonts w:ascii="Times New Roman" w:hAnsi="Times New Roman"/>
                <w:kern w:val="0"/>
                <w:sz w:val="18"/>
                <w:szCs w:val="18"/>
                <w:lang w:eastAsia="zh-CN"/>
              </w:rPr>
              <w:t>空航</w:t>
            </w:r>
            <w:r>
              <w:rPr>
                <w:rFonts w:ascii="Times New Roman" w:hAnsi="Times New Roman"/>
                <w:spacing w:val="-3"/>
                <w:kern w:val="0"/>
                <w:sz w:val="18"/>
                <w:szCs w:val="18"/>
                <w:lang w:eastAsia="zh-CN"/>
              </w:rPr>
              <w:t>天和</w:t>
            </w:r>
            <w:r>
              <w:rPr>
                <w:rFonts w:ascii="Times New Roman" w:hAnsi="Times New Roman"/>
                <w:kern w:val="0"/>
                <w:sz w:val="18"/>
                <w:szCs w:val="18"/>
                <w:lang w:eastAsia="zh-CN"/>
              </w:rPr>
              <w:t>其他运输设</w:t>
            </w:r>
            <w:r>
              <w:rPr>
                <w:rFonts w:ascii="Times New Roman" w:hAnsi="Times New Roman"/>
                <w:spacing w:val="-3"/>
                <w:kern w:val="0"/>
                <w:sz w:val="18"/>
                <w:szCs w:val="18"/>
                <w:lang w:eastAsia="zh-CN"/>
              </w:rPr>
              <w:t>备</w:t>
            </w:r>
            <w:r>
              <w:rPr>
                <w:rFonts w:ascii="Times New Roman" w:hAnsi="Times New Roman"/>
                <w:kern w:val="0"/>
                <w:sz w:val="18"/>
                <w:szCs w:val="18"/>
                <w:lang w:eastAsia="zh-CN"/>
              </w:rPr>
              <w:t>制造业</w:t>
            </w:r>
          </w:p>
        </w:tc>
        <w:tc>
          <w:tcPr>
            <w:tcW w:w="2119" w:type="pct"/>
            <w:tcBorders>
              <w:top w:val="single" w:color="000000" w:sz="4" w:space="0"/>
              <w:left w:val="single" w:color="000000" w:sz="4" w:space="0"/>
              <w:bottom w:val="single" w:color="000000" w:sz="4" w:space="0"/>
              <w:right w:val="single" w:color="000000" w:sz="4" w:space="0"/>
            </w:tcBorders>
            <w:vAlign w:val="center"/>
          </w:tcPr>
          <w:p>
            <w:pPr>
              <w:keepNext/>
              <w:snapToGrid w:val="0"/>
              <w:jc w:val="center"/>
              <w:rPr>
                <w:rFonts w:ascii="Times New Roman" w:hAnsi="Times New Roman"/>
                <w:kern w:val="0"/>
                <w:sz w:val="18"/>
                <w:szCs w:val="18"/>
                <w:lang w:eastAsia="zh-CN"/>
              </w:rPr>
            </w:pPr>
            <w:r>
              <w:rPr>
                <w:rFonts w:ascii="Times New Roman" w:hAnsi="Times New Roman"/>
                <w:sz w:val="18"/>
                <w:szCs w:val="18"/>
                <w:lang w:eastAsia="en-US"/>
              </w:rPr>
              <w:t>表面</w:t>
            </w:r>
            <w:r>
              <w:rPr>
                <w:rFonts w:ascii="Times New Roman" w:hAnsi="Times New Roman"/>
                <w:spacing w:val="-3"/>
                <w:sz w:val="18"/>
                <w:szCs w:val="18"/>
                <w:lang w:eastAsia="en-US"/>
              </w:rPr>
              <w:t>喷</w:t>
            </w:r>
            <w:r>
              <w:rPr>
                <w:rFonts w:ascii="Times New Roman" w:hAnsi="Times New Roman"/>
                <w:sz w:val="18"/>
                <w:szCs w:val="18"/>
                <w:lang w:eastAsia="en-US"/>
              </w:rPr>
              <w:t>涂</w:t>
            </w:r>
          </w:p>
        </w:tc>
      </w:tr>
      <w:tr>
        <w:tblPrEx>
          <w:tblCellMar>
            <w:top w:w="0" w:type="dxa"/>
            <w:left w:w="0" w:type="dxa"/>
            <w:bottom w:w="0" w:type="dxa"/>
            <w:right w:w="0" w:type="dxa"/>
          </w:tblCellMar>
        </w:tblPrEx>
        <w:trPr>
          <w:trHeight w:val="283" w:hRule="atLeast"/>
          <w:jc w:val="center"/>
        </w:trPr>
        <w:tc>
          <w:tcPr>
            <w:tcW w:w="803" w:type="pct"/>
            <w:tcBorders>
              <w:top w:val="single" w:color="000000" w:sz="4" w:space="0"/>
              <w:left w:val="single" w:color="000000" w:sz="4" w:space="0"/>
              <w:bottom w:val="single" w:color="000000" w:sz="4" w:space="0"/>
              <w:right w:val="single" w:color="000000" w:sz="4" w:space="0"/>
            </w:tcBorders>
            <w:vAlign w:val="center"/>
          </w:tcPr>
          <w:p>
            <w:pPr>
              <w:snapToGrid w:val="0"/>
              <w:ind w:left="463" w:right="461"/>
              <w:jc w:val="center"/>
              <w:rPr>
                <w:rFonts w:ascii="Times New Roman" w:hAnsi="Times New Roman" w:eastAsia="Calibri"/>
                <w:kern w:val="0"/>
                <w:sz w:val="18"/>
                <w:szCs w:val="18"/>
                <w:lang w:eastAsia="en-US"/>
              </w:rPr>
            </w:pPr>
            <w:r>
              <w:rPr>
                <w:rFonts w:ascii="Times New Roman" w:hAnsi="Times New Roman" w:eastAsia="Calibri"/>
                <w:kern w:val="0"/>
                <w:sz w:val="18"/>
                <w:szCs w:val="18"/>
                <w:lang w:eastAsia="en-US"/>
              </w:rPr>
              <w:t>38</w:t>
            </w:r>
          </w:p>
        </w:tc>
        <w:tc>
          <w:tcPr>
            <w:tcW w:w="2078" w:type="pct"/>
            <w:tcBorders>
              <w:top w:val="single" w:color="000000" w:sz="4" w:space="0"/>
              <w:left w:val="single" w:color="000000" w:sz="4" w:space="0"/>
              <w:bottom w:val="single" w:color="000000" w:sz="4" w:space="0"/>
              <w:right w:val="single" w:color="000000" w:sz="4" w:space="0"/>
            </w:tcBorders>
            <w:vAlign w:val="center"/>
          </w:tcPr>
          <w:p>
            <w:pPr>
              <w:snapToGrid w:val="0"/>
              <w:ind w:left="102"/>
              <w:jc w:val="center"/>
              <w:rPr>
                <w:rFonts w:ascii="Times New Roman" w:hAnsi="Times New Roman"/>
                <w:kern w:val="0"/>
                <w:sz w:val="18"/>
                <w:szCs w:val="18"/>
                <w:lang w:eastAsia="zh-CN"/>
              </w:rPr>
            </w:pPr>
            <w:r>
              <w:rPr>
                <w:rFonts w:ascii="Times New Roman" w:hAnsi="Times New Roman"/>
                <w:kern w:val="0"/>
                <w:sz w:val="18"/>
                <w:szCs w:val="18"/>
                <w:lang w:eastAsia="zh-CN"/>
              </w:rPr>
              <w:t>电气机</w:t>
            </w:r>
            <w:r>
              <w:rPr>
                <w:rFonts w:ascii="Times New Roman" w:hAnsi="Times New Roman"/>
                <w:spacing w:val="-3"/>
                <w:kern w:val="0"/>
                <w:sz w:val="18"/>
                <w:szCs w:val="18"/>
                <w:lang w:eastAsia="zh-CN"/>
              </w:rPr>
              <w:t>械</w:t>
            </w:r>
            <w:r>
              <w:rPr>
                <w:rFonts w:ascii="Times New Roman" w:hAnsi="Times New Roman"/>
                <w:kern w:val="0"/>
                <w:sz w:val="18"/>
                <w:szCs w:val="18"/>
                <w:lang w:eastAsia="zh-CN"/>
              </w:rPr>
              <w:t>和器</w:t>
            </w:r>
            <w:r>
              <w:rPr>
                <w:rFonts w:ascii="Times New Roman" w:hAnsi="Times New Roman"/>
                <w:spacing w:val="-3"/>
                <w:kern w:val="0"/>
                <w:sz w:val="18"/>
                <w:szCs w:val="18"/>
                <w:lang w:eastAsia="zh-CN"/>
              </w:rPr>
              <w:t>材</w:t>
            </w:r>
            <w:r>
              <w:rPr>
                <w:rFonts w:ascii="Times New Roman" w:hAnsi="Times New Roman"/>
                <w:kern w:val="0"/>
                <w:sz w:val="18"/>
                <w:szCs w:val="18"/>
                <w:lang w:eastAsia="zh-CN"/>
              </w:rPr>
              <w:t>制造业</w:t>
            </w:r>
          </w:p>
        </w:tc>
        <w:tc>
          <w:tcPr>
            <w:tcW w:w="2119" w:type="pct"/>
            <w:tcBorders>
              <w:top w:val="single" w:color="000000" w:sz="4" w:space="0"/>
              <w:left w:val="single" w:color="000000" w:sz="4" w:space="0"/>
              <w:bottom w:val="single" w:color="000000" w:sz="4" w:space="0"/>
              <w:right w:val="single" w:color="000000" w:sz="4" w:space="0"/>
            </w:tcBorders>
            <w:vAlign w:val="center"/>
          </w:tcPr>
          <w:p>
            <w:pPr>
              <w:keepNext/>
              <w:snapToGrid w:val="0"/>
              <w:jc w:val="center"/>
              <w:rPr>
                <w:rFonts w:ascii="Times New Roman" w:hAnsi="Times New Roman"/>
                <w:kern w:val="0"/>
                <w:sz w:val="18"/>
                <w:szCs w:val="18"/>
                <w:lang w:eastAsia="zh-CN"/>
              </w:rPr>
            </w:pPr>
            <w:r>
              <w:rPr>
                <w:rFonts w:ascii="Times New Roman" w:hAnsi="Times New Roman"/>
                <w:sz w:val="18"/>
                <w:szCs w:val="18"/>
                <w:lang w:eastAsia="en-US"/>
              </w:rPr>
              <w:t>表面</w:t>
            </w:r>
            <w:r>
              <w:rPr>
                <w:rFonts w:ascii="Times New Roman" w:hAnsi="Times New Roman"/>
                <w:spacing w:val="-3"/>
                <w:sz w:val="18"/>
                <w:szCs w:val="18"/>
                <w:lang w:eastAsia="en-US"/>
              </w:rPr>
              <w:t>喷</w:t>
            </w:r>
            <w:r>
              <w:rPr>
                <w:rFonts w:ascii="Times New Roman" w:hAnsi="Times New Roman"/>
                <w:sz w:val="18"/>
                <w:szCs w:val="18"/>
                <w:lang w:eastAsia="en-US"/>
              </w:rPr>
              <w:t>涂</w:t>
            </w:r>
          </w:p>
        </w:tc>
      </w:tr>
      <w:tr>
        <w:tblPrEx>
          <w:tblCellMar>
            <w:top w:w="0" w:type="dxa"/>
            <w:left w:w="0" w:type="dxa"/>
            <w:bottom w:w="0" w:type="dxa"/>
            <w:right w:w="0" w:type="dxa"/>
          </w:tblCellMar>
        </w:tblPrEx>
        <w:trPr>
          <w:trHeight w:val="283" w:hRule="atLeast"/>
          <w:jc w:val="center"/>
        </w:trPr>
        <w:tc>
          <w:tcPr>
            <w:tcW w:w="803" w:type="pct"/>
            <w:tcBorders>
              <w:top w:val="single" w:color="000000" w:sz="4" w:space="0"/>
              <w:left w:val="single" w:color="000000" w:sz="4" w:space="0"/>
              <w:bottom w:val="single" w:color="000000" w:sz="4" w:space="0"/>
              <w:right w:val="single" w:color="000000" w:sz="4" w:space="0"/>
            </w:tcBorders>
            <w:vAlign w:val="center"/>
          </w:tcPr>
          <w:p>
            <w:pPr>
              <w:snapToGrid w:val="0"/>
              <w:ind w:left="463" w:right="461"/>
              <w:jc w:val="center"/>
              <w:rPr>
                <w:rFonts w:ascii="Times New Roman" w:hAnsi="Times New Roman" w:eastAsia="Calibri"/>
                <w:kern w:val="0"/>
                <w:sz w:val="18"/>
                <w:szCs w:val="18"/>
                <w:lang w:eastAsia="en-US"/>
              </w:rPr>
            </w:pPr>
            <w:r>
              <w:rPr>
                <w:rFonts w:ascii="Times New Roman" w:hAnsi="Times New Roman" w:eastAsia="Calibri"/>
                <w:kern w:val="0"/>
                <w:sz w:val="18"/>
                <w:szCs w:val="18"/>
                <w:lang w:eastAsia="en-US"/>
              </w:rPr>
              <w:t>39</w:t>
            </w:r>
          </w:p>
        </w:tc>
        <w:tc>
          <w:tcPr>
            <w:tcW w:w="2078" w:type="pct"/>
            <w:tcBorders>
              <w:top w:val="single" w:color="000000" w:sz="4" w:space="0"/>
              <w:left w:val="single" w:color="000000" w:sz="4" w:space="0"/>
              <w:bottom w:val="single" w:color="000000" w:sz="4" w:space="0"/>
              <w:right w:val="single" w:color="000000" w:sz="4" w:space="0"/>
            </w:tcBorders>
            <w:vAlign w:val="center"/>
          </w:tcPr>
          <w:p>
            <w:pPr>
              <w:snapToGrid w:val="0"/>
              <w:ind w:left="102"/>
              <w:jc w:val="center"/>
              <w:rPr>
                <w:rFonts w:ascii="Times New Roman" w:hAnsi="Times New Roman"/>
                <w:kern w:val="0"/>
                <w:sz w:val="18"/>
                <w:szCs w:val="18"/>
                <w:lang w:eastAsia="zh-CN"/>
              </w:rPr>
            </w:pPr>
            <w:r>
              <w:rPr>
                <w:rFonts w:ascii="Times New Roman" w:hAnsi="Times New Roman"/>
                <w:kern w:val="0"/>
                <w:sz w:val="18"/>
                <w:szCs w:val="18"/>
                <w:lang w:eastAsia="zh-CN"/>
              </w:rPr>
              <w:t>计算机</w:t>
            </w:r>
            <w:r>
              <w:rPr>
                <w:rFonts w:ascii="Times New Roman" w:hAnsi="Times New Roman"/>
                <w:spacing w:val="-3"/>
                <w:kern w:val="0"/>
                <w:sz w:val="18"/>
                <w:szCs w:val="18"/>
                <w:lang w:eastAsia="zh-CN"/>
              </w:rPr>
              <w:t>、</w:t>
            </w:r>
            <w:r>
              <w:rPr>
                <w:rFonts w:ascii="Times New Roman" w:hAnsi="Times New Roman"/>
                <w:kern w:val="0"/>
                <w:sz w:val="18"/>
                <w:szCs w:val="18"/>
                <w:lang w:eastAsia="zh-CN"/>
              </w:rPr>
              <w:t>通信</w:t>
            </w:r>
            <w:r>
              <w:rPr>
                <w:rFonts w:ascii="Times New Roman" w:hAnsi="Times New Roman"/>
                <w:spacing w:val="-3"/>
                <w:kern w:val="0"/>
                <w:sz w:val="18"/>
                <w:szCs w:val="18"/>
                <w:lang w:eastAsia="zh-CN"/>
              </w:rPr>
              <w:t>和</w:t>
            </w:r>
            <w:r>
              <w:rPr>
                <w:rFonts w:ascii="Times New Roman" w:hAnsi="Times New Roman"/>
                <w:kern w:val="0"/>
                <w:sz w:val="18"/>
                <w:szCs w:val="18"/>
                <w:lang w:eastAsia="zh-CN"/>
              </w:rPr>
              <w:t>其他</w:t>
            </w:r>
            <w:r>
              <w:rPr>
                <w:rFonts w:ascii="Times New Roman" w:hAnsi="Times New Roman"/>
                <w:spacing w:val="-3"/>
                <w:kern w:val="0"/>
                <w:sz w:val="18"/>
                <w:szCs w:val="18"/>
                <w:lang w:eastAsia="zh-CN"/>
              </w:rPr>
              <w:t>电子</w:t>
            </w:r>
            <w:r>
              <w:rPr>
                <w:rFonts w:ascii="Times New Roman" w:hAnsi="Times New Roman"/>
                <w:kern w:val="0"/>
                <w:sz w:val="18"/>
                <w:szCs w:val="18"/>
                <w:lang w:eastAsia="zh-CN"/>
              </w:rPr>
              <w:t>设备制造业</w:t>
            </w:r>
          </w:p>
        </w:tc>
        <w:tc>
          <w:tcPr>
            <w:tcW w:w="2119" w:type="pct"/>
            <w:tcBorders>
              <w:top w:val="single" w:color="000000" w:sz="4" w:space="0"/>
              <w:left w:val="single" w:color="000000" w:sz="4" w:space="0"/>
              <w:bottom w:val="single" w:color="000000" w:sz="4" w:space="0"/>
              <w:right w:val="single" w:color="000000" w:sz="4" w:space="0"/>
            </w:tcBorders>
            <w:vAlign w:val="center"/>
          </w:tcPr>
          <w:p>
            <w:pPr>
              <w:keepNext/>
              <w:snapToGrid w:val="0"/>
              <w:jc w:val="center"/>
              <w:rPr>
                <w:rFonts w:ascii="Times New Roman" w:hAnsi="Times New Roman"/>
                <w:kern w:val="0"/>
                <w:sz w:val="18"/>
                <w:szCs w:val="18"/>
                <w:lang w:eastAsia="zh-CN"/>
              </w:rPr>
            </w:pPr>
            <w:r>
              <w:rPr>
                <w:rFonts w:ascii="Times New Roman" w:hAnsi="Times New Roman"/>
                <w:sz w:val="18"/>
                <w:szCs w:val="18"/>
                <w:lang w:eastAsia="zh-CN"/>
              </w:rPr>
              <w:t>电路</w:t>
            </w:r>
            <w:r>
              <w:rPr>
                <w:rFonts w:ascii="Times New Roman" w:hAnsi="Times New Roman"/>
                <w:spacing w:val="-3"/>
                <w:sz w:val="18"/>
                <w:szCs w:val="18"/>
                <w:lang w:eastAsia="zh-CN"/>
              </w:rPr>
              <w:t>板</w:t>
            </w:r>
            <w:r>
              <w:rPr>
                <w:rFonts w:ascii="Times New Roman" w:hAnsi="Times New Roman"/>
                <w:sz w:val="18"/>
                <w:szCs w:val="18"/>
                <w:lang w:eastAsia="zh-CN"/>
              </w:rPr>
              <w:t>制</w:t>
            </w:r>
            <w:r>
              <w:rPr>
                <w:rFonts w:ascii="Times New Roman" w:hAnsi="Times New Roman"/>
                <w:spacing w:val="-3"/>
                <w:sz w:val="18"/>
                <w:szCs w:val="18"/>
                <w:lang w:eastAsia="zh-CN"/>
              </w:rPr>
              <w:t>造</w:t>
            </w:r>
            <w:r>
              <w:rPr>
                <w:rFonts w:ascii="Times New Roman" w:hAnsi="Times New Roman"/>
                <w:sz w:val="18"/>
                <w:szCs w:val="18"/>
                <w:lang w:eastAsia="zh-CN"/>
              </w:rPr>
              <w:t>、</w:t>
            </w:r>
            <w:r>
              <w:rPr>
                <w:rFonts w:ascii="Times New Roman" w:hAnsi="Times New Roman"/>
                <w:spacing w:val="-3"/>
                <w:sz w:val="18"/>
                <w:szCs w:val="18"/>
                <w:lang w:eastAsia="zh-CN"/>
              </w:rPr>
              <w:t>表</w:t>
            </w:r>
            <w:r>
              <w:rPr>
                <w:rFonts w:ascii="Times New Roman" w:hAnsi="Times New Roman"/>
                <w:sz w:val="18"/>
                <w:szCs w:val="18"/>
                <w:lang w:eastAsia="zh-CN"/>
              </w:rPr>
              <w:t>面</w:t>
            </w:r>
            <w:r>
              <w:rPr>
                <w:rFonts w:ascii="Times New Roman" w:hAnsi="Times New Roman"/>
                <w:spacing w:val="-3"/>
                <w:sz w:val="18"/>
                <w:szCs w:val="18"/>
                <w:lang w:eastAsia="zh-CN"/>
              </w:rPr>
              <w:t>喷</w:t>
            </w:r>
            <w:r>
              <w:rPr>
                <w:rFonts w:ascii="Times New Roman" w:hAnsi="Times New Roman"/>
                <w:sz w:val="18"/>
                <w:szCs w:val="18"/>
                <w:lang w:eastAsia="zh-CN"/>
              </w:rPr>
              <w:t>涂</w:t>
            </w:r>
          </w:p>
        </w:tc>
      </w:tr>
      <w:tr>
        <w:tblPrEx>
          <w:tblCellMar>
            <w:top w:w="0" w:type="dxa"/>
            <w:left w:w="0" w:type="dxa"/>
            <w:bottom w:w="0" w:type="dxa"/>
            <w:right w:w="0" w:type="dxa"/>
          </w:tblCellMar>
        </w:tblPrEx>
        <w:trPr>
          <w:trHeight w:val="283" w:hRule="atLeast"/>
          <w:jc w:val="center"/>
        </w:trPr>
        <w:tc>
          <w:tcPr>
            <w:tcW w:w="803" w:type="pct"/>
            <w:tcBorders>
              <w:top w:val="single" w:color="000000" w:sz="4" w:space="0"/>
              <w:left w:val="single" w:color="000000" w:sz="4" w:space="0"/>
              <w:bottom w:val="single" w:color="000000" w:sz="4" w:space="0"/>
              <w:right w:val="single" w:color="000000" w:sz="4" w:space="0"/>
            </w:tcBorders>
            <w:vAlign w:val="center"/>
          </w:tcPr>
          <w:p>
            <w:pPr>
              <w:snapToGrid w:val="0"/>
              <w:ind w:left="463" w:right="461"/>
              <w:jc w:val="center"/>
              <w:rPr>
                <w:rFonts w:ascii="Times New Roman" w:hAnsi="Times New Roman" w:eastAsia="Calibri"/>
                <w:kern w:val="0"/>
                <w:sz w:val="18"/>
                <w:szCs w:val="18"/>
                <w:lang w:eastAsia="en-US"/>
              </w:rPr>
            </w:pPr>
            <w:r>
              <w:rPr>
                <w:rFonts w:ascii="Times New Roman" w:hAnsi="Times New Roman" w:eastAsia="Calibri"/>
                <w:kern w:val="0"/>
                <w:sz w:val="18"/>
                <w:szCs w:val="18"/>
                <w:lang w:eastAsia="en-US"/>
              </w:rPr>
              <w:t>40</w:t>
            </w:r>
          </w:p>
        </w:tc>
        <w:tc>
          <w:tcPr>
            <w:tcW w:w="2078" w:type="pct"/>
            <w:tcBorders>
              <w:top w:val="single" w:color="000000" w:sz="4" w:space="0"/>
              <w:left w:val="single" w:color="000000" w:sz="4" w:space="0"/>
              <w:bottom w:val="single" w:color="000000" w:sz="4" w:space="0"/>
              <w:right w:val="single" w:color="000000" w:sz="4" w:space="0"/>
            </w:tcBorders>
            <w:vAlign w:val="center"/>
          </w:tcPr>
          <w:p>
            <w:pPr>
              <w:snapToGrid w:val="0"/>
              <w:ind w:left="102"/>
              <w:jc w:val="center"/>
              <w:rPr>
                <w:rFonts w:ascii="Times New Roman" w:hAnsi="Times New Roman"/>
                <w:kern w:val="0"/>
                <w:sz w:val="18"/>
                <w:szCs w:val="18"/>
                <w:lang w:eastAsia="en-US"/>
              </w:rPr>
            </w:pPr>
            <w:r>
              <w:rPr>
                <w:rFonts w:ascii="Times New Roman" w:hAnsi="Times New Roman"/>
                <w:kern w:val="0"/>
                <w:sz w:val="18"/>
                <w:szCs w:val="18"/>
                <w:lang w:eastAsia="en-US"/>
              </w:rPr>
              <w:t>仪器仪</w:t>
            </w:r>
            <w:r>
              <w:rPr>
                <w:rFonts w:ascii="Times New Roman" w:hAnsi="Times New Roman"/>
                <w:spacing w:val="-3"/>
                <w:kern w:val="0"/>
                <w:sz w:val="18"/>
                <w:szCs w:val="18"/>
                <w:lang w:eastAsia="en-US"/>
              </w:rPr>
              <w:t>表</w:t>
            </w:r>
            <w:r>
              <w:rPr>
                <w:rFonts w:ascii="Times New Roman" w:hAnsi="Times New Roman"/>
                <w:kern w:val="0"/>
                <w:sz w:val="18"/>
                <w:szCs w:val="18"/>
                <w:lang w:eastAsia="en-US"/>
              </w:rPr>
              <w:t>制造业</w:t>
            </w:r>
          </w:p>
        </w:tc>
        <w:tc>
          <w:tcPr>
            <w:tcW w:w="2119" w:type="pct"/>
            <w:tcBorders>
              <w:top w:val="single" w:color="000000" w:sz="4" w:space="0"/>
              <w:left w:val="single" w:color="000000" w:sz="4" w:space="0"/>
              <w:bottom w:val="single" w:color="000000" w:sz="4" w:space="0"/>
              <w:right w:val="single" w:color="000000" w:sz="4" w:space="0"/>
            </w:tcBorders>
            <w:vAlign w:val="center"/>
          </w:tcPr>
          <w:p>
            <w:pPr>
              <w:keepNext/>
              <w:snapToGrid w:val="0"/>
              <w:jc w:val="center"/>
              <w:rPr>
                <w:rFonts w:ascii="Times New Roman" w:hAnsi="Times New Roman"/>
                <w:kern w:val="0"/>
                <w:sz w:val="18"/>
                <w:szCs w:val="18"/>
                <w:lang w:eastAsia="en-US"/>
              </w:rPr>
            </w:pPr>
            <w:r>
              <w:rPr>
                <w:rFonts w:ascii="Times New Roman" w:hAnsi="Times New Roman"/>
                <w:sz w:val="18"/>
                <w:szCs w:val="18"/>
                <w:lang w:eastAsia="en-US"/>
              </w:rPr>
              <w:t>表面</w:t>
            </w:r>
            <w:r>
              <w:rPr>
                <w:rFonts w:ascii="Times New Roman" w:hAnsi="Times New Roman"/>
                <w:spacing w:val="-3"/>
                <w:sz w:val="18"/>
                <w:szCs w:val="18"/>
                <w:lang w:eastAsia="en-US"/>
              </w:rPr>
              <w:t>喷</w:t>
            </w:r>
            <w:r>
              <w:rPr>
                <w:rFonts w:ascii="Times New Roman" w:hAnsi="Times New Roman"/>
                <w:sz w:val="18"/>
                <w:szCs w:val="18"/>
                <w:lang w:eastAsia="en-US"/>
              </w:rPr>
              <w:t>涂</w:t>
            </w:r>
          </w:p>
        </w:tc>
      </w:tr>
      <w:tr>
        <w:tblPrEx>
          <w:tblCellMar>
            <w:top w:w="0" w:type="dxa"/>
            <w:left w:w="0" w:type="dxa"/>
            <w:bottom w:w="0" w:type="dxa"/>
            <w:right w:w="0" w:type="dxa"/>
          </w:tblCellMar>
        </w:tblPrEx>
        <w:trPr>
          <w:trHeight w:val="283" w:hRule="atLeast"/>
          <w:jc w:val="center"/>
        </w:trPr>
        <w:tc>
          <w:tcPr>
            <w:tcW w:w="803" w:type="pct"/>
            <w:tcBorders>
              <w:top w:val="single" w:color="000000" w:sz="4" w:space="0"/>
              <w:left w:val="single" w:color="000000" w:sz="4" w:space="0"/>
              <w:bottom w:val="single" w:color="000000" w:sz="4" w:space="0"/>
              <w:right w:val="single" w:color="000000" w:sz="4" w:space="0"/>
            </w:tcBorders>
            <w:vAlign w:val="center"/>
          </w:tcPr>
          <w:p>
            <w:pPr>
              <w:snapToGrid w:val="0"/>
              <w:ind w:left="463" w:right="461"/>
              <w:jc w:val="center"/>
              <w:rPr>
                <w:rFonts w:ascii="Times New Roman" w:hAnsi="Times New Roman" w:eastAsia="Calibri"/>
                <w:kern w:val="0"/>
                <w:sz w:val="18"/>
                <w:szCs w:val="18"/>
                <w:lang w:eastAsia="en-US"/>
              </w:rPr>
            </w:pPr>
            <w:r>
              <w:rPr>
                <w:rFonts w:ascii="Times New Roman" w:hAnsi="Times New Roman" w:eastAsia="Calibri"/>
                <w:kern w:val="0"/>
                <w:sz w:val="18"/>
                <w:szCs w:val="18"/>
                <w:lang w:eastAsia="en-US"/>
              </w:rPr>
              <w:t>41</w:t>
            </w:r>
          </w:p>
        </w:tc>
        <w:tc>
          <w:tcPr>
            <w:tcW w:w="2078" w:type="pct"/>
            <w:tcBorders>
              <w:top w:val="single" w:color="000000" w:sz="4" w:space="0"/>
              <w:left w:val="single" w:color="000000" w:sz="4" w:space="0"/>
              <w:bottom w:val="single" w:color="000000" w:sz="4" w:space="0"/>
              <w:right w:val="single" w:color="000000" w:sz="4" w:space="0"/>
            </w:tcBorders>
            <w:vAlign w:val="center"/>
          </w:tcPr>
          <w:p>
            <w:pPr>
              <w:snapToGrid w:val="0"/>
              <w:ind w:left="102"/>
              <w:jc w:val="center"/>
              <w:rPr>
                <w:rFonts w:ascii="Times New Roman" w:hAnsi="Times New Roman"/>
                <w:kern w:val="0"/>
                <w:sz w:val="18"/>
                <w:szCs w:val="18"/>
                <w:lang w:eastAsia="en-US"/>
              </w:rPr>
            </w:pPr>
            <w:r>
              <w:rPr>
                <w:rFonts w:ascii="Times New Roman" w:hAnsi="Times New Roman"/>
                <w:kern w:val="0"/>
                <w:sz w:val="18"/>
                <w:szCs w:val="18"/>
                <w:lang w:eastAsia="en-US"/>
              </w:rPr>
              <w:t>其他制</w:t>
            </w:r>
            <w:r>
              <w:rPr>
                <w:rFonts w:ascii="Times New Roman" w:hAnsi="Times New Roman"/>
                <w:spacing w:val="-3"/>
                <w:kern w:val="0"/>
                <w:sz w:val="18"/>
                <w:szCs w:val="18"/>
                <w:lang w:eastAsia="en-US"/>
              </w:rPr>
              <w:t>造</w:t>
            </w:r>
            <w:r>
              <w:rPr>
                <w:rFonts w:ascii="Times New Roman" w:hAnsi="Times New Roman"/>
                <w:kern w:val="0"/>
                <w:sz w:val="18"/>
                <w:szCs w:val="18"/>
                <w:lang w:eastAsia="en-US"/>
              </w:rPr>
              <w:t>业</w:t>
            </w:r>
          </w:p>
        </w:tc>
        <w:tc>
          <w:tcPr>
            <w:tcW w:w="2119" w:type="pct"/>
            <w:tcBorders>
              <w:top w:val="single" w:color="000000" w:sz="4" w:space="0"/>
              <w:left w:val="single" w:color="000000" w:sz="4" w:space="0"/>
              <w:bottom w:val="single" w:color="000000" w:sz="4" w:space="0"/>
              <w:right w:val="single" w:color="000000" w:sz="4" w:space="0"/>
            </w:tcBorders>
            <w:vAlign w:val="center"/>
          </w:tcPr>
          <w:p>
            <w:pPr>
              <w:keepNext/>
              <w:snapToGrid w:val="0"/>
              <w:jc w:val="center"/>
              <w:rPr>
                <w:rFonts w:ascii="Times New Roman" w:hAnsi="Times New Roman"/>
                <w:kern w:val="0"/>
                <w:sz w:val="18"/>
                <w:szCs w:val="18"/>
                <w:lang w:eastAsia="en-US"/>
              </w:rPr>
            </w:pPr>
            <w:r>
              <w:rPr>
                <w:rFonts w:ascii="Times New Roman" w:hAnsi="Times New Roman"/>
                <w:sz w:val="18"/>
                <w:szCs w:val="18"/>
                <w:lang w:eastAsia="en-US"/>
              </w:rPr>
              <w:t>表面</w:t>
            </w:r>
            <w:r>
              <w:rPr>
                <w:rFonts w:ascii="Times New Roman" w:hAnsi="Times New Roman"/>
                <w:spacing w:val="-3"/>
                <w:sz w:val="18"/>
                <w:szCs w:val="18"/>
                <w:lang w:eastAsia="en-US"/>
              </w:rPr>
              <w:t>喷</w:t>
            </w:r>
            <w:r>
              <w:rPr>
                <w:rFonts w:ascii="Times New Roman" w:hAnsi="Times New Roman"/>
                <w:sz w:val="18"/>
                <w:szCs w:val="18"/>
                <w:lang w:eastAsia="en-US"/>
              </w:rPr>
              <w:t>涂</w:t>
            </w:r>
          </w:p>
        </w:tc>
      </w:tr>
      <w:tr>
        <w:tblPrEx>
          <w:tblCellMar>
            <w:top w:w="0" w:type="dxa"/>
            <w:left w:w="0" w:type="dxa"/>
            <w:bottom w:w="0" w:type="dxa"/>
            <w:right w:w="0" w:type="dxa"/>
          </w:tblCellMar>
        </w:tblPrEx>
        <w:trPr>
          <w:trHeight w:val="283" w:hRule="atLeast"/>
          <w:jc w:val="center"/>
        </w:trPr>
        <w:tc>
          <w:tcPr>
            <w:tcW w:w="803" w:type="pct"/>
            <w:tcBorders>
              <w:top w:val="single" w:color="000000" w:sz="4" w:space="0"/>
              <w:left w:val="single" w:color="000000" w:sz="4" w:space="0"/>
              <w:bottom w:val="single" w:color="000000" w:sz="4" w:space="0"/>
              <w:right w:val="single" w:color="000000" w:sz="4" w:space="0"/>
            </w:tcBorders>
            <w:vAlign w:val="center"/>
          </w:tcPr>
          <w:p>
            <w:pPr>
              <w:snapToGrid w:val="0"/>
              <w:ind w:left="463" w:right="461"/>
              <w:jc w:val="center"/>
              <w:rPr>
                <w:rFonts w:ascii="Times New Roman" w:hAnsi="Times New Roman" w:eastAsia="Calibri"/>
                <w:kern w:val="0"/>
                <w:sz w:val="18"/>
                <w:szCs w:val="18"/>
                <w:lang w:eastAsia="en-US"/>
              </w:rPr>
            </w:pPr>
            <w:r>
              <w:rPr>
                <w:rFonts w:ascii="Times New Roman" w:hAnsi="Times New Roman" w:eastAsia="Calibri"/>
                <w:kern w:val="0"/>
                <w:sz w:val="18"/>
                <w:szCs w:val="18"/>
                <w:lang w:eastAsia="en-US"/>
              </w:rPr>
              <w:t>42</w:t>
            </w:r>
          </w:p>
        </w:tc>
        <w:tc>
          <w:tcPr>
            <w:tcW w:w="2078" w:type="pct"/>
            <w:tcBorders>
              <w:top w:val="single" w:color="000000" w:sz="4" w:space="0"/>
              <w:left w:val="single" w:color="000000" w:sz="4" w:space="0"/>
              <w:bottom w:val="single" w:color="000000" w:sz="4" w:space="0"/>
              <w:right w:val="single" w:color="000000" w:sz="4" w:space="0"/>
            </w:tcBorders>
            <w:vAlign w:val="center"/>
          </w:tcPr>
          <w:p>
            <w:pPr>
              <w:snapToGrid w:val="0"/>
              <w:ind w:left="102"/>
              <w:jc w:val="center"/>
              <w:rPr>
                <w:rFonts w:ascii="Times New Roman" w:hAnsi="Times New Roman"/>
                <w:kern w:val="0"/>
                <w:sz w:val="18"/>
                <w:szCs w:val="18"/>
                <w:lang w:eastAsia="en-US"/>
              </w:rPr>
            </w:pPr>
            <w:r>
              <w:rPr>
                <w:rFonts w:ascii="Times New Roman" w:hAnsi="Times New Roman"/>
                <w:kern w:val="0"/>
                <w:sz w:val="18"/>
                <w:szCs w:val="18"/>
                <w:lang w:eastAsia="en-US"/>
              </w:rPr>
              <w:t>废弃资</w:t>
            </w:r>
            <w:r>
              <w:rPr>
                <w:rFonts w:ascii="Times New Roman" w:hAnsi="Times New Roman"/>
                <w:spacing w:val="-2"/>
                <w:kern w:val="0"/>
                <w:sz w:val="18"/>
                <w:szCs w:val="18"/>
                <w:lang w:eastAsia="en-US"/>
              </w:rPr>
              <w:t>源</w:t>
            </w:r>
            <w:r>
              <w:rPr>
                <w:rFonts w:ascii="Times New Roman" w:hAnsi="Times New Roman"/>
                <w:kern w:val="0"/>
                <w:sz w:val="18"/>
                <w:szCs w:val="18"/>
                <w:lang w:eastAsia="en-US"/>
              </w:rPr>
              <w:t>综合</w:t>
            </w:r>
            <w:r>
              <w:rPr>
                <w:rFonts w:ascii="Times New Roman" w:hAnsi="Times New Roman"/>
                <w:spacing w:val="-3"/>
                <w:kern w:val="0"/>
                <w:sz w:val="18"/>
                <w:szCs w:val="18"/>
                <w:lang w:eastAsia="en-US"/>
              </w:rPr>
              <w:t>利</w:t>
            </w:r>
            <w:r>
              <w:rPr>
                <w:rFonts w:ascii="Times New Roman" w:hAnsi="Times New Roman"/>
                <w:kern w:val="0"/>
                <w:sz w:val="18"/>
                <w:szCs w:val="18"/>
                <w:lang w:eastAsia="en-US"/>
              </w:rPr>
              <w:t>用业</w:t>
            </w:r>
          </w:p>
        </w:tc>
        <w:tc>
          <w:tcPr>
            <w:tcW w:w="2119" w:type="pct"/>
            <w:tcBorders>
              <w:top w:val="single" w:color="000000" w:sz="4" w:space="0"/>
              <w:left w:val="single" w:color="000000" w:sz="4" w:space="0"/>
              <w:bottom w:val="single" w:color="000000" w:sz="4" w:space="0"/>
              <w:right w:val="single" w:color="000000" w:sz="4" w:space="0"/>
            </w:tcBorders>
            <w:vAlign w:val="center"/>
          </w:tcPr>
          <w:p>
            <w:pPr>
              <w:keepNext/>
              <w:snapToGrid w:val="0"/>
              <w:jc w:val="center"/>
              <w:rPr>
                <w:rFonts w:ascii="Times New Roman" w:hAnsi="Times New Roman"/>
                <w:kern w:val="0"/>
                <w:sz w:val="18"/>
                <w:szCs w:val="18"/>
                <w:lang w:eastAsia="en-US"/>
              </w:rPr>
            </w:pPr>
            <w:r>
              <w:rPr>
                <w:rFonts w:ascii="Times New Roman" w:hAnsi="Times New Roman"/>
                <w:sz w:val="18"/>
                <w:szCs w:val="18"/>
                <w:lang w:eastAsia="en-US"/>
              </w:rPr>
              <w:t>焚烧</w:t>
            </w:r>
            <w:r>
              <w:rPr>
                <w:rFonts w:ascii="Times New Roman" w:hAnsi="Times New Roman"/>
                <w:spacing w:val="-3"/>
                <w:sz w:val="18"/>
                <w:szCs w:val="18"/>
                <w:lang w:eastAsia="en-US"/>
              </w:rPr>
              <w:t>尾</w:t>
            </w:r>
            <w:r>
              <w:rPr>
                <w:rFonts w:ascii="Times New Roman" w:hAnsi="Times New Roman"/>
                <w:sz w:val="18"/>
                <w:szCs w:val="18"/>
                <w:lang w:eastAsia="en-US"/>
              </w:rPr>
              <w:t>气</w:t>
            </w:r>
            <w:r>
              <w:rPr>
                <w:rFonts w:ascii="Times New Roman" w:hAnsi="Times New Roman"/>
                <w:spacing w:val="-3"/>
                <w:sz w:val="18"/>
                <w:szCs w:val="18"/>
                <w:lang w:eastAsia="en-US"/>
              </w:rPr>
              <w:t>、</w:t>
            </w:r>
            <w:r>
              <w:rPr>
                <w:rFonts w:ascii="Times New Roman" w:hAnsi="Times New Roman"/>
                <w:sz w:val="18"/>
                <w:szCs w:val="18"/>
                <w:lang w:eastAsia="en-US"/>
              </w:rPr>
              <w:t>堆</w:t>
            </w:r>
            <w:r>
              <w:rPr>
                <w:rFonts w:ascii="Times New Roman" w:hAnsi="Times New Roman"/>
                <w:spacing w:val="-3"/>
                <w:sz w:val="18"/>
                <w:szCs w:val="18"/>
                <w:lang w:eastAsia="en-US"/>
              </w:rPr>
              <w:t>肥</w:t>
            </w:r>
            <w:r>
              <w:rPr>
                <w:rFonts w:ascii="Times New Roman" w:hAnsi="Times New Roman"/>
                <w:sz w:val="18"/>
                <w:szCs w:val="18"/>
                <w:lang w:eastAsia="en-US"/>
              </w:rPr>
              <w:t>尾气</w:t>
            </w:r>
          </w:p>
        </w:tc>
      </w:tr>
      <w:tr>
        <w:tblPrEx>
          <w:tblCellMar>
            <w:top w:w="0" w:type="dxa"/>
            <w:left w:w="0" w:type="dxa"/>
            <w:bottom w:w="0" w:type="dxa"/>
            <w:right w:w="0" w:type="dxa"/>
          </w:tblCellMar>
        </w:tblPrEx>
        <w:trPr>
          <w:trHeight w:val="283" w:hRule="atLeast"/>
          <w:jc w:val="center"/>
        </w:trPr>
        <w:tc>
          <w:tcPr>
            <w:tcW w:w="803" w:type="pct"/>
            <w:tcBorders>
              <w:top w:val="single" w:color="000000" w:sz="4" w:space="0"/>
              <w:left w:val="single" w:color="000000" w:sz="4" w:space="0"/>
              <w:bottom w:val="single" w:color="000000" w:sz="4" w:space="0"/>
              <w:right w:val="single" w:color="000000" w:sz="4" w:space="0"/>
            </w:tcBorders>
            <w:vAlign w:val="center"/>
          </w:tcPr>
          <w:p>
            <w:pPr>
              <w:snapToGrid w:val="0"/>
              <w:ind w:left="463" w:right="461"/>
              <w:jc w:val="center"/>
              <w:rPr>
                <w:rFonts w:ascii="Times New Roman" w:hAnsi="Times New Roman" w:eastAsia="Calibri"/>
                <w:kern w:val="0"/>
                <w:sz w:val="18"/>
                <w:szCs w:val="18"/>
                <w:lang w:eastAsia="en-US"/>
              </w:rPr>
            </w:pPr>
            <w:r>
              <w:rPr>
                <w:rFonts w:ascii="Times New Roman" w:hAnsi="Times New Roman" w:eastAsia="Calibri"/>
                <w:kern w:val="0"/>
                <w:sz w:val="18"/>
                <w:szCs w:val="18"/>
                <w:lang w:eastAsia="en-US"/>
              </w:rPr>
              <w:t>43</w:t>
            </w:r>
          </w:p>
        </w:tc>
        <w:tc>
          <w:tcPr>
            <w:tcW w:w="2078" w:type="pct"/>
            <w:tcBorders>
              <w:top w:val="single" w:color="000000" w:sz="4" w:space="0"/>
              <w:left w:val="single" w:color="000000" w:sz="4" w:space="0"/>
              <w:bottom w:val="single" w:color="000000" w:sz="4" w:space="0"/>
              <w:right w:val="single" w:color="000000" w:sz="4" w:space="0"/>
            </w:tcBorders>
            <w:vAlign w:val="center"/>
          </w:tcPr>
          <w:p>
            <w:pPr>
              <w:snapToGrid w:val="0"/>
              <w:ind w:left="102"/>
              <w:jc w:val="center"/>
              <w:rPr>
                <w:rFonts w:ascii="Times New Roman" w:hAnsi="Times New Roman"/>
                <w:kern w:val="0"/>
                <w:sz w:val="18"/>
                <w:szCs w:val="18"/>
                <w:lang w:eastAsia="zh-CN"/>
              </w:rPr>
            </w:pPr>
            <w:r>
              <w:rPr>
                <w:rFonts w:ascii="Times New Roman" w:hAnsi="Times New Roman"/>
                <w:kern w:val="0"/>
                <w:sz w:val="18"/>
                <w:szCs w:val="18"/>
                <w:lang w:eastAsia="zh-CN"/>
              </w:rPr>
              <w:t>金属制</w:t>
            </w:r>
            <w:r>
              <w:rPr>
                <w:rFonts w:ascii="Times New Roman" w:hAnsi="Times New Roman"/>
                <w:spacing w:val="-3"/>
                <w:kern w:val="0"/>
                <w:sz w:val="18"/>
                <w:szCs w:val="18"/>
                <w:lang w:eastAsia="zh-CN"/>
              </w:rPr>
              <w:t>品</w:t>
            </w:r>
            <w:r>
              <w:rPr>
                <w:rFonts w:ascii="Times New Roman" w:hAnsi="Times New Roman"/>
                <w:kern w:val="0"/>
                <w:sz w:val="18"/>
                <w:szCs w:val="18"/>
                <w:lang w:eastAsia="zh-CN"/>
              </w:rPr>
              <w:t>、机</w:t>
            </w:r>
            <w:r>
              <w:rPr>
                <w:rFonts w:ascii="Times New Roman" w:hAnsi="Times New Roman"/>
                <w:spacing w:val="-3"/>
                <w:kern w:val="0"/>
                <w:sz w:val="18"/>
                <w:szCs w:val="18"/>
                <w:lang w:eastAsia="zh-CN"/>
              </w:rPr>
              <w:t>械</w:t>
            </w:r>
            <w:r>
              <w:rPr>
                <w:rFonts w:ascii="Times New Roman" w:hAnsi="Times New Roman"/>
                <w:kern w:val="0"/>
                <w:sz w:val="18"/>
                <w:szCs w:val="18"/>
                <w:lang w:eastAsia="zh-CN"/>
              </w:rPr>
              <w:t>和设</w:t>
            </w:r>
            <w:r>
              <w:rPr>
                <w:rFonts w:ascii="Times New Roman" w:hAnsi="Times New Roman"/>
                <w:spacing w:val="-3"/>
                <w:kern w:val="0"/>
                <w:sz w:val="18"/>
                <w:szCs w:val="18"/>
                <w:lang w:eastAsia="zh-CN"/>
              </w:rPr>
              <w:t>备修</w:t>
            </w:r>
            <w:r>
              <w:rPr>
                <w:rFonts w:ascii="Times New Roman" w:hAnsi="Times New Roman"/>
                <w:kern w:val="0"/>
                <w:sz w:val="18"/>
                <w:szCs w:val="18"/>
                <w:lang w:eastAsia="zh-CN"/>
              </w:rPr>
              <w:t>理业</w:t>
            </w:r>
          </w:p>
        </w:tc>
        <w:tc>
          <w:tcPr>
            <w:tcW w:w="2119" w:type="pct"/>
            <w:tcBorders>
              <w:top w:val="single" w:color="000000" w:sz="4" w:space="0"/>
              <w:left w:val="single" w:color="000000" w:sz="4" w:space="0"/>
              <w:bottom w:val="single" w:color="000000" w:sz="4" w:space="0"/>
              <w:right w:val="single" w:color="000000" w:sz="4" w:space="0"/>
            </w:tcBorders>
            <w:vAlign w:val="center"/>
          </w:tcPr>
          <w:p>
            <w:pPr>
              <w:keepNext/>
              <w:snapToGrid w:val="0"/>
              <w:jc w:val="center"/>
              <w:rPr>
                <w:rFonts w:ascii="Times New Roman" w:hAnsi="Times New Roman"/>
                <w:kern w:val="0"/>
                <w:sz w:val="18"/>
                <w:szCs w:val="18"/>
                <w:lang w:eastAsia="zh-CN"/>
              </w:rPr>
            </w:pPr>
            <w:r>
              <w:rPr>
                <w:rFonts w:ascii="Times New Roman" w:hAnsi="Times New Roman"/>
                <w:sz w:val="18"/>
                <w:szCs w:val="18"/>
                <w:lang w:eastAsia="en-US"/>
              </w:rPr>
              <w:t>表面</w:t>
            </w:r>
            <w:r>
              <w:rPr>
                <w:rFonts w:ascii="Times New Roman" w:hAnsi="Times New Roman"/>
                <w:spacing w:val="-3"/>
                <w:sz w:val="18"/>
                <w:szCs w:val="18"/>
                <w:lang w:eastAsia="en-US"/>
              </w:rPr>
              <w:t>喷</w:t>
            </w:r>
            <w:r>
              <w:rPr>
                <w:rFonts w:ascii="Times New Roman" w:hAnsi="Times New Roman"/>
                <w:sz w:val="18"/>
                <w:szCs w:val="18"/>
                <w:lang w:eastAsia="en-US"/>
              </w:rPr>
              <w:t>涂</w:t>
            </w:r>
          </w:p>
        </w:tc>
      </w:tr>
    </w:tbl>
    <w:p>
      <w:pPr>
        <w:pStyle w:val="13"/>
      </w:pPr>
    </w:p>
    <w:p>
      <w:pPr>
        <w:pStyle w:val="13"/>
        <w:spacing w:before="156" w:beforeLines="50" w:after="156" w:afterLines="50"/>
      </w:pPr>
      <w:r>
        <w:t xml:space="preserve">表 </w:t>
      </w:r>
      <w:r>
        <w:fldChar w:fldCharType="begin"/>
      </w:r>
      <w:r>
        <w:instrText xml:space="preserve"> STYLEREF 1 \s </w:instrText>
      </w:r>
      <w:r>
        <w:fldChar w:fldCharType="separate"/>
      </w:r>
      <w:r>
        <w:t>3</w:t>
      </w:r>
      <w:r>
        <w:fldChar w:fldCharType="end"/>
      </w:r>
      <w:r>
        <w:noBreakHyphen/>
      </w:r>
      <w:r>
        <w:t>4 VOCs类别及典型污染物</w:t>
      </w:r>
    </w:p>
    <w:tbl>
      <w:tblPr>
        <w:tblStyle w:val="172"/>
        <w:tblW w:w="5000" w:type="pct"/>
        <w:jc w:val="center"/>
        <w:tblLayout w:type="autofit"/>
        <w:tblCellMar>
          <w:top w:w="0" w:type="dxa"/>
          <w:left w:w="108" w:type="dxa"/>
          <w:bottom w:w="0" w:type="dxa"/>
          <w:right w:w="108" w:type="dxa"/>
        </w:tblCellMar>
      </w:tblPr>
      <w:tblGrid>
        <w:gridCol w:w="1456"/>
        <w:gridCol w:w="7066"/>
      </w:tblGrid>
      <w:tr>
        <w:tblPrEx>
          <w:tblCellMar>
            <w:top w:w="0" w:type="dxa"/>
            <w:left w:w="108" w:type="dxa"/>
            <w:bottom w:w="0" w:type="dxa"/>
            <w:right w:w="108" w:type="dxa"/>
          </w:tblCellMar>
        </w:tblPrEx>
        <w:trPr>
          <w:trHeight w:val="340" w:hRule="atLeast"/>
          <w:jc w:val="center"/>
        </w:trPr>
        <w:tc>
          <w:tcPr>
            <w:tcW w:w="854" w:type="pct"/>
            <w:tcBorders>
              <w:top w:val="single" w:color="000000" w:sz="4" w:space="0"/>
              <w:left w:val="single" w:color="000000" w:sz="4" w:space="0"/>
              <w:bottom w:val="single" w:color="000000" w:sz="4" w:space="0"/>
              <w:right w:val="single" w:color="000000" w:sz="4" w:space="0"/>
            </w:tcBorders>
            <w:vAlign w:val="center"/>
          </w:tcPr>
          <w:p>
            <w:pPr>
              <w:snapToGrid w:val="0"/>
              <w:ind w:firstLine="180" w:firstLineChars="100"/>
              <w:jc w:val="center"/>
              <w:rPr>
                <w:rFonts w:ascii="Times New Roman" w:hAnsi="Times New Roman" w:eastAsia="等线"/>
                <w:b/>
                <w:kern w:val="0"/>
                <w:sz w:val="18"/>
                <w:szCs w:val="18"/>
                <w:lang w:eastAsia="en-US"/>
              </w:rPr>
            </w:pPr>
            <w:r>
              <w:rPr>
                <w:rFonts w:ascii="Times New Roman" w:hAnsi="Times New Roman" w:eastAsia="等线"/>
                <w:b/>
                <w:kern w:val="0"/>
                <w:sz w:val="18"/>
                <w:szCs w:val="18"/>
                <w:lang w:eastAsia="en-US"/>
              </w:rPr>
              <w:t>VOCs 类别</w:t>
            </w:r>
          </w:p>
        </w:tc>
        <w:tc>
          <w:tcPr>
            <w:tcW w:w="4146" w:type="pct"/>
            <w:tcBorders>
              <w:top w:val="single" w:color="000000" w:sz="4" w:space="0"/>
              <w:left w:val="single" w:color="000000" w:sz="4" w:space="0"/>
              <w:bottom w:val="single" w:color="000000" w:sz="4" w:space="0"/>
              <w:right w:val="single" w:color="000000" w:sz="4" w:space="0"/>
            </w:tcBorders>
            <w:vAlign w:val="center"/>
          </w:tcPr>
          <w:p>
            <w:pPr>
              <w:snapToGrid w:val="0"/>
              <w:ind w:firstLine="180" w:firstLineChars="100"/>
              <w:jc w:val="center"/>
              <w:rPr>
                <w:rFonts w:ascii="Times New Roman" w:hAnsi="Times New Roman" w:eastAsia="等线"/>
                <w:b/>
                <w:kern w:val="0"/>
                <w:sz w:val="18"/>
                <w:szCs w:val="18"/>
                <w:lang w:eastAsia="en-US"/>
              </w:rPr>
            </w:pPr>
            <w:r>
              <w:rPr>
                <w:rFonts w:ascii="Times New Roman" w:hAnsi="Times New Roman" w:eastAsia="等线"/>
                <w:b/>
                <w:kern w:val="0"/>
                <w:sz w:val="18"/>
                <w:szCs w:val="18"/>
                <w:lang w:eastAsia="en-US"/>
              </w:rPr>
              <w:t>典型物质</w:t>
            </w:r>
          </w:p>
        </w:tc>
      </w:tr>
      <w:tr>
        <w:tblPrEx>
          <w:tblCellMar>
            <w:top w:w="0" w:type="dxa"/>
            <w:left w:w="108" w:type="dxa"/>
            <w:bottom w:w="0" w:type="dxa"/>
            <w:right w:w="108" w:type="dxa"/>
          </w:tblCellMar>
        </w:tblPrEx>
        <w:trPr>
          <w:trHeight w:val="340" w:hRule="atLeast"/>
          <w:jc w:val="center"/>
        </w:trPr>
        <w:tc>
          <w:tcPr>
            <w:tcW w:w="854" w:type="pct"/>
            <w:tcBorders>
              <w:top w:val="single" w:color="000000" w:sz="4" w:space="0"/>
              <w:left w:val="single" w:color="000000" w:sz="4" w:space="0"/>
              <w:bottom w:val="single" w:color="000000" w:sz="4" w:space="0"/>
              <w:right w:val="single" w:color="000000" w:sz="4" w:space="0"/>
            </w:tcBorders>
            <w:vAlign w:val="center"/>
          </w:tcPr>
          <w:p>
            <w:pPr>
              <w:snapToGrid w:val="0"/>
              <w:ind w:firstLine="180" w:firstLineChars="100"/>
              <w:jc w:val="center"/>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苯类</w:t>
            </w:r>
          </w:p>
        </w:tc>
        <w:tc>
          <w:tcPr>
            <w:tcW w:w="4146" w:type="pct"/>
            <w:tcBorders>
              <w:top w:val="single" w:color="000000" w:sz="4" w:space="0"/>
              <w:left w:val="single" w:color="000000" w:sz="4" w:space="0"/>
              <w:bottom w:val="single" w:color="000000" w:sz="4" w:space="0"/>
              <w:right w:val="single" w:color="000000" w:sz="4" w:space="0"/>
            </w:tcBorders>
            <w:vAlign w:val="center"/>
          </w:tcPr>
          <w:p>
            <w:pPr>
              <w:snapToGrid w:val="0"/>
              <w:ind w:firstLine="180" w:firstLineChars="100"/>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苯、甲苯、二甲苯、</w:t>
            </w:r>
            <w:r>
              <w:rPr>
                <w:rFonts w:hint="eastAsia" w:ascii="Times New Roman" w:hAnsi="Times New Roman" w:eastAsiaTheme="minorEastAsia"/>
                <w:bCs/>
                <w:kern w:val="0"/>
                <w:sz w:val="18"/>
                <w:szCs w:val="18"/>
                <w:lang w:eastAsia="zh-CN"/>
              </w:rPr>
              <w:t>三甲苯、</w:t>
            </w:r>
            <w:r>
              <w:rPr>
                <w:rFonts w:ascii="Times New Roman" w:hAnsi="Times New Roman" w:eastAsiaTheme="minorEastAsia"/>
                <w:bCs/>
                <w:kern w:val="0"/>
                <w:sz w:val="18"/>
                <w:szCs w:val="18"/>
                <w:lang w:eastAsia="en-US"/>
              </w:rPr>
              <w:t>乙苯、</w:t>
            </w:r>
            <w:r>
              <w:rPr>
                <w:rFonts w:hint="eastAsia" w:ascii="Times New Roman" w:hAnsi="Times New Roman" w:eastAsiaTheme="minorEastAsia"/>
                <w:bCs/>
                <w:kern w:val="0"/>
                <w:sz w:val="18"/>
                <w:szCs w:val="18"/>
                <w:lang w:eastAsia="zh-CN"/>
              </w:rPr>
              <w:t>苯乙烯、</w:t>
            </w:r>
            <w:r>
              <w:rPr>
                <w:rFonts w:ascii="Times New Roman" w:hAnsi="Times New Roman" w:eastAsiaTheme="minorEastAsia"/>
                <w:bCs/>
                <w:kern w:val="0"/>
                <w:sz w:val="18"/>
                <w:szCs w:val="18"/>
                <w:lang w:eastAsia="en-US"/>
              </w:rPr>
              <w:t>异丙苯</w:t>
            </w:r>
          </w:p>
        </w:tc>
      </w:tr>
      <w:tr>
        <w:tblPrEx>
          <w:tblCellMar>
            <w:top w:w="0" w:type="dxa"/>
            <w:left w:w="108" w:type="dxa"/>
            <w:bottom w:w="0" w:type="dxa"/>
            <w:right w:w="108" w:type="dxa"/>
          </w:tblCellMar>
        </w:tblPrEx>
        <w:trPr>
          <w:trHeight w:val="340" w:hRule="atLeast"/>
          <w:jc w:val="center"/>
        </w:trPr>
        <w:tc>
          <w:tcPr>
            <w:tcW w:w="854" w:type="pct"/>
            <w:tcBorders>
              <w:top w:val="single" w:color="000000" w:sz="4" w:space="0"/>
              <w:left w:val="single" w:color="000000" w:sz="4" w:space="0"/>
              <w:bottom w:val="single" w:color="000000" w:sz="4" w:space="0"/>
              <w:right w:val="single" w:color="000000" w:sz="4" w:space="0"/>
            </w:tcBorders>
            <w:vAlign w:val="center"/>
          </w:tcPr>
          <w:p>
            <w:pPr>
              <w:snapToGrid w:val="0"/>
              <w:ind w:firstLine="180" w:firstLineChars="100"/>
              <w:jc w:val="center"/>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烷烃</w:t>
            </w:r>
          </w:p>
        </w:tc>
        <w:tc>
          <w:tcPr>
            <w:tcW w:w="4146" w:type="pct"/>
            <w:tcBorders>
              <w:top w:val="single" w:color="000000" w:sz="4" w:space="0"/>
              <w:left w:val="single" w:color="000000" w:sz="4" w:space="0"/>
              <w:bottom w:val="single" w:color="000000" w:sz="4" w:space="0"/>
              <w:right w:val="single" w:color="000000" w:sz="4" w:space="0"/>
            </w:tcBorders>
            <w:vAlign w:val="center"/>
          </w:tcPr>
          <w:p>
            <w:pPr>
              <w:snapToGrid w:val="0"/>
              <w:ind w:firstLine="180" w:firstLineChars="100"/>
              <w:rPr>
                <w:rFonts w:ascii="Times New Roman" w:hAnsi="Times New Roman" w:eastAsiaTheme="minorEastAsia"/>
                <w:bCs/>
                <w:kern w:val="0"/>
                <w:sz w:val="18"/>
                <w:szCs w:val="18"/>
                <w:lang w:eastAsia="zh-CN"/>
              </w:rPr>
            </w:pPr>
            <w:r>
              <w:rPr>
                <w:rFonts w:ascii="Times New Roman" w:hAnsi="Times New Roman" w:eastAsiaTheme="minorEastAsia"/>
                <w:bCs/>
                <w:kern w:val="0"/>
                <w:sz w:val="18"/>
                <w:szCs w:val="18"/>
                <w:lang w:eastAsia="zh-CN"/>
              </w:rPr>
              <w:t>甲烷、丙烷、正丁烷、环己烷、己烷</w:t>
            </w:r>
          </w:p>
        </w:tc>
      </w:tr>
      <w:tr>
        <w:tblPrEx>
          <w:tblCellMar>
            <w:top w:w="0" w:type="dxa"/>
            <w:left w:w="108" w:type="dxa"/>
            <w:bottom w:w="0" w:type="dxa"/>
            <w:right w:w="108" w:type="dxa"/>
          </w:tblCellMar>
        </w:tblPrEx>
        <w:trPr>
          <w:trHeight w:val="340" w:hRule="atLeast"/>
          <w:jc w:val="center"/>
        </w:trPr>
        <w:tc>
          <w:tcPr>
            <w:tcW w:w="854" w:type="pct"/>
            <w:tcBorders>
              <w:top w:val="single" w:color="000000" w:sz="4" w:space="0"/>
              <w:left w:val="single" w:color="000000" w:sz="4" w:space="0"/>
              <w:bottom w:val="single" w:color="000000" w:sz="4" w:space="0"/>
              <w:right w:val="single" w:color="000000" w:sz="4" w:space="0"/>
            </w:tcBorders>
            <w:vAlign w:val="center"/>
          </w:tcPr>
          <w:p>
            <w:pPr>
              <w:snapToGrid w:val="0"/>
              <w:ind w:firstLine="180" w:firstLineChars="100"/>
              <w:jc w:val="center"/>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烯烃</w:t>
            </w:r>
          </w:p>
        </w:tc>
        <w:tc>
          <w:tcPr>
            <w:tcW w:w="4146" w:type="pct"/>
            <w:tcBorders>
              <w:top w:val="single" w:color="000000" w:sz="4" w:space="0"/>
              <w:left w:val="single" w:color="000000" w:sz="4" w:space="0"/>
              <w:bottom w:val="single" w:color="000000" w:sz="4" w:space="0"/>
              <w:right w:val="single" w:color="000000" w:sz="4" w:space="0"/>
            </w:tcBorders>
            <w:vAlign w:val="center"/>
          </w:tcPr>
          <w:p>
            <w:pPr>
              <w:snapToGrid w:val="0"/>
              <w:ind w:firstLine="180" w:firstLineChars="100"/>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丙烯、氯丁二烯、戊二烯、氯乙烯</w:t>
            </w:r>
          </w:p>
        </w:tc>
      </w:tr>
      <w:tr>
        <w:tblPrEx>
          <w:tblCellMar>
            <w:top w:w="0" w:type="dxa"/>
            <w:left w:w="108" w:type="dxa"/>
            <w:bottom w:w="0" w:type="dxa"/>
            <w:right w:w="108" w:type="dxa"/>
          </w:tblCellMar>
        </w:tblPrEx>
        <w:trPr>
          <w:trHeight w:val="340" w:hRule="atLeast"/>
          <w:jc w:val="center"/>
        </w:trPr>
        <w:tc>
          <w:tcPr>
            <w:tcW w:w="854" w:type="pct"/>
            <w:tcBorders>
              <w:top w:val="single" w:color="000000" w:sz="4" w:space="0"/>
              <w:left w:val="single" w:color="000000" w:sz="4" w:space="0"/>
              <w:bottom w:val="single" w:color="000000" w:sz="4" w:space="0"/>
              <w:right w:val="single" w:color="000000" w:sz="4" w:space="0"/>
            </w:tcBorders>
            <w:vAlign w:val="center"/>
          </w:tcPr>
          <w:p>
            <w:pPr>
              <w:snapToGrid w:val="0"/>
              <w:ind w:firstLine="180" w:firstLineChars="100"/>
              <w:jc w:val="center"/>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卤代烃</w:t>
            </w:r>
          </w:p>
        </w:tc>
        <w:tc>
          <w:tcPr>
            <w:tcW w:w="4146" w:type="pct"/>
            <w:tcBorders>
              <w:top w:val="single" w:color="000000" w:sz="4" w:space="0"/>
              <w:left w:val="single" w:color="000000" w:sz="4" w:space="0"/>
              <w:bottom w:val="single" w:color="000000" w:sz="4" w:space="0"/>
              <w:right w:val="single" w:color="000000" w:sz="4" w:space="0"/>
            </w:tcBorders>
            <w:vAlign w:val="center"/>
          </w:tcPr>
          <w:p>
            <w:pPr>
              <w:snapToGrid w:val="0"/>
              <w:ind w:firstLine="180" w:firstLineChars="100"/>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二氯甲烷、三氯甲烷、氯仿、二氯乙烷</w:t>
            </w:r>
          </w:p>
        </w:tc>
      </w:tr>
      <w:tr>
        <w:tblPrEx>
          <w:tblCellMar>
            <w:top w:w="0" w:type="dxa"/>
            <w:left w:w="108" w:type="dxa"/>
            <w:bottom w:w="0" w:type="dxa"/>
            <w:right w:w="108" w:type="dxa"/>
          </w:tblCellMar>
        </w:tblPrEx>
        <w:trPr>
          <w:trHeight w:val="340" w:hRule="atLeast"/>
          <w:jc w:val="center"/>
        </w:trPr>
        <w:tc>
          <w:tcPr>
            <w:tcW w:w="854" w:type="pct"/>
            <w:tcBorders>
              <w:top w:val="single" w:color="000000" w:sz="4" w:space="0"/>
              <w:left w:val="single" w:color="000000" w:sz="4" w:space="0"/>
              <w:bottom w:val="single" w:color="000000" w:sz="4" w:space="0"/>
              <w:right w:val="single" w:color="000000" w:sz="4" w:space="0"/>
            </w:tcBorders>
            <w:vAlign w:val="center"/>
          </w:tcPr>
          <w:p>
            <w:pPr>
              <w:snapToGrid w:val="0"/>
              <w:ind w:firstLine="180" w:firstLineChars="100"/>
              <w:jc w:val="center"/>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醇类</w:t>
            </w:r>
          </w:p>
        </w:tc>
        <w:tc>
          <w:tcPr>
            <w:tcW w:w="4146" w:type="pct"/>
            <w:tcBorders>
              <w:top w:val="single" w:color="000000" w:sz="4" w:space="0"/>
              <w:left w:val="single" w:color="000000" w:sz="4" w:space="0"/>
              <w:bottom w:val="single" w:color="000000" w:sz="4" w:space="0"/>
              <w:right w:val="single" w:color="000000" w:sz="4" w:space="0"/>
            </w:tcBorders>
            <w:vAlign w:val="center"/>
          </w:tcPr>
          <w:p>
            <w:pPr>
              <w:snapToGrid w:val="0"/>
              <w:ind w:firstLine="180" w:firstLineChars="100"/>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甲醇、乙醇、丁醇、乙二醇、正丁醇、异丙醇、异丁醇、甲硫醇</w:t>
            </w:r>
          </w:p>
        </w:tc>
      </w:tr>
      <w:tr>
        <w:tblPrEx>
          <w:tblCellMar>
            <w:top w:w="0" w:type="dxa"/>
            <w:left w:w="108" w:type="dxa"/>
            <w:bottom w:w="0" w:type="dxa"/>
            <w:right w:w="108" w:type="dxa"/>
          </w:tblCellMar>
        </w:tblPrEx>
        <w:trPr>
          <w:trHeight w:val="340" w:hRule="atLeast"/>
          <w:jc w:val="center"/>
        </w:trPr>
        <w:tc>
          <w:tcPr>
            <w:tcW w:w="854" w:type="pct"/>
            <w:tcBorders>
              <w:top w:val="single" w:color="000000" w:sz="4" w:space="0"/>
              <w:left w:val="single" w:color="000000" w:sz="4" w:space="0"/>
              <w:bottom w:val="single" w:color="000000" w:sz="4" w:space="0"/>
              <w:right w:val="single" w:color="000000" w:sz="4" w:space="0"/>
            </w:tcBorders>
            <w:vAlign w:val="center"/>
          </w:tcPr>
          <w:p>
            <w:pPr>
              <w:snapToGrid w:val="0"/>
              <w:ind w:firstLine="180" w:firstLineChars="100"/>
              <w:jc w:val="center"/>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醛类</w:t>
            </w:r>
          </w:p>
        </w:tc>
        <w:tc>
          <w:tcPr>
            <w:tcW w:w="4146" w:type="pct"/>
            <w:tcBorders>
              <w:top w:val="single" w:color="000000" w:sz="4" w:space="0"/>
              <w:left w:val="single" w:color="000000" w:sz="4" w:space="0"/>
              <w:bottom w:val="single" w:color="000000" w:sz="4" w:space="0"/>
              <w:right w:val="single" w:color="000000" w:sz="4" w:space="0"/>
            </w:tcBorders>
            <w:vAlign w:val="center"/>
          </w:tcPr>
          <w:p>
            <w:pPr>
              <w:snapToGrid w:val="0"/>
              <w:ind w:firstLine="180" w:firstLineChars="100"/>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甲醛、乙醛、丙烯醛</w:t>
            </w:r>
          </w:p>
        </w:tc>
      </w:tr>
      <w:tr>
        <w:tblPrEx>
          <w:tblCellMar>
            <w:top w:w="0" w:type="dxa"/>
            <w:left w:w="108" w:type="dxa"/>
            <w:bottom w:w="0" w:type="dxa"/>
            <w:right w:w="108" w:type="dxa"/>
          </w:tblCellMar>
        </w:tblPrEx>
        <w:trPr>
          <w:trHeight w:val="340" w:hRule="atLeast"/>
          <w:jc w:val="center"/>
        </w:trPr>
        <w:tc>
          <w:tcPr>
            <w:tcW w:w="854" w:type="pct"/>
            <w:tcBorders>
              <w:top w:val="single" w:color="000000" w:sz="4" w:space="0"/>
              <w:left w:val="single" w:color="000000" w:sz="4" w:space="0"/>
              <w:bottom w:val="single" w:color="000000" w:sz="4" w:space="0"/>
              <w:right w:val="single" w:color="000000" w:sz="4" w:space="0"/>
            </w:tcBorders>
            <w:vAlign w:val="center"/>
          </w:tcPr>
          <w:p>
            <w:pPr>
              <w:snapToGrid w:val="0"/>
              <w:ind w:firstLine="180" w:firstLineChars="100"/>
              <w:jc w:val="center"/>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酮类</w:t>
            </w:r>
          </w:p>
        </w:tc>
        <w:tc>
          <w:tcPr>
            <w:tcW w:w="4146" w:type="pct"/>
            <w:tcBorders>
              <w:top w:val="single" w:color="000000" w:sz="4" w:space="0"/>
              <w:left w:val="single" w:color="000000" w:sz="4" w:space="0"/>
              <w:bottom w:val="single" w:color="000000" w:sz="4" w:space="0"/>
              <w:right w:val="single" w:color="000000" w:sz="4" w:space="0"/>
            </w:tcBorders>
            <w:vAlign w:val="center"/>
          </w:tcPr>
          <w:p>
            <w:pPr>
              <w:snapToGrid w:val="0"/>
              <w:ind w:firstLine="180" w:firstLineChars="100"/>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丁酮、丙酮、环己酮</w:t>
            </w:r>
          </w:p>
        </w:tc>
      </w:tr>
      <w:tr>
        <w:tblPrEx>
          <w:tblCellMar>
            <w:top w:w="0" w:type="dxa"/>
            <w:left w:w="108" w:type="dxa"/>
            <w:bottom w:w="0" w:type="dxa"/>
            <w:right w:w="108" w:type="dxa"/>
          </w:tblCellMar>
        </w:tblPrEx>
        <w:trPr>
          <w:trHeight w:val="340" w:hRule="atLeast"/>
          <w:jc w:val="center"/>
        </w:trPr>
        <w:tc>
          <w:tcPr>
            <w:tcW w:w="854" w:type="pct"/>
            <w:tcBorders>
              <w:top w:val="single" w:color="000000" w:sz="4" w:space="0"/>
              <w:left w:val="single" w:color="000000" w:sz="4" w:space="0"/>
              <w:bottom w:val="single" w:color="000000" w:sz="4" w:space="0"/>
              <w:right w:val="single" w:color="000000" w:sz="4" w:space="0"/>
            </w:tcBorders>
            <w:vAlign w:val="center"/>
          </w:tcPr>
          <w:p>
            <w:pPr>
              <w:snapToGrid w:val="0"/>
              <w:ind w:firstLine="180" w:firstLineChars="100"/>
              <w:jc w:val="center"/>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酚类</w:t>
            </w:r>
          </w:p>
        </w:tc>
        <w:tc>
          <w:tcPr>
            <w:tcW w:w="4146" w:type="pct"/>
            <w:tcBorders>
              <w:top w:val="single" w:color="000000" w:sz="4" w:space="0"/>
              <w:left w:val="single" w:color="000000" w:sz="4" w:space="0"/>
              <w:bottom w:val="single" w:color="000000" w:sz="4" w:space="0"/>
              <w:right w:val="single" w:color="000000" w:sz="4" w:space="0"/>
            </w:tcBorders>
            <w:vAlign w:val="center"/>
          </w:tcPr>
          <w:p>
            <w:pPr>
              <w:snapToGrid w:val="0"/>
              <w:ind w:firstLine="180" w:firstLineChars="100"/>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苯酚、苯硫酚</w:t>
            </w:r>
          </w:p>
        </w:tc>
      </w:tr>
      <w:tr>
        <w:tblPrEx>
          <w:tblCellMar>
            <w:top w:w="0" w:type="dxa"/>
            <w:left w:w="108" w:type="dxa"/>
            <w:bottom w:w="0" w:type="dxa"/>
            <w:right w:w="108" w:type="dxa"/>
          </w:tblCellMar>
        </w:tblPrEx>
        <w:trPr>
          <w:trHeight w:val="340" w:hRule="atLeast"/>
          <w:jc w:val="center"/>
        </w:trPr>
        <w:tc>
          <w:tcPr>
            <w:tcW w:w="854" w:type="pct"/>
            <w:tcBorders>
              <w:top w:val="single" w:color="000000" w:sz="4" w:space="0"/>
              <w:left w:val="single" w:color="000000" w:sz="4" w:space="0"/>
              <w:bottom w:val="single" w:color="000000" w:sz="4" w:space="0"/>
              <w:right w:val="single" w:color="000000" w:sz="4" w:space="0"/>
            </w:tcBorders>
            <w:vAlign w:val="center"/>
          </w:tcPr>
          <w:p>
            <w:pPr>
              <w:snapToGrid w:val="0"/>
              <w:ind w:firstLine="180" w:firstLineChars="100"/>
              <w:jc w:val="center"/>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醚类</w:t>
            </w:r>
          </w:p>
        </w:tc>
        <w:tc>
          <w:tcPr>
            <w:tcW w:w="4146" w:type="pct"/>
            <w:tcBorders>
              <w:top w:val="single" w:color="000000" w:sz="4" w:space="0"/>
              <w:left w:val="single" w:color="000000" w:sz="4" w:space="0"/>
              <w:bottom w:val="single" w:color="000000" w:sz="4" w:space="0"/>
              <w:right w:val="single" w:color="000000" w:sz="4" w:space="0"/>
            </w:tcBorders>
            <w:vAlign w:val="center"/>
          </w:tcPr>
          <w:p>
            <w:pPr>
              <w:snapToGrid w:val="0"/>
              <w:ind w:firstLine="180" w:firstLineChars="100"/>
              <w:rPr>
                <w:rFonts w:ascii="Times New Roman" w:hAnsi="Times New Roman" w:eastAsiaTheme="minorEastAsia"/>
                <w:bCs/>
                <w:kern w:val="0"/>
                <w:sz w:val="18"/>
                <w:szCs w:val="18"/>
                <w:lang w:eastAsia="zh-CN"/>
              </w:rPr>
            </w:pPr>
            <w:r>
              <w:rPr>
                <w:rFonts w:ascii="Times New Roman" w:hAnsi="Times New Roman" w:eastAsiaTheme="minorEastAsia"/>
                <w:bCs/>
                <w:kern w:val="0"/>
                <w:sz w:val="18"/>
                <w:szCs w:val="18"/>
                <w:lang w:eastAsia="zh-CN"/>
              </w:rPr>
              <w:t>丁醚、乙醚、二甲醚、甲硫醚、四氢呋喃</w:t>
            </w:r>
          </w:p>
        </w:tc>
      </w:tr>
      <w:tr>
        <w:tblPrEx>
          <w:tblCellMar>
            <w:top w:w="0" w:type="dxa"/>
            <w:left w:w="108" w:type="dxa"/>
            <w:bottom w:w="0" w:type="dxa"/>
            <w:right w:w="108" w:type="dxa"/>
          </w:tblCellMar>
        </w:tblPrEx>
        <w:trPr>
          <w:trHeight w:val="340" w:hRule="atLeast"/>
          <w:jc w:val="center"/>
        </w:trPr>
        <w:tc>
          <w:tcPr>
            <w:tcW w:w="854" w:type="pct"/>
            <w:tcBorders>
              <w:top w:val="single" w:color="000000" w:sz="4" w:space="0"/>
              <w:left w:val="single" w:color="000000" w:sz="4" w:space="0"/>
              <w:bottom w:val="single" w:color="000000" w:sz="4" w:space="0"/>
              <w:right w:val="single" w:color="000000" w:sz="4" w:space="0"/>
            </w:tcBorders>
            <w:vAlign w:val="center"/>
          </w:tcPr>
          <w:p>
            <w:pPr>
              <w:snapToGrid w:val="0"/>
              <w:ind w:firstLine="180" w:firstLineChars="100"/>
              <w:jc w:val="center"/>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酸类</w:t>
            </w:r>
          </w:p>
        </w:tc>
        <w:tc>
          <w:tcPr>
            <w:tcW w:w="4146" w:type="pct"/>
            <w:tcBorders>
              <w:top w:val="single" w:color="000000" w:sz="4" w:space="0"/>
              <w:left w:val="single" w:color="000000" w:sz="4" w:space="0"/>
              <w:bottom w:val="single" w:color="000000" w:sz="4" w:space="0"/>
              <w:right w:val="single" w:color="000000" w:sz="4" w:space="0"/>
            </w:tcBorders>
            <w:vAlign w:val="center"/>
          </w:tcPr>
          <w:p>
            <w:pPr>
              <w:snapToGrid w:val="0"/>
              <w:ind w:firstLine="180" w:firstLineChars="100"/>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丙烯酸、苯乙酸、乙酸</w:t>
            </w:r>
          </w:p>
        </w:tc>
      </w:tr>
      <w:tr>
        <w:tblPrEx>
          <w:tblCellMar>
            <w:top w:w="0" w:type="dxa"/>
            <w:left w:w="108" w:type="dxa"/>
            <w:bottom w:w="0" w:type="dxa"/>
            <w:right w:w="108" w:type="dxa"/>
          </w:tblCellMar>
        </w:tblPrEx>
        <w:trPr>
          <w:trHeight w:val="340" w:hRule="atLeast"/>
          <w:jc w:val="center"/>
        </w:trPr>
        <w:tc>
          <w:tcPr>
            <w:tcW w:w="854" w:type="pct"/>
            <w:tcBorders>
              <w:top w:val="single" w:color="000000" w:sz="4" w:space="0"/>
              <w:left w:val="single" w:color="000000" w:sz="4" w:space="0"/>
              <w:bottom w:val="single" w:color="000000" w:sz="4" w:space="0"/>
              <w:right w:val="single" w:color="000000" w:sz="4" w:space="0"/>
            </w:tcBorders>
            <w:vAlign w:val="center"/>
          </w:tcPr>
          <w:p>
            <w:pPr>
              <w:snapToGrid w:val="0"/>
              <w:ind w:firstLine="180" w:firstLineChars="100"/>
              <w:jc w:val="center"/>
              <w:rPr>
                <w:rFonts w:ascii="Times New Roman" w:hAnsi="Times New Roman" w:eastAsiaTheme="minorEastAsia"/>
                <w:bCs/>
                <w:kern w:val="0"/>
                <w:sz w:val="18"/>
                <w:szCs w:val="18"/>
                <w:lang w:eastAsia="zh-CN"/>
              </w:rPr>
            </w:pPr>
            <w:r>
              <w:rPr>
                <w:rFonts w:ascii="Times New Roman" w:hAnsi="Times New Roman" w:eastAsiaTheme="minorEastAsia"/>
                <w:bCs/>
                <w:kern w:val="0"/>
                <w:sz w:val="18"/>
                <w:szCs w:val="18"/>
                <w:lang w:eastAsia="zh-CN"/>
              </w:rPr>
              <w:t>酯类</w:t>
            </w:r>
          </w:p>
        </w:tc>
        <w:tc>
          <w:tcPr>
            <w:tcW w:w="4146" w:type="pct"/>
            <w:tcBorders>
              <w:top w:val="single" w:color="000000" w:sz="4" w:space="0"/>
              <w:left w:val="single" w:color="000000" w:sz="4" w:space="0"/>
              <w:bottom w:val="single" w:color="000000" w:sz="4" w:space="0"/>
              <w:right w:val="single" w:color="000000" w:sz="4" w:space="0"/>
            </w:tcBorders>
            <w:vAlign w:val="center"/>
          </w:tcPr>
          <w:p>
            <w:pPr>
              <w:snapToGrid w:val="0"/>
              <w:ind w:firstLine="180" w:firstLineChars="100"/>
              <w:rPr>
                <w:rFonts w:ascii="Times New Roman" w:hAnsi="Times New Roman" w:eastAsiaTheme="minorEastAsia"/>
                <w:bCs/>
                <w:kern w:val="0"/>
                <w:sz w:val="18"/>
                <w:szCs w:val="18"/>
                <w:lang w:eastAsia="zh-CN"/>
              </w:rPr>
            </w:pPr>
            <w:r>
              <w:rPr>
                <w:rFonts w:ascii="Times New Roman" w:hAnsi="Times New Roman" w:eastAsiaTheme="minorEastAsia"/>
                <w:bCs/>
                <w:kern w:val="0"/>
                <w:sz w:val="18"/>
                <w:szCs w:val="18"/>
                <w:lang w:eastAsia="zh-CN"/>
              </w:rPr>
              <w:t>辛酯、戊酯、乙酸乙酯、乙酸丁酯、乙酸丙酯、丙烯酸乙酯、丙烯酸丁酯、酚醛树脂、环氧树脂</w:t>
            </w:r>
          </w:p>
        </w:tc>
      </w:tr>
      <w:tr>
        <w:tblPrEx>
          <w:tblCellMar>
            <w:top w:w="0" w:type="dxa"/>
            <w:left w:w="108" w:type="dxa"/>
            <w:bottom w:w="0" w:type="dxa"/>
            <w:right w:w="108" w:type="dxa"/>
          </w:tblCellMar>
        </w:tblPrEx>
        <w:trPr>
          <w:trHeight w:val="340" w:hRule="atLeast"/>
          <w:jc w:val="center"/>
        </w:trPr>
        <w:tc>
          <w:tcPr>
            <w:tcW w:w="854" w:type="pct"/>
            <w:tcBorders>
              <w:top w:val="single" w:color="000000" w:sz="4" w:space="0"/>
              <w:left w:val="single" w:color="000000" w:sz="4" w:space="0"/>
              <w:bottom w:val="single" w:color="000000" w:sz="4" w:space="0"/>
              <w:right w:val="single" w:color="000000" w:sz="4" w:space="0"/>
            </w:tcBorders>
            <w:vAlign w:val="center"/>
          </w:tcPr>
          <w:p>
            <w:pPr>
              <w:snapToGrid w:val="0"/>
              <w:ind w:firstLine="180" w:firstLineChars="100"/>
              <w:jc w:val="center"/>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胺类</w:t>
            </w:r>
          </w:p>
        </w:tc>
        <w:tc>
          <w:tcPr>
            <w:tcW w:w="4146" w:type="pct"/>
            <w:tcBorders>
              <w:top w:val="single" w:color="000000" w:sz="4" w:space="0"/>
              <w:left w:val="single" w:color="000000" w:sz="4" w:space="0"/>
              <w:bottom w:val="single" w:color="000000" w:sz="4" w:space="0"/>
              <w:right w:val="single" w:color="000000" w:sz="4" w:space="0"/>
            </w:tcBorders>
            <w:vAlign w:val="center"/>
          </w:tcPr>
          <w:p>
            <w:pPr>
              <w:snapToGrid w:val="0"/>
              <w:ind w:firstLine="180" w:firstLineChars="100"/>
              <w:rPr>
                <w:rFonts w:ascii="Times New Roman" w:hAnsi="Times New Roman" w:eastAsiaTheme="minorEastAsia"/>
                <w:bCs/>
                <w:kern w:val="0"/>
                <w:sz w:val="18"/>
                <w:szCs w:val="18"/>
                <w:lang w:eastAsia="zh-CN"/>
              </w:rPr>
            </w:pPr>
            <w:r>
              <w:rPr>
                <w:rFonts w:ascii="Times New Roman" w:hAnsi="Times New Roman" w:eastAsiaTheme="minorEastAsia"/>
                <w:bCs/>
                <w:kern w:val="0"/>
                <w:sz w:val="18"/>
                <w:szCs w:val="18"/>
                <w:lang w:eastAsia="zh-CN"/>
              </w:rPr>
              <w:t>一甲胺、二甲胺、三甲胺、三乙胺、苯乙胺、N-甲酰二甲胺（DMF）</w:t>
            </w:r>
          </w:p>
        </w:tc>
      </w:tr>
    </w:tbl>
    <w:p>
      <w:pPr>
        <w:pStyle w:val="13"/>
      </w:pPr>
      <w:bookmarkStart w:id="95" w:name="_Ref26347713"/>
    </w:p>
    <w:p>
      <w:pPr>
        <w:pStyle w:val="13"/>
        <w:spacing w:before="156" w:beforeLines="50" w:after="156" w:afterLines="50"/>
      </w:pPr>
      <w:r>
        <w:t xml:space="preserve">表 </w:t>
      </w:r>
      <w:r>
        <w:fldChar w:fldCharType="begin"/>
      </w:r>
      <w:r>
        <w:instrText xml:space="preserve"> STYLEREF 1 \s </w:instrText>
      </w:r>
      <w:r>
        <w:fldChar w:fldCharType="separate"/>
      </w:r>
      <w:r>
        <w:t>3</w:t>
      </w:r>
      <w:r>
        <w:fldChar w:fldCharType="end"/>
      </w:r>
      <w:r>
        <w:noBreakHyphen/>
      </w:r>
      <w:bookmarkEnd w:id="95"/>
      <w:r>
        <w:t>5不同行业产生VOCs种类</w:t>
      </w:r>
    </w:p>
    <w:p>
      <w:pPr>
        <w:spacing w:before="9" w:line="20" w:lineRule="exact"/>
        <w:jc w:val="left"/>
        <w:rPr>
          <w:rFonts w:ascii="Times New Roman" w:hAnsi="Times New Roman"/>
          <w:kern w:val="0"/>
          <w:sz w:val="4"/>
          <w:szCs w:val="4"/>
        </w:rPr>
      </w:pPr>
    </w:p>
    <w:tbl>
      <w:tblPr>
        <w:tblStyle w:val="173"/>
        <w:tblW w:w="5000" w:type="pct"/>
        <w:tblInd w:w="0" w:type="dxa"/>
        <w:tblLayout w:type="autofit"/>
        <w:tblCellMar>
          <w:top w:w="0" w:type="dxa"/>
          <w:left w:w="0" w:type="dxa"/>
          <w:bottom w:w="0" w:type="dxa"/>
          <w:right w:w="0" w:type="dxa"/>
        </w:tblCellMar>
      </w:tblPr>
      <w:tblGrid>
        <w:gridCol w:w="930"/>
        <w:gridCol w:w="403"/>
        <w:gridCol w:w="424"/>
        <w:gridCol w:w="429"/>
        <w:gridCol w:w="429"/>
        <w:gridCol w:w="429"/>
        <w:gridCol w:w="429"/>
        <w:gridCol w:w="431"/>
        <w:gridCol w:w="431"/>
        <w:gridCol w:w="431"/>
        <w:gridCol w:w="434"/>
        <w:gridCol w:w="436"/>
        <w:gridCol w:w="436"/>
        <w:gridCol w:w="436"/>
        <w:gridCol w:w="436"/>
        <w:gridCol w:w="436"/>
        <w:gridCol w:w="473"/>
        <w:gridCol w:w="463"/>
      </w:tblGrid>
      <w:tr>
        <w:tblPrEx>
          <w:tblCellMar>
            <w:top w:w="0" w:type="dxa"/>
            <w:left w:w="0" w:type="dxa"/>
            <w:bottom w:w="0" w:type="dxa"/>
            <w:right w:w="0" w:type="dxa"/>
          </w:tblCellMar>
        </w:tblPrEx>
        <w:trPr>
          <w:trHeight w:val="1718" w:hRule="exact"/>
        </w:trPr>
        <w:tc>
          <w:tcPr>
            <w:tcW w:w="559" w:type="pct"/>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VOC种类</w:t>
            </w:r>
          </w:p>
        </w:tc>
        <w:tc>
          <w:tcPr>
            <w:tcW w:w="242" w:type="pct"/>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化学品制 造业</w:t>
            </w:r>
          </w:p>
        </w:tc>
        <w:tc>
          <w:tcPr>
            <w:tcW w:w="255" w:type="pct"/>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医药 制造 业</w:t>
            </w:r>
          </w:p>
        </w:tc>
        <w:tc>
          <w:tcPr>
            <w:tcW w:w="258" w:type="pct"/>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汽车 制造 业</w:t>
            </w:r>
          </w:p>
        </w:tc>
        <w:tc>
          <w:tcPr>
            <w:tcW w:w="258" w:type="pct"/>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食品 制造 业</w:t>
            </w:r>
          </w:p>
        </w:tc>
        <w:tc>
          <w:tcPr>
            <w:tcW w:w="258" w:type="pct"/>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印刷业</w:t>
            </w:r>
          </w:p>
        </w:tc>
        <w:tc>
          <w:tcPr>
            <w:tcW w:w="258" w:type="pct"/>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橡胶 和塑 料制 品业</w:t>
            </w:r>
          </w:p>
        </w:tc>
        <w:tc>
          <w:tcPr>
            <w:tcW w:w="259" w:type="pct"/>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计算 机等制造业</w:t>
            </w:r>
          </w:p>
        </w:tc>
        <w:tc>
          <w:tcPr>
            <w:tcW w:w="259" w:type="pct"/>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石油 加工业</w:t>
            </w:r>
          </w:p>
        </w:tc>
        <w:tc>
          <w:tcPr>
            <w:tcW w:w="259" w:type="pct"/>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电气制造业</w:t>
            </w:r>
          </w:p>
        </w:tc>
        <w:tc>
          <w:tcPr>
            <w:tcW w:w="261" w:type="pct"/>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金属 制品 业</w:t>
            </w:r>
          </w:p>
        </w:tc>
        <w:tc>
          <w:tcPr>
            <w:tcW w:w="262" w:type="pct"/>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通用 设备 制造 业</w:t>
            </w:r>
          </w:p>
        </w:tc>
        <w:tc>
          <w:tcPr>
            <w:tcW w:w="262" w:type="pct"/>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木材 加工业</w:t>
            </w:r>
          </w:p>
        </w:tc>
        <w:tc>
          <w:tcPr>
            <w:tcW w:w="262" w:type="pct"/>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烟草 制品 业</w:t>
            </w:r>
          </w:p>
        </w:tc>
        <w:tc>
          <w:tcPr>
            <w:tcW w:w="262" w:type="pct"/>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专用 设备 制造 业</w:t>
            </w:r>
          </w:p>
        </w:tc>
        <w:tc>
          <w:tcPr>
            <w:tcW w:w="262" w:type="pct"/>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制 鞋业</w:t>
            </w:r>
          </w:p>
        </w:tc>
        <w:tc>
          <w:tcPr>
            <w:tcW w:w="284" w:type="pct"/>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家具 造 业</w:t>
            </w:r>
          </w:p>
        </w:tc>
        <w:tc>
          <w:tcPr>
            <w:tcW w:w="278" w:type="pct"/>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Fonts w:ascii="Times New Roman" w:hAnsi="Times New Roman" w:eastAsiaTheme="minorEastAsia"/>
                <w:bCs/>
                <w:kern w:val="0"/>
                <w:sz w:val="18"/>
                <w:szCs w:val="18"/>
                <w:lang w:eastAsia="en-US"/>
              </w:rPr>
            </w:pPr>
            <w:r>
              <w:rPr>
                <w:rFonts w:ascii="Times New Roman" w:hAnsi="Times New Roman" w:eastAsiaTheme="minorEastAsia"/>
                <w:bCs/>
                <w:kern w:val="0"/>
                <w:sz w:val="18"/>
                <w:szCs w:val="18"/>
                <w:lang w:eastAsia="en-US"/>
              </w:rPr>
              <w:t>造 纸 和 纸 制 品 业</w:t>
            </w:r>
          </w:p>
        </w:tc>
      </w:tr>
      <w:tr>
        <w:tblPrEx>
          <w:tblCellMar>
            <w:top w:w="0" w:type="dxa"/>
            <w:left w:w="0" w:type="dxa"/>
            <w:bottom w:w="0" w:type="dxa"/>
            <w:right w:w="0" w:type="dxa"/>
          </w:tblCellMar>
        </w:tblPrEx>
        <w:trPr>
          <w:trHeight w:val="283" w:hRule="exact"/>
        </w:trPr>
        <w:tc>
          <w:tcPr>
            <w:tcW w:w="559" w:type="pct"/>
            <w:tcBorders>
              <w:top w:val="single" w:color="000000" w:sz="4" w:space="0"/>
              <w:left w:val="single" w:color="000000" w:sz="4" w:space="0"/>
              <w:bottom w:val="single" w:color="000000" w:sz="4" w:space="0"/>
              <w:right w:val="single" w:color="000000" w:sz="4" w:space="0"/>
            </w:tcBorders>
          </w:tcPr>
          <w:p>
            <w:pPr>
              <w:spacing w:line="240" w:lineRule="exact"/>
              <w:ind w:left="104"/>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苯类</w:t>
            </w:r>
          </w:p>
        </w:tc>
        <w:tc>
          <w:tcPr>
            <w:tcW w:w="242"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5" w:type="pct"/>
            <w:tcBorders>
              <w:top w:val="single" w:color="000000" w:sz="4" w:space="0"/>
              <w:left w:val="single" w:color="000000" w:sz="4" w:space="0"/>
              <w:bottom w:val="single" w:color="000000" w:sz="4" w:space="0"/>
              <w:right w:val="single" w:color="000000" w:sz="4" w:space="0"/>
            </w:tcBorders>
            <w:vAlign w:val="bottom"/>
          </w:tcPr>
          <w:p>
            <w:pPr>
              <w:spacing w:line="240" w:lineRule="exact"/>
              <w:ind w:left="102"/>
              <w:rPr>
                <w:rFonts w:ascii="Times New Roman" w:hAnsi="Times New Roman" w:eastAsiaTheme="minorEastAsia"/>
                <w:kern w:val="0"/>
                <w:sz w:val="30"/>
                <w:szCs w:val="30"/>
                <w:lang w:eastAsia="en-US"/>
              </w:rPr>
            </w:pPr>
            <w:r>
              <w:rPr>
                <w:rFonts w:hint="eastAsia" w:ascii="MS Mincho" w:hAnsi="MS Mincho" w:eastAsia="MS Mincho" w:cs="MS Mincho"/>
                <w:kern w:val="0"/>
                <w:sz w:val="30"/>
                <w:szCs w:val="30"/>
                <w:lang w:eastAsia="en-US"/>
              </w:rPr>
              <w:t>◑</w:t>
            </w:r>
          </w:p>
        </w:tc>
        <w:tc>
          <w:tcPr>
            <w:tcW w:w="258"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8"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8"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hint="eastAsia" w:ascii="MS Mincho" w:hAnsi="MS Mincho" w:eastAsia="MS Mincho" w:cs="MS Mincho"/>
                <w:kern w:val="0"/>
                <w:sz w:val="30"/>
                <w:szCs w:val="30"/>
                <w:lang w:eastAsia="en-US"/>
              </w:rPr>
              <w:t>◑</w:t>
            </w:r>
          </w:p>
        </w:tc>
        <w:tc>
          <w:tcPr>
            <w:tcW w:w="259"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hint="eastAsia" w:ascii="MS Mincho" w:hAnsi="MS Mincho" w:eastAsia="MS Mincho" w:cs="MS Mincho"/>
                <w:kern w:val="0"/>
                <w:sz w:val="30"/>
                <w:szCs w:val="30"/>
                <w:lang w:eastAsia="en-US"/>
              </w:rPr>
              <w:t>◑</w:t>
            </w:r>
          </w:p>
        </w:tc>
        <w:tc>
          <w:tcPr>
            <w:tcW w:w="259"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hint="eastAsia" w:ascii="MS Mincho" w:hAnsi="MS Mincho" w:eastAsia="MS Mincho" w:cs="MS Mincho"/>
                <w:kern w:val="0"/>
                <w:sz w:val="30"/>
                <w:szCs w:val="30"/>
                <w:lang w:eastAsia="en-US"/>
              </w:rPr>
              <w:t>◑</w:t>
            </w:r>
          </w:p>
        </w:tc>
        <w:tc>
          <w:tcPr>
            <w:tcW w:w="259"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hint="eastAsia" w:ascii="MS Mincho" w:hAnsi="MS Mincho" w:eastAsia="MS Mincho" w:cs="MS Mincho"/>
                <w:kern w:val="0"/>
                <w:sz w:val="30"/>
                <w:szCs w:val="30"/>
                <w:lang w:eastAsia="en-US"/>
              </w:rPr>
              <w:t>◑</w:t>
            </w:r>
          </w:p>
        </w:tc>
        <w:tc>
          <w:tcPr>
            <w:tcW w:w="261"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62"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62"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hint="eastAsia" w:ascii="MS Mincho" w:hAnsi="MS Mincho" w:eastAsia="MS Mincho" w:cs="MS Mincho"/>
                <w:kern w:val="0"/>
                <w:sz w:val="30"/>
                <w:szCs w:val="30"/>
                <w:lang w:eastAsia="en-US"/>
              </w:rPr>
              <w:t>◑</w:t>
            </w:r>
          </w:p>
        </w:tc>
        <w:tc>
          <w:tcPr>
            <w:tcW w:w="262" w:type="pct"/>
            <w:tcBorders>
              <w:top w:val="single" w:color="000000" w:sz="4" w:space="0"/>
              <w:left w:val="single" w:color="000000" w:sz="4" w:space="0"/>
              <w:bottom w:val="single" w:color="000000" w:sz="4" w:space="0"/>
              <w:right w:val="single" w:color="000000" w:sz="4" w:space="0"/>
            </w:tcBorders>
          </w:tcPr>
          <w:p>
            <w:pPr>
              <w:spacing w:line="240" w:lineRule="exact"/>
              <w:ind w:left="99"/>
              <w:jc w:val="left"/>
              <w:rPr>
                <w:rFonts w:ascii="Times New Roman" w:hAnsi="Times New Roman" w:eastAsiaTheme="minorEastAsia"/>
                <w:kern w:val="0"/>
                <w:sz w:val="18"/>
                <w:szCs w:val="18"/>
                <w:lang w:eastAsia="en-US"/>
              </w:rPr>
            </w:pPr>
            <w:r>
              <w:rPr>
                <w:rFonts w:hint="eastAsia" w:ascii="MS Mincho" w:hAnsi="MS Mincho" w:eastAsia="MS Mincho" w:cs="MS Mincho"/>
                <w:kern w:val="0"/>
                <w:sz w:val="30"/>
                <w:szCs w:val="30"/>
                <w:lang w:eastAsia="en-US"/>
              </w:rPr>
              <w:t>◑</w:t>
            </w:r>
          </w:p>
        </w:tc>
        <w:tc>
          <w:tcPr>
            <w:tcW w:w="262"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62"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84"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78"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r>
      <w:tr>
        <w:tblPrEx>
          <w:tblCellMar>
            <w:top w:w="0" w:type="dxa"/>
            <w:left w:w="0" w:type="dxa"/>
            <w:bottom w:w="0" w:type="dxa"/>
            <w:right w:w="0" w:type="dxa"/>
          </w:tblCellMar>
        </w:tblPrEx>
        <w:trPr>
          <w:trHeight w:val="283" w:hRule="exact"/>
        </w:trPr>
        <w:tc>
          <w:tcPr>
            <w:tcW w:w="559" w:type="pct"/>
            <w:tcBorders>
              <w:top w:val="single" w:color="000000" w:sz="4" w:space="0"/>
              <w:left w:val="single" w:color="000000" w:sz="4" w:space="0"/>
              <w:bottom w:val="single" w:color="000000" w:sz="4" w:space="0"/>
              <w:right w:val="single" w:color="000000" w:sz="4" w:space="0"/>
            </w:tcBorders>
          </w:tcPr>
          <w:p>
            <w:pPr>
              <w:spacing w:line="240" w:lineRule="exact"/>
              <w:ind w:left="104"/>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烷烃</w:t>
            </w:r>
          </w:p>
        </w:tc>
        <w:tc>
          <w:tcPr>
            <w:tcW w:w="242"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5"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8"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hint="eastAsia" w:ascii="MS Mincho" w:hAnsi="MS Mincho" w:eastAsia="MS Mincho" w:cs="MS Mincho"/>
                <w:kern w:val="0"/>
                <w:sz w:val="30"/>
                <w:szCs w:val="30"/>
                <w:lang w:eastAsia="en-US"/>
              </w:rPr>
              <w:t>◑</w:t>
            </w:r>
          </w:p>
        </w:tc>
        <w:tc>
          <w:tcPr>
            <w:tcW w:w="25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9"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9"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9"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1"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84"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7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r>
      <w:tr>
        <w:tblPrEx>
          <w:tblCellMar>
            <w:top w:w="0" w:type="dxa"/>
            <w:left w:w="0" w:type="dxa"/>
            <w:bottom w:w="0" w:type="dxa"/>
            <w:right w:w="0" w:type="dxa"/>
          </w:tblCellMar>
        </w:tblPrEx>
        <w:trPr>
          <w:trHeight w:val="283" w:hRule="exact"/>
        </w:trPr>
        <w:tc>
          <w:tcPr>
            <w:tcW w:w="559" w:type="pct"/>
            <w:tcBorders>
              <w:top w:val="single" w:color="000000" w:sz="4" w:space="0"/>
              <w:left w:val="single" w:color="000000" w:sz="4" w:space="0"/>
              <w:bottom w:val="single" w:color="000000" w:sz="4" w:space="0"/>
              <w:right w:val="single" w:color="000000" w:sz="4" w:space="0"/>
            </w:tcBorders>
          </w:tcPr>
          <w:p>
            <w:pPr>
              <w:spacing w:line="240" w:lineRule="exact"/>
              <w:ind w:left="104"/>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烯烃</w:t>
            </w:r>
          </w:p>
        </w:tc>
        <w:tc>
          <w:tcPr>
            <w:tcW w:w="242"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5"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8"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9"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9"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9"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61"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84"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7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r>
      <w:tr>
        <w:tblPrEx>
          <w:tblCellMar>
            <w:top w:w="0" w:type="dxa"/>
            <w:left w:w="0" w:type="dxa"/>
            <w:bottom w:w="0" w:type="dxa"/>
            <w:right w:w="0" w:type="dxa"/>
          </w:tblCellMar>
        </w:tblPrEx>
        <w:trPr>
          <w:trHeight w:val="421" w:hRule="exact"/>
        </w:trPr>
        <w:tc>
          <w:tcPr>
            <w:tcW w:w="559" w:type="pct"/>
            <w:tcBorders>
              <w:top w:val="single" w:color="000000" w:sz="4" w:space="0"/>
              <w:left w:val="single" w:color="000000" w:sz="4" w:space="0"/>
              <w:bottom w:val="single" w:color="000000" w:sz="4" w:space="0"/>
              <w:right w:val="single" w:color="000000" w:sz="4" w:space="0"/>
            </w:tcBorders>
            <w:vAlign w:val="center"/>
          </w:tcPr>
          <w:p>
            <w:pPr>
              <w:spacing w:line="240" w:lineRule="exact"/>
              <w:ind w:left="86" w:right="88"/>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卤代烃</w:t>
            </w:r>
          </w:p>
        </w:tc>
        <w:tc>
          <w:tcPr>
            <w:tcW w:w="242" w:type="pct"/>
            <w:tcBorders>
              <w:top w:val="single" w:color="000000" w:sz="4" w:space="0"/>
              <w:left w:val="single" w:color="000000" w:sz="4" w:space="0"/>
              <w:bottom w:val="single" w:color="000000" w:sz="4" w:space="0"/>
              <w:right w:val="single" w:color="000000" w:sz="4" w:space="0"/>
            </w:tcBorders>
          </w:tcPr>
          <w:p>
            <w:pPr>
              <w:spacing w:before="62"/>
              <w:ind w:left="102"/>
              <w:jc w:val="left"/>
              <w:rPr>
                <w:rFonts w:ascii="Times New Roman" w:hAnsi="Times New Roman" w:eastAsiaTheme="minorEastAsia"/>
                <w:kern w:val="0"/>
                <w:sz w:val="18"/>
                <w:szCs w:val="18"/>
                <w:lang w:eastAsia="en-US"/>
              </w:rPr>
            </w:pPr>
            <w:r>
              <w:rPr>
                <w:rFonts w:hint="eastAsia" w:ascii="MS Mincho" w:hAnsi="MS Mincho" w:eastAsia="MS Mincho" w:cs="MS Mincho"/>
                <w:kern w:val="0"/>
                <w:sz w:val="18"/>
                <w:szCs w:val="18"/>
                <w:lang w:eastAsia="en-US"/>
              </w:rPr>
              <w:t>◑</w:t>
            </w:r>
          </w:p>
        </w:tc>
        <w:tc>
          <w:tcPr>
            <w:tcW w:w="255" w:type="pct"/>
            <w:tcBorders>
              <w:top w:val="single" w:color="000000" w:sz="4" w:space="0"/>
              <w:left w:val="single" w:color="000000" w:sz="4" w:space="0"/>
              <w:bottom w:val="single" w:color="000000" w:sz="4" w:space="0"/>
              <w:right w:val="single" w:color="000000" w:sz="4" w:space="0"/>
            </w:tcBorders>
          </w:tcPr>
          <w:p>
            <w:pPr>
              <w:spacing w:before="64"/>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8" w:type="pct"/>
            <w:tcBorders>
              <w:top w:val="single" w:color="000000" w:sz="4" w:space="0"/>
              <w:left w:val="single" w:color="000000" w:sz="4" w:space="0"/>
              <w:bottom w:val="single" w:color="000000" w:sz="4" w:space="0"/>
              <w:right w:val="single" w:color="000000" w:sz="4" w:space="0"/>
            </w:tcBorders>
          </w:tcPr>
          <w:p>
            <w:pPr>
              <w:spacing w:before="64"/>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8" w:type="pct"/>
            <w:tcBorders>
              <w:top w:val="single" w:color="000000" w:sz="4" w:space="0"/>
              <w:left w:val="single" w:color="000000" w:sz="4" w:space="0"/>
              <w:bottom w:val="single" w:color="000000" w:sz="4" w:space="0"/>
              <w:right w:val="single" w:color="000000" w:sz="4" w:space="0"/>
            </w:tcBorders>
          </w:tcPr>
          <w:p>
            <w:pPr>
              <w:spacing w:before="64"/>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9"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9"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9"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1"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84"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7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r>
      <w:tr>
        <w:tblPrEx>
          <w:tblCellMar>
            <w:top w:w="0" w:type="dxa"/>
            <w:left w:w="0" w:type="dxa"/>
            <w:bottom w:w="0" w:type="dxa"/>
            <w:right w:w="0" w:type="dxa"/>
          </w:tblCellMar>
        </w:tblPrEx>
        <w:trPr>
          <w:trHeight w:val="283" w:hRule="exact"/>
        </w:trPr>
        <w:tc>
          <w:tcPr>
            <w:tcW w:w="559" w:type="pct"/>
            <w:tcBorders>
              <w:top w:val="single" w:color="000000" w:sz="4" w:space="0"/>
              <w:left w:val="single" w:color="000000" w:sz="4" w:space="0"/>
              <w:bottom w:val="single" w:color="000000" w:sz="4" w:space="0"/>
              <w:right w:val="single" w:color="000000" w:sz="4" w:space="0"/>
            </w:tcBorders>
          </w:tcPr>
          <w:p>
            <w:pPr>
              <w:spacing w:line="240" w:lineRule="exact"/>
              <w:ind w:left="104"/>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醇类</w:t>
            </w:r>
          </w:p>
        </w:tc>
        <w:tc>
          <w:tcPr>
            <w:tcW w:w="242"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5"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8"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hint="eastAsia" w:ascii="MS Mincho" w:hAnsi="MS Mincho" w:eastAsia="MS Mincho" w:cs="MS Mincho"/>
                <w:kern w:val="0"/>
                <w:sz w:val="30"/>
                <w:szCs w:val="30"/>
                <w:lang w:eastAsia="en-US"/>
              </w:rPr>
              <w:t>◑</w:t>
            </w:r>
          </w:p>
        </w:tc>
        <w:tc>
          <w:tcPr>
            <w:tcW w:w="258"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hint="eastAsia" w:ascii="MS Mincho" w:hAnsi="MS Mincho" w:eastAsia="MS Mincho" w:cs="MS Mincho"/>
                <w:kern w:val="0"/>
                <w:sz w:val="30"/>
                <w:szCs w:val="30"/>
                <w:lang w:eastAsia="en-US"/>
              </w:rPr>
              <w:t>◑</w:t>
            </w:r>
          </w:p>
        </w:tc>
        <w:tc>
          <w:tcPr>
            <w:tcW w:w="258"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8"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9"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9"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9"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1"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84"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78"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r>
      <w:tr>
        <w:tblPrEx>
          <w:tblCellMar>
            <w:top w:w="0" w:type="dxa"/>
            <w:left w:w="0" w:type="dxa"/>
            <w:bottom w:w="0" w:type="dxa"/>
            <w:right w:w="0" w:type="dxa"/>
          </w:tblCellMar>
        </w:tblPrEx>
        <w:trPr>
          <w:trHeight w:val="283" w:hRule="exact"/>
        </w:trPr>
        <w:tc>
          <w:tcPr>
            <w:tcW w:w="559" w:type="pct"/>
            <w:tcBorders>
              <w:top w:val="single" w:color="000000" w:sz="4" w:space="0"/>
              <w:left w:val="single" w:color="000000" w:sz="4" w:space="0"/>
              <w:bottom w:val="single" w:color="000000" w:sz="4" w:space="0"/>
              <w:right w:val="single" w:color="000000" w:sz="4" w:space="0"/>
            </w:tcBorders>
          </w:tcPr>
          <w:p>
            <w:pPr>
              <w:spacing w:line="240" w:lineRule="exact"/>
              <w:ind w:left="104"/>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醛类</w:t>
            </w:r>
          </w:p>
        </w:tc>
        <w:tc>
          <w:tcPr>
            <w:tcW w:w="242"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5"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8"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hint="eastAsia" w:ascii="MS Mincho" w:hAnsi="MS Mincho" w:eastAsia="MS Mincho" w:cs="MS Mincho"/>
                <w:kern w:val="0"/>
                <w:sz w:val="30"/>
                <w:szCs w:val="30"/>
                <w:lang w:eastAsia="en-US"/>
              </w:rPr>
              <w:t>◑</w:t>
            </w:r>
          </w:p>
        </w:tc>
        <w:tc>
          <w:tcPr>
            <w:tcW w:w="25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8"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8"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9"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9"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9"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1"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spacing w:line="240" w:lineRule="exact"/>
              <w:ind w:left="99"/>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84"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7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r>
      <w:tr>
        <w:tblPrEx>
          <w:tblCellMar>
            <w:top w:w="0" w:type="dxa"/>
            <w:left w:w="0" w:type="dxa"/>
            <w:bottom w:w="0" w:type="dxa"/>
            <w:right w:w="0" w:type="dxa"/>
          </w:tblCellMar>
        </w:tblPrEx>
        <w:trPr>
          <w:trHeight w:val="284" w:hRule="exact"/>
        </w:trPr>
        <w:tc>
          <w:tcPr>
            <w:tcW w:w="559" w:type="pct"/>
            <w:tcBorders>
              <w:top w:val="single" w:color="000000" w:sz="4" w:space="0"/>
              <w:left w:val="single" w:color="000000" w:sz="4" w:space="0"/>
              <w:bottom w:val="single" w:color="000000" w:sz="4" w:space="0"/>
              <w:right w:val="single" w:color="000000" w:sz="4" w:space="0"/>
            </w:tcBorders>
          </w:tcPr>
          <w:p>
            <w:pPr>
              <w:spacing w:line="240" w:lineRule="exact"/>
              <w:ind w:left="104"/>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酮类</w:t>
            </w:r>
          </w:p>
        </w:tc>
        <w:tc>
          <w:tcPr>
            <w:tcW w:w="242"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5"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hint="eastAsia" w:ascii="MS Mincho" w:hAnsi="MS Mincho" w:eastAsia="MS Mincho" w:cs="MS Mincho"/>
                <w:kern w:val="0"/>
                <w:sz w:val="30"/>
                <w:szCs w:val="30"/>
                <w:lang w:eastAsia="en-US"/>
              </w:rPr>
              <w:t>◑</w:t>
            </w:r>
          </w:p>
        </w:tc>
        <w:tc>
          <w:tcPr>
            <w:tcW w:w="258"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hint="eastAsia" w:ascii="MS Mincho" w:hAnsi="MS Mincho" w:eastAsia="MS Mincho" w:cs="MS Mincho"/>
                <w:kern w:val="0"/>
                <w:sz w:val="30"/>
                <w:szCs w:val="30"/>
                <w:lang w:eastAsia="en-US"/>
              </w:rPr>
              <w:t>◑</w:t>
            </w:r>
          </w:p>
        </w:tc>
        <w:tc>
          <w:tcPr>
            <w:tcW w:w="25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8"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8"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9"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9"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9"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61"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84"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7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r>
      <w:tr>
        <w:tblPrEx>
          <w:tblCellMar>
            <w:top w:w="0" w:type="dxa"/>
            <w:left w:w="0" w:type="dxa"/>
            <w:bottom w:w="0" w:type="dxa"/>
            <w:right w:w="0" w:type="dxa"/>
          </w:tblCellMar>
        </w:tblPrEx>
        <w:trPr>
          <w:trHeight w:val="283" w:hRule="exact"/>
        </w:trPr>
        <w:tc>
          <w:tcPr>
            <w:tcW w:w="559" w:type="pct"/>
            <w:tcBorders>
              <w:top w:val="single" w:color="000000" w:sz="4" w:space="0"/>
              <w:left w:val="single" w:color="000000" w:sz="4" w:space="0"/>
              <w:bottom w:val="single" w:color="000000" w:sz="4" w:space="0"/>
              <w:right w:val="single" w:color="000000" w:sz="4" w:space="0"/>
            </w:tcBorders>
          </w:tcPr>
          <w:p>
            <w:pPr>
              <w:spacing w:line="240" w:lineRule="exact"/>
              <w:ind w:left="104"/>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酚类</w:t>
            </w:r>
          </w:p>
        </w:tc>
        <w:tc>
          <w:tcPr>
            <w:tcW w:w="242"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5"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8"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hint="eastAsia" w:ascii="MS Mincho" w:hAnsi="MS Mincho" w:eastAsia="MS Mincho" w:cs="MS Mincho"/>
                <w:kern w:val="0"/>
                <w:sz w:val="30"/>
                <w:szCs w:val="30"/>
                <w:lang w:eastAsia="en-US"/>
              </w:rPr>
              <w:t>◑</w:t>
            </w:r>
          </w:p>
        </w:tc>
        <w:tc>
          <w:tcPr>
            <w:tcW w:w="25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9"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9"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9"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1"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spacing w:line="240" w:lineRule="exact"/>
              <w:ind w:left="99"/>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84"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7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r>
      <w:tr>
        <w:tblPrEx>
          <w:tblCellMar>
            <w:top w:w="0" w:type="dxa"/>
            <w:left w:w="0" w:type="dxa"/>
            <w:bottom w:w="0" w:type="dxa"/>
            <w:right w:w="0" w:type="dxa"/>
          </w:tblCellMar>
        </w:tblPrEx>
        <w:trPr>
          <w:trHeight w:val="283" w:hRule="exact"/>
        </w:trPr>
        <w:tc>
          <w:tcPr>
            <w:tcW w:w="559" w:type="pct"/>
            <w:tcBorders>
              <w:top w:val="single" w:color="000000" w:sz="4" w:space="0"/>
              <w:left w:val="single" w:color="000000" w:sz="4" w:space="0"/>
              <w:bottom w:val="single" w:color="000000" w:sz="4" w:space="0"/>
              <w:right w:val="single" w:color="000000" w:sz="4" w:space="0"/>
            </w:tcBorders>
          </w:tcPr>
          <w:p>
            <w:pPr>
              <w:spacing w:line="240" w:lineRule="exact"/>
              <w:ind w:left="104"/>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醚类</w:t>
            </w:r>
          </w:p>
        </w:tc>
        <w:tc>
          <w:tcPr>
            <w:tcW w:w="242"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5"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8"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hint="eastAsia" w:ascii="MS Mincho" w:hAnsi="MS Mincho" w:eastAsia="MS Mincho" w:cs="MS Mincho"/>
                <w:kern w:val="0"/>
                <w:sz w:val="30"/>
                <w:szCs w:val="30"/>
                <w:lang w:eastAsia="en-US"/>
              </w:rPr>
              <w:t>◑</w:t>
            </w:r>
          </w:p>
        </w:tc>
        <w:tc>
          <w:tcPr>
            <w:tcW w:w="258"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9"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9"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9"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1"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84"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7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r>
      <w:tr>
        <w:tblPrEx>
          <w:tblCellMar>
            <w:top w:w="0" w:type="dxa"/>
            <w:left w:w="0" w:type="dxa"/>
            <w:bottom w:w="0" w:type="dxa"/>
            <w:right w:w="0" w:type="dxa"/>
          </w:tblCellMar>
        </w:tblPrEx>
        <w:trPr>
          <w:trHeight w:val="283" w:hRule="exact"/>
        </w:trPr>
        <w:tc>
          <w:tcPr>
            <w:tcW w:w="559" w:type="pct"/>
            <w:tcBorders>
              <w:top w:val="single" w:color="000000" w:sz="4" w:space="0"/>
              <w:left w:val="single" w:color="000000" w:sz="4" w:space="0"/>
              <w:bottom w:val="single" w:color="000000" w:sz="4" w:space="0"/>
              <w:right w:val="single" w:color="000000" w:sz="4" w:space="0"/>
            </w:tcBorders>
          </w:tcPr>
          <w:p>
            <w:pPr>
              <w:spacing w:line="240" w:lineRule="exact"/>
              <w:ind w:left="104"/>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酸类</w:t>
            </w:r>
          </w:p>
        </w:tc>
        <w:tc>
          <w:tcPr>
            <w:tcW w:w="242"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hint="eastAsia" w:ascii="MS Mincho" w:hAnsi="MS Mincho" w:eastAsia="MS Mincho" w:cs="MS Mincho"/>
                <w:kern w:val="0"/>
                <w:sz w:val="30"/>
                <w:szCs w:val="30"/>
                <w:lang w:eastAsia="en-US"/>
              </w:rPr>
              <w:t>◑</w:t>
            </w:r>
          </w:p>
        </w:tc>
        <w:tc>
          <w:tcPr>
            <w:tcW w:w="255"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hint="eastAsia" w:ascii="MS Mincho" w:hAnsi="MS Mincho" w:eastAsia="MS Mincho" w:cs="MS Mincho"/>
                <w:kern w:val="0"/>
                <w:sz w:val="30"/>
                <w:szCs w:val="30"/>
                <w:lang w:eastAsia="en-US"/>
              </w:rPr>
              <w:t>◑</w:t>
            </w:r>
          </w:p>
        </w:tc>
        <w:tc>
          <w:tcPr>
            <w:tcW w:w="25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8"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9"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9"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9"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1"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84"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7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r>
      <w:tr>
        <w:tblPrEx>
          <w:tblCellMar>
            <w:top w:w="0" w:type="dxa"/>
            <w:left w:w="0" w:type="dxa"/>
            <w:bottom w:w="0" w:type="dxa"/>
            <w:right w:w="0" w:type="dxa"/>
          </w:tblCellMar>
        </w:tblPrEx>
        <w:trPr>
          <w:trHeight w:val="283" w:hRule="exact"/>
        </w:trPr>
        <w:tc>
          <w:tcPr>
            <w:tcW w:w="559" w:type="pct"/>
            <w:tcBorders>
              <w:top w:val="single" w:color="000000" w:sz="4" w:space="0"/>
              <w:left w:val="single" w:color="000000" w:sz="4" w:space="0"/>
              <w:bottom w:val="single" w:color="000000" w:sz="4" w:space="0"/>
              <w:right w:val="single" w:color="000000" w:sz="4" w:space="0"/>
            </w:tcBorders>
          </w:tcPr>
          <w:p>
            <w:pPr>
              <w:spacing w:line="240" w:lineRule="exact"/>
              <w:ind w:left="104"/>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酯类</w:t>
            </w:r>
          </w:p>
        </w:tc>
        <w:tc>
          <w:tcPr>
            <w:tcW w:w="242"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hint="eastAsia" w:ascii="MS Mincho" w:hAnsi="MS Mincho" w:eastAsia="MS Mincho" w:cs="MS Mincho"/>
                <w:kern w:val="0"/>
                <w:sz w:val="30"/>
                <w:szCs w:val="30"/>
                <w:lang w:eastAsia="en-US"/>
              </w:rPr>
              <w:t>◑</w:t>
            </w:r>
          </w:p>
        </w:tc>
        <w:tc>
          <w:tcPr>
            <w:tcW w:w="255"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hint="eastAsia" w:ascii="MS Mincho" w:hAnsi="MS Mincho" w:eastAsia="MS Mincho" w:cs="MS Mincho"/>
                <w:kern w:val="0"/>
                <w:sz w:val="30"/>
                <w:szCs w:val="30"/>
                <w:lang w:eastAsia="en-US"/>
              </w:rPr>
              <w:t>◑</w:t>
            </w:r>
          </w:p>
        </w:tc>
        <w:tc>
          <w:tcPr>
            <w:tcW w:w="258"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hint="eastAsia" w:ascii="MS Mincho" w:hAnsi="MS Mincho" w:eastAsia="MS Mincho" w:cs="MS Mincho"/>
                <w:kern w:val="0"/>
                <w:sz w:val="30"/>
                <w:szCs w:val="30"/>
                <w:lang w:eastAsia="en-US"/>
              </w:rPr>
              <w:t>◑</w:t>
            </w:r>
          </w:p>
        </w:tc>
        <w:tc>
          <w:tcPr>
            <w:tcW w:w="25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8"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9"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9"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9"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61"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62"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84"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7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r>
      <w:tr>
        <w:tblPrEx>
          <w:tblCellMar>
            <w:top w:w="0" w:type="dxa"/>
            <w:left w:w="0" w:type="dxa"/>
            <w:bottom w:w="0" w:type="dxa"/>
            <w:right w:w="0" w:type="dxa"/>
          </w:tblCellMar>
        </w:tblPrEx>
        <w:trPr>
          <w:trHeight w:val="283" w:hRule="exact"/>
        </w:trPr>
        <w:tc>
          <w:tcPr>
            <w:tcW w:w="559" w:type="pct"/>
            <w:tcBorders>
              <w:top w:val="single" w:color="000000" w:sz="4" w:space="0"/>
              <w:left w:val="single" w:color="000000" w:sz="4" w:space="0"/>
              <w:bottom w:val="single" w:color="000000" w:sz="4" w:space="0"/>
              <w:right w:val="single" w:color="000000" w:sz="4" w:space="0"/>
            </w:tcBorders>
          </w:tcPr>
          <w:p>
            <w:pPr>
              <w:spacing w:line="240" w:lineRule="exact"/>
              <w:ind w:left="104"/>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胺类</w:t>
            </w:r>
          </w:p>
        </w:tc>
        <w:tc>
          <w:tcPr>
            <w:tcW w:w="242"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5"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hint="eastAsia" w:ascii="MS Mincho" w:hAnsi="MS Mincho" w:eastAsia="MS Mincho" w:cs="MS Mincho"/>
                <w:kern w:val="0"/>
                <w:sz w:val="30"/>
                <w:szCs w:val="30"/>
                <w:lang w:eastAsia="en-US"/>
              </w:rPr>
              <w:t>◑</w:t>
            </w:r>
          </w:p>
        </w:tc>
        <w:tc>
          <w:tcPr>
            <w:tcW w:w="25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8" w:type="pct"/>
            <w:tcBorders>
              <w:top w:val="single" w:color="000000" w:sz="4" w:space="0"/>
              <w:left w:val="single" w:color="000000" w:sz="4" w:space="0"/>
              <w:bottom w:val="single" w:color="000000" w:sz="4" w:space="0"/>
              <w:right w:val="single" w:color="000000" w:sz="4" w:space="0"/>
            </w:tcBorders>
          </w:tcPr>
          <w:p>
            <w:pPr>
              <w:spacing w:line="240" w:lineRule="exact"/>
              <w:ind w:left="102"/>
              <w:jc w:val="left"/>
              <w:rPr>
                <w:rFonts w:ascii="Times New Roman" w:hAnsi="Times New Roman" w:eastAsiaTheme="minorEastAsia"/>
                <w:kern w:val="0"/>
                <w:sz w:val="18"/>
                <w:szCs w:val="18"/>
                <w:lang w:eastAsia="en-US"/>
              </w:rPr>
            </w:pPr>
            <w:r>
              <w:rPr>
                <w:rFonts w:ascii="Times New Roman" w:hAnsi="Times New Roman" w:eastAsiaTheme="minorEastAsia"/>
                <w:kern w:val="0"/>
                <w:sz w:val="18"/>
                <w:szCs w:val="18"/>
                <w:lang w:eastAsia="en-US"/>
              </w:rPr>
              <w:t>○</w:t>
            </w:r>
          </w:p>
        </w:tc>
        <w:tc>
          <w:tcPr>
            <w:tcW w:w="25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9"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9"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59"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1"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62"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84"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c>
          <w:tcPr>
            <w:tcW w:w="278" w:type="pct"/>
            <w:tcBorders>
              <w:top w:val="single" w:color="000000" w:sz="4" w:space="0"/>
              <w:left w:val="single" w:color="000000" w:sz="4" w:space="0"/>
              <w:bottom w:val="single" w:color="000000" w:sz="4" w:space="0"/>
              <w:right w:val="single" w:color="000000" w:sz="4" w:space="0"/>
            </w:tcBorders>
          </w:tcPr>
          <w:p>
            <w:pPr>
              <w:jc w:val="left"/>
              <w:rPr>
                <w:rFonts w:ascii="Times New Roman" w:hAnsi="Times New Roman" w:eastAsiaTheme="minorEastAsia"/>
                <w:kern w:val="0"/>
                <w:sz w:val="18"/>
                <w:szCs w:val="18"/>
                <w:lang w:eastAsia="en-US"/>
              </w:rPr>
            </w:pPr>
          </w:p>
        </w:tc>
      </w:tr>
    </w:tbl>
    <w:p>
      <w:pPr>
        <w:rPr>
          <w:rFonts w:ascii="Times New Roman" w:hAnsi="Times New Roman"/>
          <w:kern w:val="0"/>
        </w:rPr>
      </w:pPr>
      <w:r>
        <w:rPr>
          <w:rFonts w:ascii="Times New Roman" w:hAnsi="Times New Roman"/>
          <w:kern w:val="0"/>
        </w:rPr>
        <w:t>注：</w:t>
      </w:r>
      <w:r>
        <w:rPr>
          <w:rFonts w:ascii="Times New Roman" w:hAnsi="Times New Roman"/>
          <w:spacing w:val="-3"/>
          <w:kern w:val="0"/>
        </w:rPr>
        <w:t>空</w:t>
      </w:r>
      <w:r>
        <w:rPr>
          <w:rFonts w:ascii="Times New Roman" w:hAnsi="Times New Roman"/>
          <w:kern w:val="0"/>
        </w:rPr>
        <w:t>白</w:t>
      </w:r>
      <w:r>
        <w:rPr>
          <w:rFonts w:ascii="Times New Roman" w:hAnsi="Times New Roman"/>
          <w:spacing w:val="-3"/>
          <w:kern w:val="0"/>
        </w:rPr>
        <w:t>表</w:t>
      </w:r>
      <w:r>
        <w:rPr>
          <w:rFonts w:ascii="Times New Roman" w:hAnsi="Times New Roman"/>
          <w:kern w:val="0"/>
        </w:rPr>
        <w:t>示</w:t>
      </w:r>
      <w:r>
        <w:rPr>
          <w:rFonts w:ascii="Times New Roman" w:hAnsi="Times New Roman"/>
          <w:spacing w:val="-2"/>
          <w:kern w:val="0"/>
        </w:rPr>
        <w:t>没</w:t>
      </w:r>
      <w:r>
        <w:rPr>
          <w:rFonts w:ascii="Times New Roman" w:hAnsi="Times New Roman"/>
          <w:kern w:val="0"/>
        </w:rPr>
        <w:t>有</w:t>
      </w:r>
      <w:r>
        <w:rPr>
          <w:rFonts w:ascii="Times New Roman" w:hAnsi="Times New Roman"/>
          <w:spacing w:val="-3"/>
          <w:kern w:val="0"/>
        </w:rPr>
        <w:t>案</w:t>
      </w:r>
      <w:r>
        <w:rPr>
          <w:rFonts w:ascii="Times New Roman" w:hAnsi="Times New Roman"/>
          <w:kern w:val="0"/>
        </w:rPr>
        <w:t>例</w:t>
      </w:r>
      <w:r>
        <w:rPr>
          <w:rFonts w:ascii="Times New Roman" w:hAnsi="Times New Roman"/>
          <w:spacing w:val="-3"/>
          <w:kern w:val="0"/>
        </w:rPr>
        <w:t>数</w:t>
      </w:r>
      <w:r>
        <w:rPr>
          <w:rFonts w:ascii="Times New Roman" w:hAnsi="Times New Roman"/>
          <w:spacing w:val="-1"/>
          <w:kern w:val="0"/>
        </w:rPr>
        <w:t>；</w:t>
      </w:r>
      <w:r>
        <w:rPr>
          <w:rFonts w:ascii="Times New Roman" w:hAnsi="Times New Roman"/>
          <w:kern w:val="0"/>
        </w:rPr>
        <w:t>○</w:t>
      </w:r>
      <w:r>
        <w:rPr>
          <w:rFonts w:ascii="Times New Roman" w:hAnsi="Times New Roman"/>
          <w:spacing w:val="-3"/>
          <w:kern w:val="0"/>
        </w:rPr>
        <w:t>表</w:t>
      </w:r>
      <w:r>
        <w:rPr>
          <w:rFonts w:ascii="Times New Roman" w:hAnsi="Times New Roman"/>
          <w:spacing w:val="-1"/>
          <w:kern w:val="0"/>
        </w:rPr>
        <w:t>示</w:t>
      </w:r>
      <w:r>
        <w:rPr>
          <w:rFonts w:ascii="Times New Roman" w:hAnsi="Times New Roman"/>
          <w:spacing w:val="-3"/>
          <w:kern w:val="0"/>
        </w:rPr>
        <w:t>案</w:t>
      </w:r>
      <w:r>
        <w:rPr>
          <w:rFonts w:ascii="Times New Roman" w:hAnsi="Times New Roman"/>
          <w:kern w:val="0"/>
        </w:rPr>
        <w:t>例</w:t>
      </w:r>
      <w:r>
        <w:rPr>
          <w:rFonts w:ascii="Times New Roman" w:hAnsi="Times New Roman"/>
          <w:spacing w:val="-3"/>
          <w:kern w:val="0"/>
        </w:rPr>
        <w:t>数</w:t>
      </w:r>
      <w:r>
        <w:rPr>
          <w:rFonts w:ascii="Times New Roman" w:hAnsi="Times New Roman"/>
          <w:kern w:val="0"/>
        </w:rPr>
        <w:t>≤</w:t>
      </w:r>
      <w:r>
        <w:rPr>
          <w:rFonts w:ascii="Times New Roman" w:hAnsi="Times New Roman"/>
          <w:spacing w:val="-3"/>
          <w:kern w:val="0"/>
        </w:rPr>
        <w:t>5</w:t>
      </w:r>
      <w:r>
        <w:rPr>
          <w:rFonts w:ascii="Times New Roman" w:hAnsi="Times New Roman"/>
          <w:kern w:val="0"/>
        </w:rPr>
        <w:t>；</w:t>
      </w:r>
      <w:r>
        <w:rPr>
          <w:rFonts w:hint="eastAsia" w:ascii="MS Mincho" w:hAnsi="MS Mincho" w:eastAsia="MS Mincho" w:cs="MS Mincho"/>
          <w:spacing w:val="-2"/>
          <w:kern w:val="0"/>
        </w:rPr>
        <w:t>◑</w:t>
      </w:r>
      <w:r>
        <w:rPr>
          <w:rFonts w:ascii="Times New Roman" w:hAnsi="Times New Roman"/>
          <w:spacing w:val="-3"/>
          <w:kern w:val="0"/>
        </w:rPr>
        <w:t>表</w:t>
      </w:r>
      <w:r>
        <w:rPr>
          <w:rFonts w:ascii="Times New Roman" w:hAnsi="Times New Roman"/>
          <w:kern w:val="0"/>
        </w:rPr>
        <w:t>示案</w:t>
      </w:r>
      <w:r>
        <w:rPr>
          <w:rFonts w:ascii="Times New Roman" w:hAnsi="Times New Roman"/>
          <w:spacing w:val="-3"/>
          <w:kern w:val="0"/>
        </w:rPr>
        <w:t>例数</w:t>
      </w:r>
      <w:r>
        <w:rPr>
          <w:rFonts w:ascii="Times New Roman" w:hAnsi="Times New Roman"/>
          <w:kern w:val="0"/>
        </w:rPr>
        <w:t>在</w:t>
      </w:r>
      <w:r>
        <w:rPr>
          <w:rFonts w:ascii="Times New Roman" w:hAnsi="Times New Roman"/>
          <w:spacing w:val="-53"/>
          <w:kern w:val="0"/>
        </w:rPr>
        <w:t xml:space="preserve"> </w:t>
      </w:r>
      <w:r>
        <w:rPr>
          <w:rFonts w:ascii="Times New Roman" w:hAnsi="Times New Roman"/>
          <w:kern w:val="0"/>
        </w:rPr>
        <w:t>5</w:t>
      </w:r>
      <w:r>
        <w:rPr>
          <w:rFonts w:ascii="Times New Roman" w:hAnsi="Times New Roman"/>
          <w:spacing w:val="-3"/>
          <w:kern w:val="0"/>
        </w:rPr>
        <w:t>～</w:t>
      </w:r>
      <w:r>
        <w:rPr>
          <w:rFonts w:ascii="Times New Roman" w:hAnsi="Times New Roman"/>
          <w:kern w:val="0"/>
        </w:rPr>
        <w:t>15</w:t>
      </w:r>
      <w:r>
        <w:rPr>
          <w:rFonts w:ascii="Times New Roman" w:hAnsi="Times New Roman"/>
          <w:spacing w:val="-3"/>
          <w:kern w:val="0"/>
        </w:rPr>
        <w:t>；</w:t>
      </w:r>
      <w:r>
        <w:rPr>
          <w:rFonts w:ascii="Times New Roman" w:hAnsi="Times New Roman"/>
          <w:kern w:val="0"/>
        </w:rPr>
        <w:t>●</w:t>
      </w:r>
      <w:r>
        <w:rPr>
          <w:rFonts w:ascii="Times New Roman" w:hAnsi="Times New Roman"/>
          <w:spacing w:val="-3"/>
          <w:kern w:val="0"/>
        </w:rPr>
        <w:t>表</w:t>
      </w:r>
      <w:r>
        <w:rPr>
          <w:rFonts w:ascii="Times New Roman" w:hAnsi="Times New Roman"/>
          <w:kern w:val="0"/>
        </w:rPr>
        <w:t>示案</w:t>
      </w:r>
      <w:r>
        <w:rPr>
          <w:rFonts w:ascii="Times New Roman" w:hAnsi="Times New Roman"/>
          <w:spacing w:val="-3"/>
          <w:kern w:val="0"/>
        </w:rPr>
        <w:t>例</w:t>
      </w:r>
      <w:r>
        <w:rPr>
          <w:rFonts w:ascii="Times New Roman" w:hAnsi="Times New Roman"/>
          <w:kern w:val="0"/>
        </w:rPr>
        <w:t>数</w:t>
      </w:r>
      <w:r>
        <w:rPr>
          <w:rFonts w:ascii="Times New Roman" w:hAnsi="Times New Roman"/>
          <w:spacing w:val="-3"/>
          <w:kern w:val="0"/>
        </w:rPr>
        <w:t>≥</w:t>
      </w:r>
      <w:r>
        <w:rPr>
          <w:rFonts w:ascii="Times New Roman" w:hAnsi="Times New Roman"/>
          <w:kern w:val="0"/>
        </w:rPr>
        <w:t>15。</w:t>
      </w:r>
    </w:p>
    <w:p>
      <w:pPr>
        <w:pStyle w:val="68"/>
        <w:rPr>
          <w:rFonts w:cs="Times New Roman"/>
        </w:rPr>
      </w:pPr>
      <w:r>
        <w:rPr>
          <w:rFonts w:cs="Times New Roman"/>
        </w:rPr>
        <w:t>从表3-6中可见，不同行业的VOCs种类繁多，行业差异大，大致上表中的 12类有机物都有所涉及。从各行各业的VOCs来看，苯系物出现最频繁且行业分布最广，其次是酯类、醇类、醛类和酮类等。</w:t>
      </w:r>
    </w:p>
    <w:p>
      <w:pPr>
        <w:pStyle w:val="4"/>
      </w:pPr>
      <w:r>
        <w:t>污染物排放浓度</w:t>
      </w:r>
    </w:p>
    <w:p>
      <w:pPr>
        <w:pStyle w:val="68"/>
        <w:rPr>
          <w:rFonts w:cs="Times New Roman"/>
        </w:rPr>
      </w:pPr>
      <w:r>
        <w:rPr>
          <w:rFonts w:hint="eastAsia" w:cs="Times New Roman"/>
        </w:rPr>
        <w:t>选择代表性塑料制造、船舶工业、汽车零部件及配件制造、通用设备制造、电气机械制造、文教制造业、金属涂装、塑料涂装、电子工业、印染纺织、人造板工业等相关企业开展排放测试，表3-</w:t>
      </w:r>
      <w:r>
        <w:rPr>
          <w:rFonts w:cs="Times New Roman"/>
        </w:rPr>
        <w:t>6</w:t>
      </w:r>
      <w:r>
        <w:rPr>
          <w:rFonts w:hint="eastAsia" w:cs="Times New Roman"/>
        </w:rPr>
        <w:t>所示为部分企业实测数据。</w:t>
      </w:r>
    </w:p>
    <w:p>
      <w:pPr>
        <w:pStyle w:val="13"/>
        <w:spacing w:before="156" w:beforeLines="50" w:after="156" w:afterLines="50"/>
      </w:pPr>
      <w:r>
        <w:t>表3-6  典型工业企业现场检测污染物浓度</w:t>
      </w:r>
      <w:r>
        <w:rPr>
          <w:rFonts w:hint="eastAsia"/>
        </w:rPr>
        <w:t>（单位m</w:t>
      </w:r>
      <w:r>
        <w:t>g/m</w:t>
      </w:r>
      <w:r>
        <w:rPr>
          <w:vertAlign w:val="superscript"/>
        </w:rPr>
        <w:t>3</w:t>
      </w:r>
      <w:r>
        <w:rPr>
          <w:rFonts w:hint="eastAsia"/>
        </w:rPr>
        <w:t>）</w:t>
      </w:r>
    </w:p>
    <w:tbl>
      <w:tblPr>
        <w:tblStyle w:val="34"/>
        <w:tblW w:w="83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4"/>
        <w:gridCol w:w="567"/>
        <w:gridCol w:w="782"/>
        <w:gridCol w:w="782"/>
        <w:gridCol w:w="782"/>
        <w:gridCol w:w="782"/>
        <w:gridCol w:w="782"/>
        <w:gridCol w:w="782"/>
        <w:gridCol w:w="782"/>
        <w:gridCol w:w="782"/>
        <w:gridCol w:w="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shd w:val="clear" w:color="auto" w:fill="auto"/>
            <w:noWrap/>
            <w:vAlign w:val="center"/>
          </w:tcPr>
          <w:p>
            <w:pPr>
              <w:widowControl/>
              <w:jc w:val="center"/>
              <w:rPr>
                <w:rFonts w:ascii="Times New Roman" w:hAnsi="Times New Roman"/>
                <w:b/>
                <w:bCs/>
                <w:kern w:val="0"/>
              </w:rPr>
            </w:pPr>
            <w:r>
              <w:rPr>
                <w:rFonts w:ascii="Times New Roman" w:hAnsi="Times New Roman"/>
                <w:b/>
                <w:bCs/>
                <w:kern w:val="0"/>
              </w:rPr>
              <w:t>工业行业</w:t>
            </w:r>
          </w:p>
        </w:tc>
        <w:tc>
          <w:tcPr>
            <w:tcW w:w="567" w:type="dxa"/>
            <w:shd w:val="clear" w:color="auto" w:fill="auto"/>
            <w:noWrap/>
            <w:vAlign w:val="center"/>
          </w:tcPr>
          <w:p>
            <w:pPr>
              <w:widowControl/>
              <w:jc w:val="center"/>
              <w:rPr>
                <w:rFonts w:ascii="Times New Roman" w:hAnsi="Times New Roman"/>
                <w:b/>
                <w:bCs/>
                <w:kern w:val="0"/>
              </w:rPr>
            </w:pPr>
            <w:r>
              <w:rPr>
                <w:rFonts w:ascii="Times New Roman" w:hAnsi="Times New Roman"/>
                <w:b/>
                <w:bCs/>
                <w:kern w:val="0"/>
              </w:rPr>
              <w:t>企业编号</w:t>
            </w:r>
          </w:p>
        </w:tc>
        <w:tc>
          <w:tcPr>
            <w:tcW w:w="782" w:type="dxa"/>
            <w:shd w:val="clear" w:color="auto" w:fill="auto"/>
            <w:noWrap/>
            <w:vAlign w:val="center"/>
          </w:tcPr>
          <w:p>
            <w:pPr>
              <w:widowControl/>
              <w:jc w:val="center"/>
              <w:rPr>
                <w:rFonts w:ascii="Times New Roman" w:hAnsi="Times New Roman"/>
                <w:b/>
                <w:bCs/>
                <w:kern w:val="0"/>
              </w:rPr>
            </w:pPr>
            <w:r>
              <w:rPr>
                <w:rFonts w:ascii="Times New Roman" w:hAnsi="Times New Roman"/>
                <w:b/>
                <w:bCs/>
                <w:kern w:val="0"/>
              </w:rPr>
              <w:t>苯</w:t>
            </w:r>
          </w:p>
        </w:tc>
        <w:tc>
          <w:tcPr>
            <w:tcW w:w="782" w:type="dxa"/>
            <w:shd w:val="clear" w:color="auto" w:fill="auto"/>
            <w:noWrap/>
            <w:vAlign w:val="center"/>
          </w:tcPr>
          <w:p>
            <w:pPr>
              <w:widowControl/>
              <w:jc w:val="center"/>
              <w:rPr>
                <w:rFonts w:ascii="Times New Roman" w:hAnsi="Times New Roman"/>
                <w:b/>
                <w:bCs/>
                <w:kern w:val="0"/>
              </w:rPr>
            </w:pPr>
            <w:r>
              <w:rPr>
                <w:rFonts w:ascii="Times New Roman" w:hAnsi="Times New Roman"/>
                <w:b/>
                <w:bCs/>
                <w:kern w:val="0"/>
              </w:rPr>
              <w:t>苯系物</w:t>
            </w:r>
          </w:p>
        </w:tc>
        <w:tc>
          <w:tcPr>
            <w:tcW w:w="782" w:type="dxa"/>
            <w:shd w:val="clear" w:color="auto" w:fill="auto"/>
            <w:noWrap/>
            <w:vAlign w:val="center"/>
          </w:tcPr>
          <w:p>
            <w:pPr>
              <w:widowControl/>
              <w:jc w:val="center"/>
              <w:rPr>
                <w:rFonts w:ascii="Times New Roman" w:hAnsi="Times New Roman"/>
                <w:b/>
                <w:bCs/>
                <w:kern w:val="0"/>
              </w:rPr>
            </w:pPr>
            <w:r>
              <w:rPr>
                <w:rFonts w:ascii="Times New Roman" w:hAnsi="Times New Roman"/>
                <w:b/>
                <w:bCs/>
                <w:kern w:val="0"/>
              </w:rPr>
              <w:t>二氯甲烷</w:t>
            </w:r>
          </w:p>
        </w:tc>
        <w:tc>
          <w:tcPr>
            <w:tcW w:w="782" w:type="dxa"/>
            <w:shd w:val="clear" w:color="auto" w:fill="auto"/>
            <w:noWrap/>
            <w:vAlign w:val="center"/>
          </w:tcPr>
          <w:p>
            <w:pPr>
              <w:widowControl/>
              <w:jc w:val="center"/>
              <w:rPr>
                <w:rFonts w:ascii="Times New Roman" w:hAnsi="Times New Roman"/>
                <w:b/>
                <w:bCs/>
                <w:kern w:val="0"/>
              </w:rPr>
            </w:pPr>
            <w:r>
              <w:rPr>
                <w:rFonts w:ascii="Times New Roman" w:hAnsi="Times New Roman"/>
                <w:b/>
                <w:bCs/>
                <w:kern w:val="0"/>
              </w:rPr>
              <w:t>甲醇</w:t>
            </w:r>
          </w:p>
        </w:tc>
        <w:tc>
          <w:tcPr>
            <w:tcW w:w="782" w:type="dxa"/>
            <w:shd w:val="clear" w:color="auto" w:fill="auto"/>
            <w:noWrap/>
            <w:vAlign w:val="center"/>
          </w:tcPr>
          <w:p>
            <w:pPr>
              <w:widowControl/>
              <w:jc w:val="center"/>
              <w:rPr>
                <w:rFonts w:ascii="Times New Roman" w:hAnsi="Times New Roman"/>
                <w:b/>
                <w:bCs/>
                <w:kern w:val="0"/>
              </w:rPr>
            </w:pPr>
            <w:r>
              <w:rPr>
                <w:rFonts w:ascii="Times New Roman" w:hAnsi="Times New Roman"/>
                <w:b/>
                <w:bCs/>
                <w:kern w:val="0"/>
              </w:rPr>
              <w:t>异丙醇</w:t>
            </w:r>
          </w:p>
        </w:tc>
        <w:tc>
          <w:tcPr>
            <w:tcW w:w="782" w:type="dxa"/>
            <w:shd w:val="clear" w:color="auto" w:fill="auto"/>
            <w:noWrap/>
            <w:vAlign w:val="center"/>
          </w:tcPr>
          <w:p>
            <w:pPr>
              <w:widowControl/>
              <w:jc w:val="center"/>
              <w:rPr>
                <w:rFonts w:ascii="Times New Roman" w:hAnsi="Times New Roman"/>
                <w:b/>
                <w:bCs/>
                <w:kern w:val="0"/>
              </w:rPr>
            </w:pPr>
            <w:r>
              <w:rPr>
                <w:rFonts w:ascii="Times New Roman" w:hAnsi="Times New Roman"/>
                <w:b/>
                <w:bCs/>
                <w:kern w:val="0"/>
              </w:rPr>
              <w:t>甲醛</w:t>
            </w:r>
          </w:p>
        </w:tc>
        <w:tc>
          <w:tcPr>
            <w:tcW w:w="782" w:type="dxa"/>
            <w:shd w:val="clear" w:color="auto" w:fill="auto"/>
            <w:noWrap/>
            <w:vAlign w:val="center"/>
          </w:tcPr>
          <w:p>
            <w:pPr>
              <w:widowControl/>
              <w:jc w:val="center"/>
              <w:rPr>
                <w:rFonts w:ascii="Times New Roman" w:hAnsi="Times New Roman"/>
                <w:b/>
                <w:bCs/>
                <w:kern w:val="0"/>
              </w:rPr>
            </w:pPr>
            <w:r>
              <w:rPr>
                <w:rFonts w:ascii="Times New Roman" w:hAnsi="Times New Roman"/>
                <w:b/>
                <w:bCs/>
                <w:kern w:val="0"/>
              </w:rPr>
              <w:t>丙酮</w:t>
            </w:r>
          </w:p>
        </w:tc>
        <w:tc>
          <w:tcPr>
            <w:tcW w:w="782" w:type="dxa"/>
            <w:shd w:val="clear" w:color="auto" w:fill="auto"/>
            <w:noWrap/>
            <w:vAlign w:val="center"/>
          </w:tcPr>
          <w:p>
            <w:pPr>
              <w:widowControl/>
              <w:jc w:val="center"/>
              <w:rPr>
                <w:rFonts w:ascii="Times New Roman" w:hAnsi="Times New Roman"/>
                <w:b/>
                <w:bCs/>
                <w:kern w:val="0"/>
              </w:rPr>
            </w:pPr>
            <w:r>
              <w:rPr>
                <w:rFonts w:ascii="Times New Roman" w:hAnsi="Times New Roman"/>
                <w:b/>
                <w:bCs/>
                <w:kern w:val="0"/>
              </w:rPr>
              <w:t>非甲烷总烃</w:t>
            </w:r>
          </w:p>
        </w:tc>
        <w:tc>
          <w:tcPr>
            <w:tcW w:w="782" w:type="dxa"/>
            <w:shd w:val="clear" w:color="auto" w:fill="auto"/>
            <w:noWrap/>
            <w:vAlign w:val="center"/>
          </w:tcPr>
          <w:p>
            <w:pPr>
              <w:widowControl/>
              <w:jc w:val="center"/>
              <w:rPr>
                <w:rFonts w:ascii="Times New Roman" w:hAnsi="Times New Roman"/>
                <w:b/>
                <w:bCs/>
                <w:kern w:val="0"/>
              </w:rPr>
            </w:pPr>
            <w:r>
              <w:rPr>
                <w:rFonts w:ascii="Times New Roman" w:hAnsi="Times New Roman"/>
                <w:b/>
                <w:bCs/>
                <w:kern w:val="0"/>
              </w:rPr>
              <w:t>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restart"/>
            <w:shd w:val="clear" w:color="auto" w:fill="auto"/>
            <w:noWrap/>
            <w:vAlign w:val="center"/>
          </w:tcPr>
          <w:p>
            <w:pPr>
              <w:widowControl/>
              <w:jc w:val="center"/>
              <w:rPr>
                <w:rFonts w:ascii="Times New Roman" w:hAnsi="Times New Roman"/>
                <w:kern w:val="0"/>
              </w:rPr>
            </w:pPr>
            <w:r>
              <w:rPr>
                <w:rFonts w:ascii="Times New Roman" w:hAnsi="Times New Roman"/>
                <w:kern w:val="0"/>
              </w:rPr>
              <w:t>塑料制造业</w:t>
            </w: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1#</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0.20</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1.25</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2#</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0.20</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2.85</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3#</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0.01</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0.07</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202.00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4#</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5.16</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5#</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0.55</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7.42</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6#</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0.05</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6.16</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8.16</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7#</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0.01</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0.39</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1.57</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8#</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0.02</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1.12</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4.89</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9#</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24.30</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10#</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23.50</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11#</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45.60</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12#</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0.15</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1.69</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13#</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0.18</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1.38</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14#</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0.21</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2.14</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15#</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0.07</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1.29</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restart"/>
            <w:shd w:val="clear" w:color="auto" w:fill="auto"/>
            <w:noWrap/>
            <w:vAlign w:val="center"/>
          </w:tcPr>
          <w:p>
            <w:pPr>
              <w:widowControl/>
              <w:jc w:val="center"/>
              <w:rPr>
                <w:rFonts w:ascii="Times New Roman" w:hAnsi="Times New Roman"/>
                <w:kern w:val="0"/>
              </w:rPr>
            </w:pPr>
            <w:r>
              <w:rPr>
                <w:rFonts w:ascii="Times New Roman" w:hAnsi="Times New Roman"/>
                <w:kern w:val="0"/>
              </w:rPr>
              <w:t>船舶工业</w:t>
            </w: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1#</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0.01</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16.09</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62.00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2#</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0.02</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17.54</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3#</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1.50</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8.38</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restart"/>
            <w:shd w:val="clear" w:color="auto" w:fill="auto"/>
            <w:noWrap/>
            <w:vAlign w:val="center"/>
          </w:tcPr>
          <w:p>
            <w:pPr>
              <w:widowControl/>
              <w:jc w:val="center"/>
              <w:rPr>
                <w:rFonts w:ascii="Times New Roman" w:hAnsi="Times New Roman"/>
                <w:kern w:val="0"/>
              </w:rPr>
            </w:pPr>
            <w:r>
              <w:rPr>
                <w:rFonts w:ascii="Times New Roman" w:hAnsi="Times New Roman"/>
                <w:kern w:val="0"/>
              </w:rPr>
              <w:t>汽车零部件及配件制造</w:t>
            </w: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1#</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0.05</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19.17</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24.60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2#</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0.05</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21.42</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27.40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3#</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0.41</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32.72</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166.00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4#</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0.32</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30.23</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146.00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5#</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0.25</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7.97</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182.00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6#</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0.23</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6.78</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restart"/>
            <w:shd w:val="clear" w:color="auto" w:fill="auto"/>
            <w:noWrap/>
            <w:vAlign w:val="center"/>
          </w:tcPr>
          <w:p>
            <w:pPr>
              <w:widowControl/>
              <w:jc w:val="center"/>
              <w:rPr>
                <w:rFonts w:ascii="Times New Roman" w:hAnsi="Times New Roman"/>
                <w:kern w:val="0"/>
              </w:rPr>
            </w:pPr>
            <w:r>
              <w:rPr>
                <w:rFonts w:ascii="Times New Roman" w:hAnsi="Times New Roman"/>
                <w:kern w:val="0"/>
              </w:rPr>
              <w:t>通用设备制造</w:t>
            </w: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1#</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0.16</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41.20</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2#</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0.21</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42.90</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3#</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4.34</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4#</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3.36</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5#</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0.08</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6.20</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6#</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0.07</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2.30</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restart"/>
            <w:shd w:val="clear" w:color="auto" w:fill="auto"/>
            <w:noWrap/>
            <w:vAlign w:val="center"/>
          </w:tcPr>
          <w:p>
            <w:pPr>
              <w:widowControl/>
              <w:jc w:val="center"/>
              <w:rPr>
                <w:rFonts w:ascii="Times New Roman" w:hAnsi="Times New Roman"/>
                <w:kern w:val="0"/>
              </w:rPr>
            </w:pPr>
            <w:r>
              <w:rPr>
                <w:rFonts w:ascii="Times New Roman" w:hAnsi="Times New Roman"/>
                <w:kern w:val="0"/>
              </w:rPr>
              <w:t>电气机械制造</w:t>
            </w: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1#</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0.17</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0.56</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2#</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0.16</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0.56</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3#</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3.75</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3.26</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4#</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1.86</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3.34</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5#</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1.63</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3.21</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restart"/>
            <w:shd w:val="clear" w:color="auto" w:fill="auto"/>
            <w:noWrap/>
            <w:vAlign w:val="center"/>
          </w:tcPr>
          <w:p>
            <w:pPr>
              <w:widowControl/>
              <w:jc w:val="center"/>
              <w:rPr>
                <w:rFonts w:ascii="Times New Roman" w:hAnsi="Times New Roman"/>
                <w:kern w:val="0"/>
              </w:rPr>
            </w:pPr>
            <w:r>
              <w:rPr>
                <w:rFonts w:ascii="Times New Roman" w:hAnsi="Times New Roman"/>
                <w:kern w:val="0"/>
              </w:rPr>
              <w:t>乐器制造</w:t>
            </w: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1#</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0.01</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6.55</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577.00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2#</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3.24</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587.00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restart"/>
            <w:shd w:val="clear" w:color="auto" w:fill="auto"/>
            <w:noWrap/>
            <w:vAlign w:val="center"/>
          </w:tcPr>
          <w:p>
            <w:pPr>
              <w:widowControl/>
              <w:jc w:val="center"/>
              <w:rPr>
                <w:rFonts w:ascii="Times New Roman" w:hAnsi="Times New Roman"/>
                <w:kern w:val="0"/>
              </w:rPr>
            </w:pPr>
            <w:r>
              <w:rPr>
                <w:rFonts w:ascii="Times New Roman" w:hAnsi="Times New Roman"/>
                <w:kern w:val="0"/>
              </w:rPr>
              <w:t>文教制造业</w:t>
            </w: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1#</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0.15</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20.89</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540.00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2#</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0.13</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20.08</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719.00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3#</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0.11</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18.68</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171.00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restart"/>
            <w:shd w:val="clear" w:color="auto" w:fill="auto"/>
            <w:noWrap/>
            <w:vAlign w:val="center"/>
          </w:tcPr>
          <w:p>
            <w:pPr>
              <w:widowControl/>
              <w:jc w:val="center"/>
              <w:rPr>
                <w:rFonts w:ascii="Times New Roman" w:hAnsi="Times New Roman"/>
                <w:kern w:val="0"/>
              </w:rPr>
            </w:pPr>
            <w:r>
              <w:rPr>
                <w:rFonts w:ascii="Times New Roman" w:hAnsi="Times New Roman"/>
                <w:kern w:val="0"/>
              </w:rPr>
              <w:t>金属涂装</w:t>
            </w: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1#</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0.04</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23.16</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2#</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0.01</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17.88</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106.00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3#</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13.28</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63.50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4#</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11.53</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50.30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shd w:val="clear" w:color="auto" w:fill="auto"/>
            <w:noWrap/>
            <w:vAlign w:val="center"/>
          </w:tcPr>
          <w:p>
            <w:pPr>
              <w:widowControl/>
              <w:jc w:val="center"/>
              <w:rPr>
                <w:rFonts w:ascii="Times New Roman" w:hAnsi="Times New Roman"/>
                <w:kern w:val="0"/>
              </w:rPr>
            </w:pPr>
            <w:r>
              <w:rPr>
                <w:rFonts w:ascii="Times New Roman" w:hAnsi="Times New Roman"/>
                <w:kern w:val="0"/>
              </w:rPr>
              <w:t>塑料涂装</w:t>
            </w: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1#</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77.93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restart"/>
            <w:shd w:val="clear" w:color="auto" w:fill="auto"/>
            <w:noWrap/>
            <w:vAlign w:val="center"/>
          </w:tcPr>
          <w:p>
            <w:pPr>
              <w:widowControl/>
              <w:jc w:val="center"/>
              <w:rPr>
                <w:rFonts w:ascii="Times New Roman" w:hAnsi="Times New Roman"/>
                <w:kern w:val="0"/>
              </w:rPr>
            </w:pPr>
            <w:r>
              <w:rPr>
                <w:rFonts w:ascii="Times New Roman" w:hAnsi="Times New Roman"/>
                <w:kern w:val="0"/>
              </w:rPr>
              <w:t>电子工业</w:t>
            </w: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1#</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0.03</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0.27</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6.90</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2#</w:t>
            </w:r>
          </w:p>
        </w:tc>
        <w:tc>
          <w:tcPr>
            <w:tcW w:w="782" w:type="dxa"/>
            <w:shd w:val="clear" w:color="auto" w:fill="auto"/>
            <w:noWrap/>
            <w:vAlign w:val="center"/>
          </w:tcPr>
          <w:p>
            <w:pPr>
              <w:widowControl/>
              <w:jc w:val="center"/>
              <w:rPr>
                <w:rFonts w:ascii="Times New Roman" w:hAnsi="Times New Roman"/>
                <w:kern w:val="0"/>
              </w:rPr>
            </w:pPr>
          </w:p>
        </w:tc>
        <w:tc>
          <w:tcPr>
            <w:tcW w:w="782" w:type="dxa"/>
            <w:shd w:val="clear" w:color="auto" w:fill="auto"/>
            <w:noWrap/>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3#</w:t>
            </w:r>
          </w:p>
        </w:tc>
        <w:tc>
          <w:tcPr>
            <w:tcW w:w="782" w:type="dxa"/>
            <w:shd w:val="clear" w:color="auto" w:fill="auto"/>
            <w:noWrap/>
            <w:vAlign w:val="center"/>
          </w:tcPr>
          <w:p>
            <w:pPr>
              <w:widowControl/>
              <w:jc w:val="center"/>
              <w:rPr>
                <w:rFonts w:ascii="Times New Roman" w:hAnsi="Times New Roman"/>
                <w:kern w:val="0"/>
              </w:rPr>
            </w:pPr>
          </w:p>
        </w:tc>
        <w:tc>
          <w:tcPr>
            <w:tcW w:w="782" w:type="dxa"/>
            <w:shd w:val="clear" w:color="auto" w:fill="auto"/>
            <w:noWrap/>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8.22</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4#</w:t>
            </w:r>
          </w:p>
        </w:tc>
        <w:tc>
          <w:tcPr>
            <w:tcW w:w="782" w:type="dxa"/>
            <w:shd w:val="clear" w:color="auto" w:fill="auto"/>
            <w:noWrap/>
            <w:vAlign w:val="center"/>
          </w:tcPr>
          <w:p>
            <w:pPr>
              <w:widowControl/>
              <w:jc w:val="center"/>
              <w:rPr>
                <w:rFonts w:ascii="Times New Roman" w:hAnsi="Times New Roman"/>
                <w:kern w:val="0"/>
              </w:rPr>
            </w:pPr>
          </w:p>
        </w:tc>
        <w:tc>
          <w:tcPr>
            <w:tcW w:w="782" w:type="dxa"/>
            <w:shd w:val="clear" w:color="auto" w:fill="auto"/>
            <w:noWrap/>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8.73</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5#</w:t>
            </w:r>
          </w:p>
        </w:tc>
        <w:tc>
          <w:tcPr>
            <w:tcW w:w="782" w:type="dxa"/>
            <w:shd w:val="clear" w:color="auto" w:fill="auto"/>
            <w:noWrap/>
            <w:vAlign w:val="center"/>
          </w:tcPr>
          <w:p>
            <w:pPr>
              <w:widowControl/>
              <w:jc w:val="center"/>
              <w:rPr>
                <w:rFonts w:ascii="Times New Roman" w:hAnsi="Times New Roman"/>
                <w:kern w:val="0"/>
              </w:rPr>
            </w:pPr>
          </w:p>
        </w:tc>
        <w:tc>
          <w:tcPr>
            <w:tcW w:w="782" w:type="dxa"/>
            <w:shd w:val="clear" w:color="auto" w:fill="auto"/>
            <w:noWrap/>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17.5</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6#</w:t>
            </w:r>
          </w:p>
        </w:tc>
        <w:tc>
          <w:tcPr>
            <w:tcW w:w="782" w:type="dxa"/>
            <w:shd w:val="clear" w:color="auto" w:fill="auto"/>
            <w:noWrap/>
            <w:vAlign w:val="center"/>
          </w:tcPr>
          <w:p>
            <w:pPr>
              <w:widowControl/>
              <w:jc w:val="center"/>
              <w:rPr>
                <w:rFonts w:ascii="Times New Roman" w:hAnsi="Times New Roman"/>
                <w:kern w:val="0"/>
              </w:rPr>
            </w:pPr>
          </w:p>
        </w:tc>
        <w:tc>
          <w:tcPr>
            <w:tcW w:w="782" w:type="dxa"/>
            <w:shd w:val="clear" w:color="auto" w:fill="auto"/>
            <w:noWrap/>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17.8</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restart"/>
            <w:shd w:val="clear" w:color="auto" w:fill="auto"/>
            <w:noWrap/>
            <w:vAlign w:val="center"/>
          </w:tcPr>
          <w:p>
            <w:pPr>
              <w:widowControl/>
              <w:jc w:val="center"/>
              <w:rPr>
                <w:rFonts w:ascii="Times New Roman" w:hAnsi="Times New Roman"/>
                <w:kern w:val="0"/>
              </w:rPr>
            </w:pPr>
            <w:r>
              <w:rPr>
                <w:rFonts w:ascii="Times New Roman" w:hAnsi="Times New Roman"/>
                <w:kern w:val="0"/>
              </w:rPr>
              <w:t>纺织印染工业</w:t>
            </w: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1#</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0.11</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0.53</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1.05</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1.77</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2#</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0.97</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8.17</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0.50</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3#</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0.07</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0.25</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0.545</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0.284</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0.20</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4#</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0.45</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0.87</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1.568</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9.75</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12.18</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5#</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0.39</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0.81</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3.628</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6#</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0.22</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7.35</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restart"/>
            <w:shd w:val="clear" w:color="auto" w:fill="auto"/>
            <w:noWrap/>
            <w:vAlign w:val="center"/>
          </w:tcPr>
          <w:p>
            <w:pPr>
              <w:widowControl/>
              <w:jc w:val="center"/>
              <w:rPr>
                <w:rFonts w:ascii="Times New Roman" w:hAnsi="Times New Roman"/>
                <w:kern w:val="0"/>
              </w:rPr>
            </w:pPr>
            <w:r>
              <w:rPr>
                <w:rFonts w:ascii="Times New Roman" w:hAnsi="Times New Roman"/>
                <w:kern w:val="0"/>
              </w:rPr>
              <w:t>纺织涂层工业</w:t>
            </w: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1#</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0.11</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1.68</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2#</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&lt;0.083</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16.00</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3#</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&lt;0.085</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65.60</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4#</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0.42</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9.74</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5#</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&lt;0.070</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66.70</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restart"/>
            <w:shd w:val="clear" w:color="auto" w:fill="auto"/>
            <w:noWrap/>
            <w:vAlign w:val="center"/>
          </w:tcPr>
          <w:p>
            <w:pPr>
              <w:widowControl/>
              <w:jc w:val="center"/>
              <w:rPr>
                <w:rFonts w:ascii="Times New Roman" w:hAnsi="Times New Roman"/>
                <w:kern w:val="0"/>
              </w:rPr>
            </w:pPr>
            <w:r>
              <w:rPr>
                <w:rFonts w:ascii="Times New Roman" w:hAnsi="Times New Roman"/>
                <w:kern w:val="0"/>
              </w:rPr>
              <w:t>人造板工业</w:t>
            </w: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1#</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30.48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2#</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351.82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3#</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53.49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4#</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5#</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6#</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792.15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restart"/>
            <w:shd w:val="clear" w:color="auto" w:fill="auto"/>
            <w:noWrap/>
            <w:vAlign w:val="center"/>
          </w:tcPr>
          <w:p>
            <w:pPr>
              <w:widowControl/>
              <w:jc w:val="center"/>
              <w:rPr>
                <w:rFonts w:ascii="Times New Roman" w:hAnsi="Times New Roman"/>
                <w:kern w:val="0"/>
              </w:rPr>
            </w:pPr>
            <w:r>
              <w:rPr>
                <w:rFonts w:ascii="Times New Roman" w:hAnsi="Times New Roman"/>
                <w:kern w:val="0"/>
              </w:rPr>
              <w:t>其它行业</w:t>
            </w: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1#</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0.08</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0.14</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2#</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0.01</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0.06</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3#</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2.12</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2.72</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4#</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0.05</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0.23</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5#</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0.30</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0.65</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6#</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8.79</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30.60</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69.90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7#</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0.04</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0.13</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8#</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0.04</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0.13</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9#</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0.13</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0.27</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0.51</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0.02</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10#</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0.18</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0.36</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0.72</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0.01</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11#</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0.13</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0.27</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0.51</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0.01</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12#</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0.50</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13#</w:t>
            </w:r>
          </w:p>
        </w:tc>
        <w:tc>
          <w:tcPr>
            <w:tcW w:w="782" w:type="dxa"/>
            <w:shd w:val="clear" w:color="auto" w:fill="auto"/>
            <w:noWrap/>
            <w:vAlign w:val="center"/>
          </w:tcPr>
          <w:p>
            <w:pPr>
              <w:widowControl/>
              <w:jc w:val="center"/>
              <w:rPr>
                <w:rFonts w:ascii="Times New Roman" w:hAnsi="Times New Roman"/>
                <w:kern w:val="0"/>
              </w:rPr>
            </w:pPr>
            <w:r>
              <w:rPr>
                <w:rFonts w:hint="eastAsia" w:ascii="Times New Roman" w:hAnsi="Times New Roman"/>
                <w:kern w:val="0"/>
              </w:rPr>
              <w:t>/</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0.20</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14#</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0.02</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0.35</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39.90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15#</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0.03</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1.04</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16#</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0.12</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17#</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0.15</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340.74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18#</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0.08</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97.65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19#</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0.80</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1.29</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323.20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20#</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0.12</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21#</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1.11</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1.35</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22#</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1.35</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1.56</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23#</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0.36</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0.39</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24#</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0.09</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0.11</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84.10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25#</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0.01</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0.23</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26#</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0.05</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Merge w:val="continue"/>
            <w:shd w:val="clear" w:color="auto" w:fill="auto"/>
            <w:noWrap/>
            <w:vAlign w:val="center"/>
          </w:tcPr>
          <w:p>
            <w:pPr>
              <w:widowControl/>
              <w:jc w:val="center"/>
              <w:rPr>
                <w:rFonts w:ascii="Times New Roman" w:hAnsi="Times New Roman"/>
                <w:kern w:val="0"/>
              </w:rPr>
            </w:pPr>
          </w:p>
        </w:tc>
        <w:tc>
          <w:tcPr>
            <w:tcW w:w="567" w:type="dxa"/>
            <w:shd w:val="clear" w:color="auto" w:fill="auto"/>
            <w:noWrap/>
            <w:vAlign w:val="center"/>
          </w:tcPr>
          <w:p>
            <w:pPr>
              <w:widowControl/>
              <w:jc w:val="center"/>
              <w:rPr>
                <w:rFonts w:ascii="Times New Roman" w:hAnsi="Times New Roman"/>
                <w:kern w:val="0"/>
              </w:rPr>
            </w:pPr>
            <w:r>
              <w:rPr>
                <w:rFonts w:ascii="Times New Roman" w:hAnsi="Times New Roman"/>
                <w:kern w:val="0"/>
              </w:rPr>
              <w:t>27#</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bottom"/>
          </w:tcPr>
          <w:p>
            <w:pPr>
              <w:widowControl/>
              <w:jc w:val="center"/>
              <w:rPr>
                <w:rFonts w:ascii="Times New Roman" w:hAnsi="Times New Roman"/>
                <w:kern w:val="0"/>
              </w:rPr>
            </w:pPr>
            <w:r>
              <w:rPr>
                <w:rFonts w:ascii="Times New Roman" w:hAnsi="Times New Roman" w:eastAsia="等线"/>
                <w:color w:val="000000"/>
                <w:sz w:val="22"/>
                <w:szCs w:val="22"/>
              </w:rPr>
              <w:t>0.03</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w:t>
            </w:r>
          </w:p>
        </w:tc>
        <w:tc>
          <w:tcPr>
            <w:tcW w:w="782" w:type="dxa"/>
            <w:shd w:val="clear" w:color="auto" w:fill="auto"/>
            <w:noWrap/>
            <w:vAlign w:val="center"/>
          </w:tcPr>
          <w:p>
            <w:pPr>
              <w:widowControl/>
              <w:jc w:val="center"/>
              <w:rPr>
                <w:rFonts w:ascii="Times New Roman" w:hAnsi="Times New Roman"/>
                <w:kern w:val="0"/>
              </w:rPr>
            </w:pPr>
            <w:r>
              <w:rPr>
                <w:rFonts w:ascii="Times New Roman" w:hAnsi="Times New Roman"/>
                <w:kern w:val="0"/>
              </w:rPr>
              <w:t>4.1</w:t>
            </w:r>
          </w:p>
        </w:tc>
      </w:tr>
    </w:tbl>
    <w:p>
      <w:pPr>
        <w:pStyle w:val="2"/>
        <w:numPr>
          <w:ilvl w:val="0"/>
          <w:numId w:val="1"/>
        </w:numPr>
        <w:ind w:left="0" w:firstLine="0"/>
        <w:jc w:val="center"/>
        <w:rPr>
          <w:rFonts w:ascii="Times New Roman" w:hAnsi="Times New Roman"/>
        </w:rPr>
      </w:pPr>
      <w:bookmarkStart w:id="96" w:name="_Toc75787637"/>
      <w:r>
        <w:rPr>
          <w:rFonts w:ascii="Times New Roman" w:hAnsi="Times New Roman"/>
        </w:rPr>
        <w:t>挥发性有机物排放控制技术</w:t>
      </w:r>
      <w:bookmarkEnd w:id="96"/>
    </w:p>
    <w:p>
      <w:pPr>
        <w:pStyle w:val="68"/>
        <w:rPr>
          <w:rFonts w:cs="Times New Roman"/>
        </w:rPr>
      </w:pPr>
      <w:r>
        <w:rPr>
          <w:rFonts w:cs="Times New Roman"/>
        </w:rPr>
        <w:t>在生产过程中采用替代产品</w:t>
      </w:r>
      <w:r>
        <w:rPr>
          <w:rFonts w:hint="eastAsia" w:cs="Times New Roman"/>
        </w:rPr>
        <w:t>或</w:t>
      </w:r>
      <w:r>
        <w:rPr>
          <w:rFonts w:cs="Times New Roman"/>
        </w:rPr>
        <w:t>实施清洁生产是减少VOCs产生和排放的首选措施。但是在多数情况下，对所产生的VOCs进行收集处理（包括回收）仍是不可或缺的控制措施。目前，已经应用在各类工业企业的VOCs处理技术有：热力燃烧、催化燃烧、吸附、生物处理（包括生物过滤、生物滴滤、生物洗涤等工艺）、等离子体氧化（简称等离子体）、吸收、冷凝、膜分离、光氧化、光催化氧化等。</w:t>
      </w:r>
    </w:p>
    <w:p>
      <w:pPr>
        <w:pStyle w:val="3"/>
        <w:ind w:left="0" w:firstLine="0"/>
      </w:pPr>
      <w:bookmarkStart w:id="97" w:name="_Toc75787638"/>
      <w:r>
        <w:t>源头控制技术</w:t>
      </w:r>
      <w:bookmarkEnd w:id="97"/>
    </w:p>
    <w:p>
      <w:pPr>
        <w:pStyle w:val="68"/>
        <w:rPr>
          <w:rFonts w:cs="Times New Roman"/>
        </w:rPr>
      </w:pPr>
      <w:r>
        <w:rPr>
          <w:rFonts w:cs="Times New Roman"/>
        </w:rPr>
        <w:t>源头控制技术主要指推广使用无/低VOCs含量的原辅材料，可从源头上减少原辅材料的VOCs含量，从而达到减少VOCs排放的目的。如使用水性、粉末、高固体分、无溶剂、辐射固化等低（无）VOCs含量的涂料，水基型、热熔型、无溶剂型、紫外光固化型、高固含量型及生物降解等低（无）VOCs含量的胶黏剂，水性、辐射固化型、单一溶剂型油墨，水性胶粘剂、水性硬化剂、水性处理剂、热熔胶等水基、热熔型低VOCs含量的原辅材料以及水溶性或光固化抗蚀剂、阻焊剂等。</w:t>
      </w:r>
    </w:p>
    <w:p>
      <w:pPr>
        <w:pStyle w:val="3"/>
        <w:ind w:left="0" w:firstLine="0"/>
      </w:pPr>
      <w:bookmarkStart w:id="98" w:name="_Toc75787639"/>
      <w:r>
        <w:t>过程控制技术</w:t>
      </w:r>
      <w:bookmarkEnd w:id="98"/>
    </w:p>
    <w:p>
      <w:pPr>
        <w:pStyle w:val="68"/>
        <w:rPr>
          <w:rFonts w:cs="Times New Roman"/>
        </w:rPr>
      </w:pPr>
      <w:r>
        <w:rPr>
          <w:rFonts w:cs="Times New Roman"/>
        </w:rPr>
        <w:t>过程控制技术是针对生产工艺过程，从VOCs产生环节上采取措施减少VOCs的产生，一般通过规范生产管理、生产工艺提升和泄漏控制等手段来实现。主要涉及生产过程密闭化、连续化、自动化，应用高效工艺设备与技术。如采用管道输送、桶泵或者其他等效的物料输送技术、密封、加盖技术以及投料、包装以及采样过程的吸风装置等在生产过程中进行VOCs排放控制的技术</w:t>
      </w:r>
      <w:r>
        <w:rPr>
          <w:rFonts w:hint="eastAsia" w:cs="Times New Roman"/>
        </w:rPr>
        <w:t>；</w:t>
      </w:r>
      <w:r>
        <w:rPr>
          <w:rFonts w:cs="Times New Roman"/>
        </w:rPr>
        <w:t>针对设备与管线泄漏产生的VOCs逸散，实施LDAR技术进行检测和维修等。</w:t>
      </w:r>
    </w:p>
    <w:p>
      <w:pPr>
        <w:pStyle w:val="3"/>
        <w:ind w:left="0" w:firstLine="0"/>
      </w:pPr>
      <w:bookmarkStart w:id="99" w:name="_Toc75787640"/>
      <w:r>
        <w:t>末端控制技术</w:t>
      </w:r>
      <w:bookmarkEnd w:id="99"/>
    </w:p>
    <w:p>
      <w:pPr>
        <w:pStyle w:val="68"/>
        <w:rPr>
          <w:rFonts w:cs="Times New Roman"/>
        </w:rPr>
      </w:pPr>
      <w:r>
        <w:rPr>
          <w:rFonts w:cs="Times New Roman"/>
        </w:rPr>
        <w:t>总体上来说，末端控制技术大体上可以分为两大类，即回收和销毁，如</w:t>
      </w:r>
      <w:r>
        <w:rPr>
          <w:rFonts w:cs="Times New Roman"/>
        </w:rPr>
        <w:fldChar w:fldCharType="begin"/>
      </w:r>
      <w:r>
        <w:rPr>
          <w:rFonts w:cs="Times New Roman"/>
        </w:rPr>
        <w:instrText xml:space="preserve"> REF _Ref26352204 \h  \* MERGEFORMAT </w:instrText>
      </w:r>
      <w:r>
        <w:rPr>
          <w:rFonts w:cs="Times New Roman"/>
        </w:rPr>
        <w:fldChar w:fldCharType="separate"/>
      </w:r>
      <w:r>
        <w:rPr>
          <w:rFonts w:cs="Times New Roman"/>
        </w:rPr>
        <w:t>图 4</w:t>
      </w:r>
      <w:r>
        <w:rPr>
          <w:rFonts w:cs="Times New Roman"/>
        </w:rPr>
        <w:noBreakHyphen/>
      </w:r>
      <w:r>
        <w:rPr>
          <w:rFonts w:cs="Times New Roman"/>
        </w:rPr>
        <w:t>1</w:t>
      </w:r>
      <w:r>
        <w:rPr>
          <w:rFonts w:cs="Times New Roman"/>
        </w:rPr>
        <w:fldChar w:fldCharType="end"/>
      </w:r>
      <w:r>
        <w:rPr>
          <w:rFonts w:cs="Times New Roman"/>
        </w:rPr>
        <w:t>所示。回收是通过物理的方法，改变温度、压力或采用选择性吸附剂和选择性渗透膜等方法来富集分离有机气相污染物，主要有吸附、吸收、冷凝及膜分离技术。回收的挥发性有机物可以直接或经过简单纯化后返回工艺过程再利用，以减少原料的消耗，或者用于有机溶剂质量要求较低的生产工艺，或者集中进行分离提纯。销毁主要是通过化学或生化反应，用热、光、催化剂和微生物等将有机化合物转变成为CO</w:t>
      </w:r>
      <w:r>
        <w:rPr>
          <w:rFonts w:cs="Times New Roman"/>
          <w:vertAlign w:val="subscript"/>
        </w:rPr>
        <w:t>2</w:t>
      </w:r>
      <w:r>
        <w:rPr>
          <w:rFonts w:cs="Times New Roman"/>
        </w:rPr>
        <w:t>和H</w:t>
      </w:r>
      <w:r>
        <w:rPr>
          <w:rFonts w:cs="Times New Roman"/>
          <w:vertAlign w:val="subscript"/>
        </w:rPr>
        <w:t>2</w:t>
      </w:r>
      <w:r>
        <w:rPr>
          <w:rFonts w:cs="Times New Roman"/>
        </w:rPr>
        <w:t>O等无毒害或低毒害的无机小分子化合物，主要治理技术有直接燃烧、催化燃烧、热力焚烧、生物氧化、光催化氧化和等离子体分解破坏等。</w:t>
      </w:r>
    </w:p>
    <w:p>
      <w:pPr>
        <w:widowControl/>
        <w:spacing w:line="360" w:lineRule="auto"/>
        <w:jc w:val="center"/>
        <w:rPr>
          <w:rFonts w:ascii="Times New Roman" w:hAnsi="Times New Roman"/>
          <w:sz w:val="24"/>
          <w:szCs w:val="24"/>
        </w:rPr>
      </w:pPr>
      <w:r>
        <w:rPr>
          <w:rFonts w:ascii="Times New Roman" w:hAnsi="Times New Roman"/>
          <w:kern w:val="0"/>
          <w:sz w:val="24"/>
        </w:rPr>
        <mc:AlternateContent>
          <mc:Choice Requires="wpc">
            <w:drawing>
              <wp:inline distT="0" distB="0" distL="0" distR="0">
                <wp:extent cx="5222875" cy="3745865"/>
                <wp:effectExtent l="0" t="0" r="0" b="0"/>
                <wp:docPr id="59" name="画布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Text Box 5"/>
                        <wps:cNvSpPr txBox="1">
                          <a:spLocks noChangeArrowheads="1"/>
                        </wps:cNvSpPr>
                        <wps:spPr bwMode="auto">
                          <a:xfrm>
                            <a:off x="1904365" y="221615"/>
                            <a:ext cx="1133475" cy="344170"/>
                          </a:xfrm>
                          <a:prstGeom prst="rect">
                            <a:avLst/>
                          </a:prstGeom>
                          <a:noFill/>
                          <a:ln w="6350">
                            <a:solidFill>
                              <a:srgbClr val="000000"/>
                            </a:solidFill>
                            <a:miter lim="800000"/>
                          </a:ln>
                          <a:effectLst/>
                        </wps:spPr>
                        <wps:txbx>
                          <w:txbxContent>
                            <w:p>
                              <w:r>
                                <w:rPr>
                                  <w:rFonts w:hint="eastAsia"/>
                                </w:rPr>
                                <w:t>VOCs净化技术</w:t>
                              </w:r>
                            </w:p>
                          </w:txbxContent>
                        </wps:txbx>
                        <wps:bodyPr rot="0" vert="horz" wrap="square" lIns="91440" tIns="45720" rIns="91440" bIns="45720" anchor="t" anchorCtr="0" upright="1">
                          <a:noAutofit/>
                        </wps:bodyPr>
                      </wps:wsp>
                      <wps:wsp>
                        <wps:cNvPr id="3" name="AutoShape 6"/>
                        <wps:cNvCnPr>
                          <a:cxnSpLocks noChangeShapeType="1"/>
                        </wps:cNvCnPr>
                        <wps:spPr bwMode="auto">
                          <a:xfrm>
                            <a:off x="2471420" y="565785"/>
                            <a:ext cx="4445" cy="182245"/>
                          </a:xfrm>
                          <a:prstGeom prst="straightConnector1">
                            <a:avLst/>
                          </a:prstGeom>
                          <a:noFill/>
                          <a:ln w="6350">
                            <a:solidFill>
                              <a:srgbClr val="000000"/>
                            </a:solidFill>
                            <a:round/>
                          </a:ln>
                          <a:effectLst/>
                        </wps:spPr>
                        <wps:bodyPr/>
                      </wps:wsp>
                      <wps:wsp>
                        <wps:cNvPr id="10" name="AutoShape 7"/>
                        <wps:cNvCnPr>
                          <a:cxnSpLocks noChangeShapeType="1"/>
                        </wps:cNvCnPr>
                        <wps:spPr bwMode="auto">
                          <a:xfrm>
                            <a:off x="1285240" y="748665"/>
                            <a:ext cx="2362200" cy="635"/>
                          </a:xfrm>
                          <a:prstGeom prst="straightConnector1">
                            <a:avLst/>
                          </a:prstGeom>
                          <a:noFill/>
                          <a:ln w="6350">
                            <a:solidFill>
                              <a:srgbClr val="000000"/>
                            </a:solidFill>
                            <a:round/>
                          </a:ln>
                        </wps:spPr>
                        <wps:bodyPr/>
                      </wps:wsp>
                      <wps:wsp>
                        <wps:cNvPr id="13" name="AutoShape 8"/>
                        <wps:cNvCnPr>
                          <a:cxnSpLocks noChangeShapeType="1"/>
                        </wps:cNvCnPr>
                        <wps:spPr bwMode="auto">
                          <a:xfrm flipH="1">
                            <a:off x="1271270" y="767080"/>
                            <a:ext cx="13970" cy="132080"/>
                          </a:xfrm>
                          <a:prstGeom prst="straightConnector1">
                            <a:avLst/>
                          </a:prstGeom>
                          <a:noFill/>
                          <a:ln w="6350">
                            <a:solidFill>
                              <a:srgbClr val="000000"/>
                            </a:solidFill>
                            <a:round/>
                            <a:tailEnd type="triangle" w="med" len="med"/>
                          </a:ln>
                        </wps:spPr>
                        <wps:bodyPr/>
                      </wps:wsp>
                      <wps:wsp>
                        <wps:cNvPr id="14" name="AutoShape 9"/>
                        <wps:cNvCnPr>
                          <a:cxnSpLocks noChangeShapeType="1"/>
                        </wps:cNvCnPr>
                        <wps:spPr bwMode="auto">
                          <a:xfrm flipH="1">
                            <a:off x="3642995" y="767080"/>
                            <a:ext cx="4445" cy="113030"/>
                          </a:xfrm>
                          <a:prstGeom prst="straightConnector1">
                            <a:avLst/>
                          </a:prstGeom>
                          <a:noFill/>
                          <a:ln w="6350">
                            <a:solidFill>
                              <a:srgbClr val="000000"/>
                            </a:solidFill>
                            <a:round/>
                            <a:tailEnd type="triangle" w="med" len="med"/>
                          </a:ln>
                          <a:effectLst/>
                        </wps:spPr>
                        <wps:bodyPr/>
                      </wps:wsp>
                      <wpg:wgp>
                        <wpg:cNvPr id="15" name="Group 10"/>
                        <wpg:cNvGrpSpPr/>
                        <wpg:grpSpPr>
                          <a:xfrm>
                            <a:off x="181610" y="899160"/>
                            <a:ext cx="2208530" cy="1466215"/>
                            <a:chOff x="2072" y="9298"/>
                            <a:chExt cx="3478" cy="2309"/>
                          </a:xfrm>
                        </wpg:grpSpPr>
                        <wps:wsp>
                          <wps:cNvPr id="16" name="Text Box 11"/>
                          <wps:cNvSpPr txBox="1">
                            <a:spLocks noChangeArrowheads="1"/>
                          </wps:cNvSpPr>
                          <wps:spPr bwMode="auto">
                            <a:xfrm>
                              <a:off x="2896" y="9298"/>
                              <a:ext cx="1783" cy="509"/>
                            </a:xfrm>
                            <a:prstGeom prst="rect">
                              <a:avLst/>
                            </a:prstGeom>
                            <a:noFill/>
                            <a:ln w="6350">
                              <a:solidFill>
                                <a:srgbClr val="000000"/>
                              </a:solidFill>
                              <a:miter lim="800000"/>
                            </a:ln>
                            <a:effectLst/>
                          </wps:spPr>
                          <wps:txbx>
                            <w:txbxContent>
                              <w:p>
                                <w:pPr>
                                  <w:jc w:val="center"/>
                                </w:pPr>
                                <w:r>
                                  <w:rPr>
                                    <w:rFonts w:hint="eastAsia"/>
                                  </w:rPr>
                                  <w:t>回收技术</w:t>
                                </w:r>
                              </w:p>
                            </w:txbxContent>
                          </wps:txbx>
                          <wps:bodyPr rot="0" vert="horz" wrap="square" lIns="91440" tIns="45720" rIns="91440" bIns="45720" anchor="t" anchorCtr="0" upright="1">
                            <a:noAutofit/>
                          </wps:bodyPr>
                        </wps:wsp>
                        <wps:wsp>
                          <wps:cNvPr id="17" name="Rectangle 12"/>
                          <wps:cNvSpPr>
                            <a:spLocks noChangeArrowheads="1"/>
                          </wps:cNvSpPr>
                          <wps:spPr bwMode="auto">
                            <a:xfrm>
                              <a:off x="3032" y="10302"/>
                              <a:ext cx="614" cy="1305"/>
                            </a:xfrm>
                            <a:prstGeom prst="rect">
                              <a:avLst/>
                            </a:prstGeom>
                            <a:noFill/>
                            <a:ln w="6350">
                              <a:solidFill>
                                <a:srgbClr val="000000"/>
                              </a:solidFill>
                              <a:miter lim="800000"/>
                            </a:ln>
                            <a:effectLst/>
                          </wps:spPr>
                          <wps:txbx>
                            <w:txbxContent>
                              <w:p>
                                <w:r>
                                  <w:rPr>
                                    <w:rFonts w:hint="eastAsia"/>
                                  </w:rPr>
                                  <w:t>吸收技术</w:t>
                                </w:r>
                              </w:p>
                            </w:txbxContent>
                          </wps:txbx>
                          <wps:bodyPr rot="0" vert="eaVert" wrap="square" lIns="91440" tIns="45720" rIns="91440" bIns="45720" anchor="t" anchorCtr="0" upright="1">
                            <a:noAutofit/>
                          </wps:bodyPr>
                        </wps:wsp>
                        <wps:wsp>
                          <wps:cNvPr id="18" name="Rectangle 13"/>
                          <wps:cNvSpPr>
                            <a:spLocks noChangeArrowheads="1"/>
                          </wps:cNvSpPr>
                          <wps:spPr bwMode="auto">
                            <a:xfrm>
                              <a:off x="4037" y="10302"/>
                              <a:ext cx="582" cy="1305"/>
                            </a:xfrm>
                            <a:prstGeom prst="rect">
                              <a:avLst/>
                            </a:prstGeom>
                            <a:noFill/>
                            <a:ln w="6350">
                              <a:solidFill>
                                <a:srgbClr val="000000"/>
                              </a:solidFill>
                              <a:miter lim="800000"/>
                            </a:ln>
                            <a:effectLst/>
                          </wps:spPr>
                          <wps:txbx>
                            <w:txbxContent>
                              <w:p>
                                <w:r>
                                  <w:rPr>
                                    <w:rFonts w:hint="eastAsia"/>
                                  </w:rPr>
                                  <w:t>冷凝技术</w:t>
                                </w:r>
                              </w:p>
                            </w:txbxContent>
                          </wps:txbx>
                          <wps:bodyPr rot="0" vert="eaVert" wrap="square" lIns="91440" tIns="45720" rIns="91440" bIns="45720" anchor="t" anchorCtr="0" upright="1">
                            <a:noAutofit/>
                          </wps:bodyPr>
                        </wps:wsp>
                        <wps:wsp>
                          <wps:cNvPr id="19" name="Rectangle 14"/>
                          <wps:cNvSpPr>
                            <a:spLocks noChangeArrowheads="1"/>
                          </wps:cNvSpPr>
                          <wps:spPr bwMode="auto">
                            <a:xfrm>
                              <a:off x="4937" y="10302"/>
                              <a:ext cx="613" cy="1305"/>
                            </a:xfrm>
                            <a:prstGeom prst="rect">
                              <a:avLst/>
                            </a:prstGeom>
                            <a:noFill/>
                            <a:ln w="6350">
                              <a:solidFill>
                                <a:srgbClr val="000000"/>
                              </a:solidFill>
                              <a:miter lim="800000"/>
                            </a:ln>
                            <a:effectLst/>
                          </wps:spPr>
                          <wps:txbx>
                            <w:txbxContent>
                              <w:p>
                                <w:r>
                                  <w:rPr>
                                    <w:rFonts w:hint="eastAsia"/>
                                  </w:rPr>
                                  <w:t>膜分离技术</w:t>
                                </w:r>
                              </w:p>
                            </w:txbxContent>
                          </wps:txbx>
                          <wps:bodyPr rot="0" vert="eaVert" wrap="square" lIns="91440" tIns="45720" rIns="91440" bIns="45720" anchor="t" anchorCtr="0" upright="1">
                            <a:noAutofit/>
                          </wps:bodyPr>
                        </wps:wsp>
                        <wps:wsp>
                          <wps:cNvPr id="20" name="Rectangle 15"/>
                          <wps:cNvSpPr>
                            <a:spLocks noChangeArrowheads="1"/>
                          </wps:cNvSpPr>
                          <wps:spPr bwMode="auto">
                            <a:xfrm>
                              <a:off x="2072" y="10302"/>
                              <a:ext cx="643" cy="1305"/>
                            </a:xfrm>
                            <a:prstGeom prst="rect">
                              <a:avLst/>
                            </a:prstGeom>
                            <a:noFill/>
                            <a:ln w="6350">
                              <a:solidFill>
                                <a:srgbClr val="000000"/>
                              </a:solidFill>
                              <a:miter lim="800000"/>
                            </a:ln>
                            <a:effectLst/>
                          </wps:spPr>
                          <wps:txbx>
                            <w:txbxContent>
                              <w:p>
                                <w:r>
                                  <w:rPr>
                                    <w:rFonts w:hint="eastAsia"/>
                                  </w:rPr>
                                  <w:t>吸附技术</w:t>
                                </w:r>
                              </w:p>
                            </w:txbxContent>
                          </wps:txbx>
                          <wps:bodyPr rot="0" vert="eaVert" wrap="square" lIns="91440" tIns="45720" rIns="91440" bIns="45720" anchor="t" anchorCtr="0" upright="1">
                            <a:noAutofit/>
                          </wps:bodyPr>
                        </wps:wsp>
                        <wps:wsp>
                          <wps:cNvPr id="21" name="AutoShape 16"/>
                          <wps:cNvCnPr>
                            <a:cxnSpLocks noChangeShapeType="1"/>
                          </wps:cNvCnPr>
                          <wps:spPr bwMode="auto">
                            <a:xfrm>
                              <a:off x="3788" y="9837"/>
                              <a:ext cx="1" cy="108"/>
                            </a:xfrm>
                            <a:prstGeom prst="straightConnector1">
                              <a:avLst/>
                            </a:prstGeom>
                            <a:noFill/>
                            <a:ln w="6350">
                              <a:solidFill>
                                <a:srgbClr val="000000"/>
                              </a:solidFill>
                              <a:round/>
                            </a:ln>
                            <a:effectLst/>
                          </wps:spPr>
                          <wps:bodyPr/>
                        </wps:wsp>
                        <wps:wsp>
                          <wps:cNvPr id="22" name="AutoShape 17"/>
                          <wps:cNvCnPr>
                            <a:cxnSpLocks noChangeShapeType="1"/>
                          </wps:cNvCnPr>
                          <wps:spPr bwMode="auto">
                            <a:xfrm>
                              <a:off x="2310" y="9945"/>
                              <a:ext cx="2910" cy="0"/>
                            </a:xfrm>
                            <a:prstGeom prst="straightConnector1">
                              <a:avLst/>
                            </a:prstGeom>
                            <a:noFill/>
                            <a:ln w="6350">
                              <a:solidFill>
                                <a:srgbClr val="000000"/>
                              </a:solidFill>
                              <a:round/>
                            </a:ln>
                            <a:effectLst/>
                          </wps:spPr>
                          <wps:bodyPr/>
                        </wps:wsp>
                        <wps:wsp>
                          <wps:cNvPr id="23" name="AutoShape 18"/>
                          <wps:cNvCnPr>
                            <a:cxnSpLocks noChangeShapeType="1"/>
                          </wps:cNvCnPr>
                          <wps:spPr bwMode="auto">
                            <a:xfrm>
                              <a:off x="2318" y="9945"/>
                              <a:ext cx="1" cy="327"/>
                            </a:xfrm>
                            <a:prstGeom prst="straightConnector1">
                              <a:avLst/>
                            </a:prstGeom>
                            <a:noFill/>
                            <a:ln w="6350">
                              <a:solidFill>
                                <a:srgbClr val="000000"/>
                              </a:solidFill>
                              <a:round/>
                              <a:tailEnd type="triangle" w="med" len="med"/>
                            </a:ln>
                            <a:effectLst/>
                          </wps:spPr>
                          <wps:bodyPr/>
                        </wps:wsp>
                        <wps:wsp>
                          <wps:cNvPr id="24" name="AutoShape 19"/>
                          <wps:cNvCnPr>
                            <a:cxnSpLocks noChangeShapeType="1"/>
                          </wps:cNvCnPr>
                          <wps:spPr bwMode="auto">
                            <a:xfrm>
                              <a:off x="3255" y="9945"/>
                              <a:ext cx="1" cy="327"/>
                            </a:xfrm>
                            <a:prstGeom prst="straightConnector1">
                              <a:avLst/>
                            </a:prstGeom>
                            <a:noFill/>
                            <a:ln w="6350">
                              <a:solidFill>
                                <a:srgbClr val="000000"/>
                              </a:solidFill>
                              <a:round/>
                              <a:tailEnd type="triangle" w="med" len="med"/>
                            </a:ln>
                            <a:effectLst/>
                          </wps:spPr>
                          <wps:bodyPr/>
                        </wps:wsp>
                        <wps:wsp>
                          <wps:cNvPr id="25" name="AutoShape 20"/>
                          <wps:cNvCnPr>
                            <a:cxnSpLocks noChangeShapeType="1"/>
                          </wps:cNvCnPr>
                          <wps:spPr bwMode="auto">
                            <a:xfrm>
                              <a:off x="4275" y="9945"/>
                              <a:ext cx="1" cy="327"/>
                            </a:xfrm>
                            <a:prstGeom prst="straightConnector1">
                              <a:avLst/>
                            </a:prstGeom>
                            <a:noFill/>
                            <a:ln w="6350">
                              <a:solidFill>
                                <a:srgbClr val="000000"/>
                              </a:solidFill>
                              <a:round/>
                              <a:tailEnd type="triangle" w="med" len="med"/>
                            </a:ln>
                            <a:effectLst/>
                          </wps:spPr>
                          <wps:bodyPr/>
                        </wps:wsp>
                        <wps:wsp>
                          <wps:cNvPr id="26" name="AutoShape 21"/>
                          <wps:cNvCnPr>
                            <a:cxnSpLocks noChangeShapeType="1"/>
                          </wps:cNvCnPr>
                          <wps:spPr bwMode="auto">
                            <a:xfrm>
                              <a:off x="5219" y="9945"/>
                              <a:ext cx="1" cy="327"/>
                            </a:xfrm>
                            <a:prstGeom prst="straightConnector1">
                              <a:avLst/>
                            </a:prstGeom>
                            <a:noFill/>
                            <a:ln w="6350">
                              <a:solidFill>
                                <a:srgbClr val="000000"/>
                              </a:solidFill>
                              <a:round/>
                              <a:tailEnd type="triangle" w="med" len="med"/>
                            </a:ln>
                            <a:effectLst/>
                          </wps:spPr>
                          <wps:bodyPr/>
                        </wps:wsp>
                      </wpg:wgp>
                      <wps:wsp>
                        <wps:cNvPr id="27" name="Text Box 22"/>
                        <wps:cNvSpPr txBox="1">
                          <a:spLocks noChangeArrowheads="1"/>
                        </wps:cNvSpPr>
                        <wps:spPr bwMode="auto">
                          <a:xfrm>
                            <a:off x="3076575" y="880110"/>
                            <a:ext cx="1132840" cy="323215"/>
                          </a:xfrm>
                          <a:prstGeom prst="rect">
                            <a:avLst/>
                          </a:prstGeom>
                          <a:noFill/>
                          <a:ln w="6350">
                            <a:solidFill>
                              <a:srgbClr val="000000"/>
                            </a:solidFill>
                            <a:miter lim="800000"/>
                          </a:ln>
                          <a:effectLst/>
                        </wps:spPr>
                        <wps:txbx>
                          <w:txbxContent>
                            <w:p>
                              <w:pPr>
                                <w:ind w:firstLine="315" w:firstLineChars="150"/>
                              </w:pPr>
                              <w:r>
                                <w:rPr>
                                  <w:rFonts w:hint="eastAsia"/>
                                </w:rPr>
                                <w:t>销毁技术</w:t>
                              </w:r>
                            </w:p>
                          </w:txbxContent>
                        </wps:txbx>
                        <wps:bodyPr rot="0" vert="horz" wrap="square" lIns="91440" tIns="45720" rIns="91440" bIns="45720" anchor="t" anchorCtr="0" upright="1">
                          <a:noAutofit/>
                        </wps:bodyPr>
                      </wps:wsp>
                      <wps:wsp>
                        <wps:cNvPr id="28" name="Rectangle 23"/>
                        <wps:cNvSpPr>
                          <a:spLocks noChangeArrowheads="1"/>
                        </wps:cNvSpPr>
                        <wps:spPr bwMode="auto">
                          <a:xfrm>
                            <a:off x="2685415" y="1536700"/>
                            <a:ext cx="400050" cy="840740"/>
                          </a:xfrm>
                          <a:prstGeom prst="rect">
                            <a:avLst/>
                          </a:prstGeom>
                          <a:noFill/>
                          <a:ln w="6350">
                            <a:solidFill>
                              <a:srgbClr val="000000"/>
                            </a:solidFill>
                            <a:miter lim="800000"/>
                          </a:ln>
                          <a:effectLst/>
                        </wps:spPr>
                        <wps:txbx>
                          <w:txbxContent>
                            <w:p>
                              <w:r>
                                <w:rPr>
                                  <w:rFonts w:hint="eastAsia"/>
                                </w:rPr>
                                <w:t>燃烧技术</w:t>
                              </w:r>
                            </w:p>
                          </w:txbxContent>
                        </wps:txbx>
                        <wps:bodyPr rot="0" vert="eaVert" wrap="square" lIns="91440" tIns="45720" rIns="91440" bIns="45720" anchor="t" anchorCtr="0" upright="1">
                          <a:noAutofit/>
                        </wps:bodyPr>
                      </wps:wsp>
                      <wps:wsp>
                        <wps:cNvPr id="29" name="Rectangle 24"/>
                        <wps:cNvSpPr>
                          <a:spLocks noChangeArrowheads="1"/>
                        </wps:cNvSpPr>
                        <wps:spPr bwMode="auto">
                          <a:xfrm>
                            <a:off x="3309620" y="1542415"/>
                            <a:ext cx="394970" cy="835025"/>
                          </a:xfrm>
                          <a:prstGeom prst="rect">
                            <a:avLst/>
                          </a:prstGeom>
                          <a:noFill/>
                          <a:ln w="6350">
                            <a:solidFill>
                              <a:srgbClr val="000000"/>
                            </a:solidFill>
                            <a:miter lim="800000"/>
                          </a:ln>
                          <a:effectLst/>
                        </wps:spPr>
                        <wps:txbx>
                          <w:txbxContent>
                            <w:p>
                              <w:r>
                                <w:rPr>
                                  <w:rFonts w:hint="eastAsia"/>
                                </w:rPr>
                                <w:t>生物技术</w:t>
                              </w:r>
                            </w:p>
                          </w:txbxContent>
                        </wps:txbx>
                        <wps:bodyPr rot="0" vert="eaVert" wrap="square" lIns="91440" tIns="45720" rIns="91440" bIns="45720" anchor="t" anchorCtr="0" upright="1">
                          <a:noAutofit/>
                        </wps:bodyPr>
                      </wps:wsp>
                      <wps:wsp>
                        <wps:cNvPr id="30" name="Rectangle 25"/>
                        <wps:cNvSpPr>
                          <a:spLocks noChangeArrowheads="1"/>
                        </wps:cNvSpPr>
                        <wps:spPr bwMode="auto">
                          <a:xfrm>
                            <a:off x="3871595" y="1536700"/>
                            <a:ext cx="442595" cy="939800"/>
                          </a:xfrm>
                          <a:prstGeom prst="rect">
                            <a:avLst/>
                          </a:prstGeom>
                          <a:noFill/>
                          <a:ln w="6350">
                            <a:solidFill>
                              <a:srgbClr val="000000"/>
                            </a:solidFill>
                            <a:miter lim="800000"/>
                          </a:ln>
                          <a:effectLst/>
                        </wps:spPr>
                        <wps:txbx>
                          <w:txbxContent>
                            <w:p>
                              <w:r>
                                <w:rPr>
                                  <w:rFonts w:hint="eastAsia"/>
                                </w:rPr>
                                <w:t>等离子体破坏</w:t>
                              </w:r>
                            </w:p>
                          </w:txbxContent>
                        </wps:txbx>
                        <wps:bodyPr rot="0" vert="eaVert" wrap="square" lIns="91440" tIns="45720" rIns="91440" bIns="45720" anchor="t" anchorCtr="0" upright="1">
                          <a:noAutofit/>
                        </wps:bodyPr>
                      </wps:wsp>
                      <wps:wsp>
                        <wps:cNvPr id="31" name="Rectangle 26"/>
                        <wps:cNvSpPr>
                          <a:spLocks noChangeArrowheads="1"/>
                        </wps:cNvSpPr>
                        <wps:spPr bwMode="auto">
                          <a:xfrm>
                            <a:off x="4473575" y="1536700"/>
                            <a:ext cx="421005" cy="840740"/>
                          </a:xfrm>
                          <a:prstGeom prst="rect">
                            <a:avLst/>
                          </a:prstGeom>
                          <a:noFill/>
                          <a:ln w="6350">
                            <a:solidFill>
                              <a:srgbClr val="000000"/>
                            </a:solidFill>
                            <a:miter lim="800000"/>
                          </a:ln>
                          <a:effectLst/>
                        </wps:spPr>
                        <wps:txbx>
                          <w:txbxContent>
                            <w:p>
                              <w:r>
                                <w:rPr>
                                  <w:rFonts w:hint="eastAsia"/>
                                </w:rPr>
                                <w:t>光催化技术</w:t>
                              </w:r>
                            </w:p>
                          </w:txbxContent>
                        </wps:txbx>
                        <wps:bodyPr rot="0" vert="eaVert" wrap="square" lIns="91440" tIns="45720" rIns="91440" bIns="45720" anchor="t" anchorCtr="0" upright="1">
                          <a:noAutofit/>
                        </wps:bodyPr>
                      </wps:wsp>
                      <wps:wsp>
                        <wps:cNvPr id="32" name="AutoShape 27"/>
                        <wps:cNvCnPr>
                          <a:cxnSpLocks noChangeShapeType="1"/>
                        </wps:cNvCnPr>
                        <wps:spPr bwMode="auto">
                          <a:xfrm>
                            <a:off x="3642995" y="1203325"/>
                            <a:ext cx="4445" cy="87630"/>
                          </a:xfrm>
                          <a:prstGeom prst="straightConnector1">
                            <a:avLst/>
                          </a:prstGeom>
                          <a:noFill/>
                          <a:ln w="6350">
                            <a:solidFill>
                              <a:srgbClr val="000000"/>
                            </a:solidFill>
                            <a:round/>
                          </a:ln>
                          <a:effectLst/>
                        </wps:spPr>
                        <wps:bodyPr/>
                      </wps:wsp>
                      <wps:wsp>
                        <wps:cNvPr id="33" name="AutoShape 28"/>
                        <wps:cNvCnPr>
                          <a:cxnSpLocks noChangeShapeType="1"/>
                        </wps:cNvCnPr>
                        <wps:spPr bwMode="auto">
                          <a:xfrm>
                            <a:off x="2866390" y="1310005"/>
                            <a:ext cx="1819275" cy="0"/>
                          </a:xfrm>
                          <a:prstGeom prst="straightConnector1">
                            <a:avLst/>
                          </a:prstGeom>
                          <a:noFill/>
                          <a:ln w="6350">
                            <a:solidFill>
                              <a:srgbClr val="000000"/>
                            </a:solidFill>
                            <a:round/>
                          </a:ln>
                          <a:effectLst/>
                        </wps:spPr>
                        <wps:bodyPr/>
                      </wps:wsp>
                      <wps:wsp>
                        <wps:cNvPr id="34" name="AutoShape 29"/>
                        <wps:cNvCnPr>
                          <a:cxnSpLocks noChangeShapeType="1"/>
                        </wps:cNvCnPr>
                        <wps:spPr bwMode="auto">
                          <a:xfrm flipH="1">
                            <a:off x="2875915" y="1310005"/>
                            <a:ext cx="5080" cy="207645"/>
                          </a:xfrm>
                          <a:prstGeom prst="straightConnector1">
                            <a:avLst/>
                          </a:prstGeom>
                          <a:noFill/>
                          <a:ln w="6350">
                            <a:solidFill>
                              <a:srgbClr val="000000"/>
                            </a:solidFill>
                            <a:round/>
                            <a:tailEnd type="triangle" w="med" len="med"/>
                          </a:ln>
                          <a:effectLst/>
                        </wps:spPr>
                        <wps:bodyPr/>
                      </wps:wsp>
                      <wps:wsp>
                        <wps:cNvPr id="35" name="AutoShape 30"/>
                        <wps:cNvCnPr>
                          <a:cxnSpLocks noChangeShapeType="1"/>
                        </wps:cNvCnPr>
                        <wps:spPr bwMode="auto">
                          <a:xfrm flipH="1">
                            <a:off x="3514090" y="1310005"/>
                            <a:ext cx="5080" cy="207645"/>
                          </a:xfrm>
                          <a:prstGeom prst="straightConnector1">
                            <a:avLst/>
                          </a:prstGeom>
                          <a:noFill/>
                          <a:ln w="6350">
                            <a:solidFill>
                              <a:srgbClr val="000000"/>
                            </a:solidFill>
                            <a:round/>
                            <a:tailEnd type="triangle" w="med" len="med"/>
                          </a:ln>
                          <a:effectLst/>
                        </wps:spPr>
                        <wps:bodyPr/>
                      </wps:wsp>
                      <wps:wsp>
                        <wps:cNvPr id="36" name="AutoShape 31"/>
                        <wps:cNvCnPr>
                          <a:cxnSpLocks noChangeShapeType="1"/>
                        </wps:cNvCnPr>
                        <wps:spPr bwMode="auto">
                          <a:xfrm flipH="1">
                            <a:off x="4104640" y="1310005"/>
                            <a:ext cx="5080" cy="207645"/>
                          </a:xfrm>
                          <a:prstGeom prst="straightConnector1">
                            <a:avLst/>
                          </a:prstGeom>
                          <a:noFill/>
                          <a:ln w="6350">
                            <a:solidFill>
                              <a:srgbClr val="000000"/>
                            </a:solidFill>
                            <a:round/>
                            <a:tailEnd type="triangle" w="med" len="med"/>
                          </a:ln>
                          <a:effectLst/>
                        </wps:spPr>
                        <wps:bodyPr/>
                      </wps:wsp>
                      <wps:wsp>
                        <wps:cNvPr id="44" name="AutoShape 32"/>
                        <wps:cNvCnPr>
                          <a:cxnSpLocks noChangeShapeType="1"/>
                        </wps:cNvCnPr>
                        <wps:spPr bwMode="auto">
                          <a:xfrm flipH="1">
                            <a:off x="4685665" y="1310005"/>
                            <a:ext cx="5080" cy="207645"/>
                          </a:xfrm>
                          <a:prstGeom prst="straightConnector1">
                            <a:avLst/>
                          </a:prstGeom>
                          <a:noFill/>
                          <a:ln w="6350">
                            <a:solidFill>
                              <a:srgbClr val="000000"/>
                            </a:solidFill>
                            <a:round/>
                            <a:tailEnd type="triangle" w="med" len="med"/>
                          </a:ln>
                          <a:effectLst/>
                        </wps:spPr>
                        <wps:bodyPr/>
                      </wps:wsp>
                      <wps:wsp>
                        <wps:cNvPr id="45" name="AutoShape 33"/>
                        <wps:cNvCnPr>
                          <a:cxnSpLocks noChangeShapeType="1"/>
                        </wps:cNvCnPr>
                        <wps:spPr bwMode="auto">
                          <a:xfrm flipV="1">
                            <a:off x="1507490" y="2708910"/>
                            <a:ext cx="2801620" cy="10795"/>
                          </a:xfrm>
                          <a:prstGeom prst="straightConnector1">
                            <a:avLst/>
                          </a:prstGeom>
                          <a:noFill/>
                          <a:ln w="6350">
                            <a:solidFill>
                              <a:srgbClr val="000000"/>
                            </a:solidFill>
                            <a:round/>
                          </a:ln>
                          <a:effectLst/>
                        </wps:spPr>
                        <wps:bodyPr/>
                      </wps:wsp>
                      <wps:wsp>
                        <wps:cNvPr id="46" name="AutoShape 34"/>
                        <wps:cNvCnPr>
                          <a:cxnSpLocks noChangeShapeType="1"/>
                        </wps:cNvCnPr>
                        <wps:spPr bwMode="auto">
                          <a:xfrm flipH="1">
                            <a:off x="4309110" y="2719705"/>
                            <a:ext cx="5080" cy="207645"/>
                          </a:xfrm>
                          <a:prstGeom prst="straightConnector1">
                            <a:avLst/>
                          </a:prstGeom>
                          <a:noFill/>
                          <a:ln w="6350">
                            <a:solidFill>
                              <a:srgbClr val="000000"/>
                            </a:solidFill>
                            <a:round/>
                            <a:tailEnd type="triangle" w="med" len="med"/>
                          </a:ln>
                          <a:effectLst/>
                        </wps:spPr>
                        <wps:bodyPr/>
                      </wps:wsp>
                      <wps:wsp>
                        <wps:cNvPr id="47" name="AutoShape 35"/>
                        <wps:cNvCnPr>
                          <a:cxnSpLocks noChangeShapeType="1"/>
                        </wps:cNvCnPr>
                        <wps:spPr bwMode="auto">
                          <a:xfrm flipH="1">
                            <a:off x="3328670" y="2730500"/>
                            <a:ext cx="5080" cy="207645"/>
                          </a:xfrm>
                          <a:prstGeom prst="straightConnector1">
                            <a:avLst/>
                          </a:prstGeom>
                          <a:noFill/>
                          <a:ln w="6350">
                            <a:solidFill>
                              <a:srgbClr val="000000"/>
                            </a:solidFill>
                            <a:round/>
                            <a:tailEnd type="triangle" w="med" len="med"/>
                          </a:ln>
                          <a:effectLst/>
                        </wps:spPr>
                        <wps:bodyPr/>
                      </wps:wsp>
                      <wps:wsp>
                        <wps:cNvPr id="48" name="Rectangle 36"/>
                        <wps:cNvSpPr>
                          <a:spLocks noChangeArrowheads="1"/>
                        </wps:cNvSpPr>
                        <wps:spPr bwMode="auto">
                          <a:xfrm>
                            <a:off x="2056765" y="2938145"/>
                            <a:ext cx="800100" cy="308610"/>
                          </a:xfrm>
                          <a:prstGeom prst="rect">
                            <a:avLst/>
                          </a:prstGeom>
                          <a:noFill/>
                          <a:ln w="6350">
                            <a:solidFill>
                              <a:srgbClr val="000000"/>
                            </a:solidFill>
                            <a:miter lim="800000"/>
                          </a:ln>
                          <a:effectLst/>
                        </wps:spPr>
                        <wps:txbx>
                          <w:txbxContent>
                            <w:p>
                              <w:pPr>
                                <w:jc w:val="left"/>
                              </w:pPr>
                              <w:r>
                                <w:rPr>
                                  <w:rFonts w:hint="eastAsia"/>
                                </w:rPr>
                                <w:t>直接燃烧</w:t>
                              </w:r>
                            </w:p>
                          </w:txbxContent>
                        </wps:txbx>
                        <wps:bodyPr rot="0" vert="horz" wrap="square" lIns="91440" tIns="45720" rIns="91440" bIns="45720" anchor="t" anchorCtr="0" upright="1">
                          <a:noAutofit/>
                        </wps:bodyPr>
                      </wps:wsp>
                      <wps:wsp>
                        <wps:cNvPr id="49" name="Rectangle 37"/>
                        <wps:cNvSpPr>
                          <a:spLocks noChangeArrowheads="1"/>
                        </wps:cNvSpPr>
                        <wps:spPr bwMode="auto">
                          <a:xfrm>
                            <a:off x="2923540" y="2938145"/>
                            <a:ext cx="800100" cy="308610"/>
                          </a:xfrm>
                          <a:prstGeom prst="rect">
                            <a:avLst/>
                          </a:prstGeom>
                          <a:noFill/>
                          <a:ln w="6350">
                            <a:solidFill>
                              <a:srgbClr val="000000"/>
                            </a:solidFill>
                            <a:miter lim="800000"/>
                          </a:ln>
                          <a:effectLst/>
                        </wps:spPr>
                        <wps:txbx>
                          <w:txbxContent>
                            <w:p>
                              <w:pPr>
                                <w:jc w:val="left"/>
                              </w:pPr>
                              <w:r>
                                <w:rPr>
                                  <w:rFonts w:hint="eastAsia"/>
                                </w:rPr>
                                <w:t>催化燃烧</w:t>
                              </w:r>
                            </w:p>
                          </w:txbxContent>
                        </wps:txbx>
                        <wps:bodyPr rot="0" vert="horz" wrap="square" lIns="91440" tIns="45720" rIns="91440" bIns="45720" anchor="t" anchorCtr="0" upright="1">
                          <a:noAutofit/>
                        </wps:bodyPr>
                      </wps:wsp>
                      <wps:wsp>
                        <wps:cNvPr id="50" name="Rectangle 39"/>
                        <wps:cNvSpPr>
                          <a:spLocks noChangeArrowheads="1"/>
                        </wps:cNvSpPr>
                        <wps:spPr bwMode="auto">
                          <a:xfrm>
                            <a:off x="1104265" y="2938145"/>
                            <a:ext cx="800100" cy="308610"/>
                          </a:xfrm>
                          <a:prstGeom prst="rect">
                            <a:avLst/>
                          </a:prstGeom>
                          <a:noFill/>
                          <a:ln w="6350">
                            <a:solidFill>
                              <a:srgbClr val="000000"/>
                            </a:solidFill>
                            <a:miter lim="800000"/>
                          </a:ln>
                          <a:effectLst/>
                        </wps:spPr>
                        <wps:txbx>
                          <w:txbxContent>
                            <w:p>
                              <w:pPr>
                                <w:jc w:val="left"/>
                              </w:pPr>
                              <w:r>
                                <w:rPr>
                                  <w:rFonts w:hint="eastAsia"/>
                                </w:rPr>
                                <w:t>热力燃烧</w:t>
                              </w:r>
                            </w:p>
                          </w:txbxContent>
                        </wps:txbx>
                        <wps:bodyPr rot="0" vert="horz" wrap="square" lIns="91440" tIns="45720" rIns="91440" bIns="45720" anchor="t" anchorCtr="0" upright="1">
                          <a:noAutofit/>
                        </wps:bodyPr>
                      </wps:wsp>
                      <wps:wsp>
                        <wps:cNvPr id="51" name="Rectangle 40"/>
                        <wps:cNvSpPr>
                          <a:spLocks noChangeArrowheads="1"/>
                        </wps:cNvSpPr>
                        <wps:spPr bwMode="auto">
                          <a:xfrm>
                            <a:off x="3872865" y="2938145"/>
                            <a:ext cx="812800" cy="308610"/>
                          </a:xfrm>
                          <a:prstGeom prst="rect">
                            <a:avLst/>
                          </a:prstGeom>
                          <a:noFill/>
                          <a:ln w="6350">
                            <a:solidFill>
                              <a:srgbClr val="000000"/>
                            </a:solidFill>
                            <a:miter lim="800000"/>
                          </a:ln>
                          <a:effectLst/>
                        </wps:spPr>
                        <wps:txbx>
                          <w:txbxContent>
                            <w:p>
                              <w:pPr>
                                <w:jc w:val="left"/>
                              </w:pPr>
                              <w:r>
                                <w:rPr>
                                  <w:rFonts w:hint="eastAsia"/>
                                </w:rPr>
                                <w:t>浓缩燃烧</w:t>
                              </w:r>
                            </w:p>
                          </w:txbxContent>
                        </wps:txbx>
                        <wps:bodyPr rot="0" vert="horz" wrap="square" lIns="91440" tIns="45720" rIns="91440" bIns="45720" anchor="t" anchorCtr="0" upright="1">
                          <a:noAutofit/>
                        </wps:bodyPr>
                      </wps:wsp>
                      <wps:wsp>
                        <wps:cNvPr id="52" name="AutoShape 41"/>
                        <wps:cNvCnPr>
                          <a:cxnSpLocks noChangeShapeType="1"/>
                        </wps:cNvCnPr>
                        <wps:spPr bwMode="auto">
                          <a:xfrm flipH="1">
                            <a:off x="1512570" y="2730500"/>
                            <a:ext cx="5080" cy="207645"/>
                          </a:xfrm>
                          <a:prstGeom prst="straightConnector1">
                            <a:avLst/>
                          </a:prstGeom>
                          <a:noFill/>
                          <a:ln w="6350">
                            <a:solidFill>
                              <a:srgbClr val="000000"/>
                            </a:solidFill>
                            <a:round/>
                            <a:tailEnd type="triangle" w="med" len="med"/>
                          </a:ln>
                          <a:effectLst/>
                        </wps:spPr>
                        <wps:bodyPr/>
                      </wps:wsp>
                      <wps:wsp>
                        <wps:cNvPr id="56" name="AutoShape 42"/>
                        <wps:cNvCnPr>
                          <a:cxnSpLocks noChangeShapeType="1"/>
                        </wps:cNvCnPr>
                        <wps:spPr bwMode="auto">
                          <a:xfrm flipH="1">
                            <a:off x="2447290" y="2730500"/>
                            <a:ext cx="5080" cy="207645"/>
                          </a:xfrm>
                          <a:prstGeom prst="straightConnector1">
                            <a:avLst/>
                          </a:prstGeom>
                          <a:noFill/>
                          <a:ln w="6350">
                            <a:solidFill>
                              <a:srgbClr val="000000"/>
                            </a:solidFill>
                            <a:round/>
                            <a:tailEnd type="triangle" w="med" len="med"/>
                          </a:ln>
                          <a:effectLst/>
                        </wps:spPr>
                        <wps:bodyPr/>
                      </wps:wsp>
                      <wps:wsp>
                        <wps:cNvPr id="58" name="Line 43"/>
                        <wps:cNvCnPr>
                          <a:cxnSpLocks noChangeShapeType="1"/>
                        </wps:cNvCnPr>
                        <wps:spPr bwMode="auto">
                          <a:xfrm>
                            <a:off x="2867025" y="2393950"/>
                            <a:ext cx="635" cy="297180"/>
                          </a:xfrm>
                          <a:prstGeom prst="line">
                            <a:avLst/>
                          </a:prstGeom>
                          <a:noFill/>
                          <a:ln w="9525">
                            <a:solidFill>
                              <a:srgbClr val="000000"/>
                            </a:solidFill>
                            <a:round/>
                          </a:ln>
                        </wps:spPr>
                        <wps:bodyPr/>
                      </wps:wsp>
                    </wpc:wpc>
                  </a:graphicData>
                </a:graphic>
              </wp:inline>
            </w:drawing>
          </mc:Choice>
          <mc:Fallback>
            <w:pict>
              <v:group id="_x0000_s1026" o:spid="_x0000_s1026" o:spt="203" style="height:294.95pt;width:411.25pt;" coordsize="5222875,3745865" editas="canvas" o:gfxdata="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">
                <o:lock v:ext="edit" aspectratio="f"/>
                <v:shape id="_x0000_s1026" o:spid="_x0000_s1026" style="position:absolute;left:0;top:0;height:3745865;width:5222875;" filled="f" stroked="f" coordsize="21600,21600" o:gfxdata="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">
                  <v:fill on="f" focussize="0,0"/>
                  <v:stroke on="f"/>
                  <v:imagedata o:title=""/>
                  <o:lock v:ext="edit" aspectratio="t"/>
                </v:shape>
                <v:shape id="Text Box 5" o:spid="_x0000_s1026" o:spt="202" type="#_x0000_t202" style="position:absolute;left:1904365;top:221615;height:344170;width:1133475;" filled="f" stroked="t" coordsize="21600,21600" o:gfxdata="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ea53dcAAAAFAQAADwAAAAAAAAABACAAAAAiAAAAZHJz&#10;L2Rvd25yZXYueG1sUEsBAhQAFAAAAAgAh07iQO25INk+AgAAdgQAAA4AAAAAAAAAAQAgAAAAJgEA&#10;AGRycy9lMm9Eb2MueG1sUEsFBgAAAAAGAAYAWQEAANYFAAAAAA==&#10;">
                  <v:fill on="f" focussize="0,0"/>
                  <v:stroke weight="0.5pt" color="#000000" miterlimit="8" joinstyle="miter"/>
                  <v:imagedata o:title=""/>
                  <o:lock v:ext="edit" aspectratio="f"/>
                  <v:textbox>
                    <w:txbxContent>
                      <w:p>
                        <w:r>
                          <w:rPr>
                            <w:rFonts w:hint="eastAsia"/>
                          </w:rPr>
                          <w:t>VOCs净化技术</w:t>
                        </w:r>
                      </w:p>
                    </w:txbxContent>
                  </v:textbox>
                </v:shape>
                <v:shape id="AutoShape 6" o:spid="_x0000_s1026" o:spt="32" type="#_x0000_t32" style="position:absolute;left:2471420;top:565785;height:182245;width:4445;" filled="f" stroked="t" coordsize="21600,21600" o:gfxdata="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sVJdUA&#10;AAAFAQAADwAAAAAAAAABACAAAAAiAAAAZHJzL2Rvd25yZXYueG1sUEsBAhQAFAAAAAgAh07iQKda&#10;ASPpAQAAzQMAAA4AAAAAAAAAAQAgAAAAJAEAAGRycy9lMm9Eb2MueG1sUEsFBgAAAAAGAAYAWQEA&#10;AH8FAAAAAA==&#10;">
                  <v:fill on="f" focussize="0,0"/>
                  <v:stroke weight="0.5pt" color="#000000" joinstyle="round"/>
                  <v:imagedata o:title=""/>
                  <o:lock v:ext="edit" aspectratio="f"/>
                </v:shape>
                <v:shape id="AutoShape 7" o:spid="_x0000_s1026" o:spt="32" type="#_x0000_t32" style="position:absolute;left:1285240;top:748665;height:635;width:2362200;" filled="f" stroked="t" coordsize="21600,21600" o:gfxdata="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X6xUl1QAAAAUBAAAP&#10;AAAAAAAAAAEAIAAAACIAAABkcnMvZG93bnJldi54bWxQSwECFAAUAAAACACHTuJAD1YbgeIBAADA&#10;AwAADgAAAAAAAAABACAAAAAkAQAAZHJzL2Uyb0RvYy54bWxQSwUGAAAAAAYABgBZAQAAeAUAAAAA&#10;">
                  <v:fill on="f" focussize="0,0"/>
                  <v:stroke weight="0.5pt" color="#000000" joinstyle="round"/>
                  <v:imagedata o:title=""/>
                  <o:lock v:ext="edit" aspectratio="f"/>
                </v:shape>
                <v:shape id="AutoShape 8" o:spid="_x0000_s1026" o:spt="32" type="#_x0000_t32" style="position:absolute;left:1271270;top:767080;flip:x;height:132080;width:13970;" filled="f" stroked="t" coordsize="21600,21600" o:gfxdata="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PYm3L1QAAAAUBAAAPAAAAAAAAAAEAIAAAACIAAABkcnMvZG93bnJl&#10;di54bWxQSwECFAAUAAAACACHTuJAE0jhUAACAAD5AwAADgAAAAAAAAABACAAAAAkAQAAZHJzL2Uy&#10;b0RvYy54bWxQSwUGAAAAAAYABgBZAQAAlgUAAAAA&#10;">
                  <v:fill on="f" focussize="0,0"/>
                  <v:stroke weight="0.5pt" color="#000000" joinstyle="round" endarrow="block"/>
                  <v:imagedata o:title=""/>
                  <o:lock v:ext="edit" aspectratio="f"/>
                </v:shape>
                <v:shape id="AutoShape 9" o:spid="_x0000_s1026" o:spt="32" type="#_x0000_t32" style="position:absolute;left:3642995;top:767080;flip:x;height:113030;width:4445;" filled="f" stroked="t" coordsize="21600,21600" o:gfxdata="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2Jty9UAAAAFAQAADwAAAAAAAAABACAAAAAiAAAA&#10;ZHJzL2Rvd25yZXYueG1sUEsBAhQAFAAAAAgAh07iQKm6gdoKAgAABgQAAA4AAAAAAAAAAQAgAAAA&#10;JAEAAGRycy9lMm9Eb2MueG1sUEsFBgAAAAAGAAYAWQEAAKAFAAAAAA==&#10;">
                  <v:fill on="f" focussize="0,0"/>
                  <v:stroke weight="0.5pt" color="#000000" joinstyle="round" endarrow="block"/>
                  <v:imagedata o:title=""/>
                  <o:lock v:ext="edit" aspectratio="f"/>
                </v:shape>
                <v:group id="Group 10" o:spid="_x0000_s1026" o:spt="203" style="position:absolute;left:181610;top:899160;height:1466215;width:2208530;" coordorigin="2072,9298" coordsize="3478,2309" o:gfxdata="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">
                  <o:lock v:ext="edit" aspectratio="f"/>
                  <v:shape id="Text Box 11" o:spid="_x0000_s1026" o:spt="202" type="#_x0000_t202" style="position:absolute;left:2896;top:9298;height:509;width:1783;" filled="f" stroked="t" coordsize="21600,21600" o:gfxdata="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iqCG8AAAA&#10;2wAAAA8AAAAAAAAAAQAgAAAAIgAAAGRycy9kb3ducmV2LnhtbFBLAQIUABQAAAAIAIdO4kAzLwWe&#10;OwAAADkAAAAQAAAAAAAAAAEAIAAAAAsBAABkcnMvc2hhcGV4bWwueG1sUEsFBgAAAAAGAAYAWwEA&#10;ALUDAAAAAA==&#10;">
                    <v:fill on="f" focussize="0,0"/>
                    <v:stroke weight="0.5pt" color="#000000" miterlimit="8" joinstyle="miter"/>
                    <v:imagedata o:title=""/>
                    <o:lock v:ext="edit" aspectratio="f"/>
                    <v:textbox>
                      <w:txbxContent>
                        <w:p>
                          <w:pPr>
                            <w:jc w:val="center"/>
                          </w:pPr>
                          <w:r>
                            <w:rPr>
                              <w:rFonts w:hint="eastAsia"/>
                            </w:rPr>
                            <w:t>回收技术</w:t>
                          </w:r>
                        </w:p>
                      </w:txbxContent>
                    </v:textbox>
                  </v:shape>
                  <v:rect id="Rectangle 12" o:spid="_x0000_s1026" o:spt="1" style="position:absolute;left:3032;top:10302;height:1305;width:614;" filled="f" stroked="t" coordsize="21600,21600" o:gfxdata="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g50j22AAAA2wAAAA8A&#10;AAAAAAAAAQAgAAAAIgAAAGRycy9kb3ducmV2LnhtbFBLAQIUABQAAAAIAIdO4kAzLwWeOwAAADkA&#10;AAAQAAAAAAAAAAEAIAAAAAUBAABkcnMvc2hhcGV4bWwueG1sUEsFBgAAAAAGAAYAWwEAAK8DAAAA&#10;AA==&#10;">
                    <v:fill on="f" focussize="0,0"/>
                    <v:stroke weight="0.5pt" color="#000000" miterlimit="8" joinstyle="miter"/>
                    <v:imagedata o:title=""/>
                    <o:lock v:ext="edit" aspectratio="f"/>
                    <v:textbox style="layout-flow:vertical-ideographic;">
                      <w:txbxContent>
                        <w:p>
                          <w:r>
                            <w:rPr>
                              <w:rFonts w:hint="eastAsia"/>
                            </w:rPr>
                            <w:t>吸收技术</w:t>
                          </w:r>
                        </w:p>
                      </w:txbxContent>
                    </v:textbox>
                  </v:rect>
                  <v:rect id="Rectangle 13" o:spid="_x0000_s1026" o:spt="1" style="position:absolute;left:4037;top:10302;height:1305;width:582;" filled="f" stroked="t" coordsize="21600,21600" o:gfxdata="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aZGT7gAAADbAAAA&#10;DwAAAAAAAAABACAAAAAiAAAAZHJzL2Rvd25yZXYueG1sUEsBAhQAFAAAAAgAh07iQDMvBZ47AAAA&#10;OQAAABAAAAAAAAAAAQAgAAAABwEAAGRycy9zaGFwZXhtbC54bWxQSwUGAAAAAAYABgBbAQAAsQMA&#10;AAAA&#10;">
                    <v:fill on="f" focussize="0,0"/>
                    <v:stroke weight="0.5pt" color="#000000" miterlimit="8" joinstyle="miter"/>
                    <v:imagedata o:title=""/>
                    <o:lock v:ext="edit" aspectratio="f"/>
                    <v:textbox style="layout-flow:vertical-ideographic;">
                      <w:txbxContent>
                        <w:p>
                          <w:r>
                            <w:rPr>
                              <w:rFonts w:hint="eastAsia"/>
                            </w:rPr>
                            <w:t>冷凝技术</w:t>
                          </w:r>
                        </w:p>
                      </w:txbxContent>
                    </v:textbox>
                  </v:rect>
                  <v:rect id="Rectangle 14" o:spid="_x0000_s1026" o:spt="1" style="position:absolute;left:4937;top:10302;height:1305;width:613;" filled="f" stroked="t" coordsize="21600,21600" o:gfxdata="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bq49S2AAAA2wAAAA8A&#10;AAAAAAAAAQAgAAAAIgAAAGRycy9kb3ducmV2LnhtbFBLAQIUABQAAAAIAIdO4kAzLwWeOwAAADkA&#10;AAAQAAAAAAAAAAEAIAAAAAUBAABkcnMvc2hhcGV4bWwueG1sUEsFBgAAAAAGAAYAWwEAAK8DAAAA&#10;AA==&#10;">
                    <v:fill on="f" focussize="0,0"/>
                    <v:stroke weight="0.5pt" color="#000000" miterlimit="8" joinstyle="miter"/>
                    <v:imagedata o:title=""/>
                    <o:lock v:ext="edit" aspectratio="f"/>
                    <v:textbox style="layout-flow:vertical-ideographic;">
                      <w:txbxContent>
                        <w:p>
                          <w:r>
                            <w:rPr>
                              <w:rFonts w:hint="eastAsia"/>
                            </w:rPr>
                            <w:t>膜分离技术</w:t>
                          </w:r>
                        </w:p>
                      </w:txbxContent>
                    </v:textbox>
                  </v:rect>
                  <v:rect id="Rectangle 15" o:spid="_x0000_s1026" o:spt="1" style="position:absolute;left:2072;top:10302;height:1305;width:643;" filled="f" stroked="t" coordsize="21600,21600" o:gfxdata="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byA9LUAAADbAAAADwAA&#10;AAAAAAABACAAAAAiAAAAZHJzL2Rvd25yZXYueG1sUEsBAhQAFAAAAAgAh07iQDMvBZ47AAAAOQAA&#10;ABAAAAAAAAAAAQAgAAAABAEAAGRycy9zaGFwZXhtbC54bWxQSwUGAAAAAAYABgBbAQAArgMAAAAA&#10;">
                    <v:fill on="f" focussize="0,0"/>
                    <v:stroke weight="0.5pt" color="#000000" miterlimit="8" joinstyle="miter"/>
                    <v:imagedata o:title=""/>
                    <o:lock v:ext="edit" aspectratio="f"/>
                    <v:textbox style="layout-flow:vertical-ideographic;">
                      <w:txbxContent>
                        <w:p>
                          <w:r>
                            <w:rPr>
                              <w:rFonts w:hint="eastAsia"/>
                            </w:rPr>
                            <w:t>吸附技术</w:t>
                          </w:r>
                        </w:p>
                      </w:txbxContent>
                    </v:textbox>
                  </v:rect>
                  <v:shape id="AutoShape 16" o:spid="_x0000_s1026" o:spt="32" type="#_x0000_t32" style="position:absolute;left:3788;top:9837;height:108;width:1;" filled="f" stroked="t" coordsize="21600,21600" o:gfxdata="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t3bp7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shape>
                  <v:shape id="AutoShape 17" o:spid="_x0000_s1026" o:spt="32" type="#_x0000_t32" style="position:absolute;left:2310;top:9945;height:0;width:2910;" filled="f" stroked="t" coordsize="21600,21600" o:gfxdata="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9F0L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shape>
                  <v:shape id="AutoShape 18" o:spid="_x0000_s1026" o:spt="32" type="#_x0000_t32" style="position:absolute;left:2318;top:9945;height:327;width:1;" filled="f" stroked="t" coordsize="21600,21600" o:gfxdata="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NanYvQAA&#10;ANs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shape>
                  <v:shape id="AutoShape 19" o:spid="_x0000_s1026" o:spt="32" type="#_x0000_t32" style="position:absolute;left:3255;top:9945;height:327;width:1;" filled="f" stroked="t" coordsize="21600,21600" o:gfxdata="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3DGsvQAA&#10;ANs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shape>
                  <v:shape id="AutoShape 20" o:spid="_x0000_s1026" o:spt="32" type="#_x0000_t32" style="position:absolute;left:4275;top:9945;height:327;width:1;" filled="f" stroked="t" coordsize="21600,21600" o:gfxdata="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kJQ3vQAA&#10;ANs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shape>
                  <v:shape id="AutoShape 21" o:spid="_x0000_s1026" o:spt="32" type="#_x0000_t32" style="position:absolute;left:5219;top:9945;height:327;width:1;" filled="f" stroked="t" coordsize="21600,21600" o:gfxdata="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QgpAvQAA&#10;ANs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shape>
                </v:group>
                <v:shape id="Text Box 22" o:spid="_x0000_s1026" o:spt="202" type="#_x0000_t202" style="position:absolute;left:3076575;top:880110;height:323215;width:1132840;" filled="f" stroked="t" coordsize="21600,21600" o:gfxdata="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3mud3XAAAABQEAAA8AAAAAAAAAAQAgAAAAIgAAAGRy&#10;cy9kb3ducmV2LnhtbFBLAQIUABQAAAAIAIdO4kCghog6PwIAAHgEAAAOAAAAAAAAAAEAIAAAACYB&#10;AABkcnMvZTJvRG9jLnhtbFBLBQYAAAAABgAGAFkBAADXBQAAAAA=&#10;">
                  <v:fill on="f" focussize="0,0"/>
                  <v:stroke weight="0.5pt" color="#000000" miterlimit="8" joinstyle="miter"/>
                  <v:imagedata o:title=""/>
                  <o:lock v:ext="edit" aspectratio="f"/>
                  <v:textbox>
                    <w:txbxContent>
                      <w:p>
                        <w:pPr>
                          <w:ind w:firstLine="315" w:firstLineChars="150"/>
                        </w:pPr>
                        <w:r>
                          <w:rPr>
                            <w:rFonts w:hint="eastAsia"/>
                          </w:rPr>
                          <w:t>销毁技术</w:t>
                        </w:r>
                      </w:p>
                    </w:txbxContent>
                  </v:textbox>
                </v:shape>
                <v:rect id="Rectangle 23" o:spid="_x0000_s1026" o:spt="1" style="position:absolute;left:2685415;top:1536700;height:840740;width:400050;" filled="f" stroked="t" coordsize="21600,21600" o:gfxdata="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jrG7WAAAABQEAAA8AAAAAAAAAAQAgAAAAIgAAAGRycy9kb3du&#10;cmV2LnhtbFBLAQIUABQAAAAIAIdO4kCPQKVtOgIAAHEEAAAOAAAAAAAAAAEAIAAAACUBAABkcnMv&#10;ZTJvRG9jLnhtbFBLBQYAAAAABgAGAFkBAADRBQAAAAA=&#10;">
                  <v:fill on="f" focussize="0,0"/>
                  <v:stroke weight="0.5pt" color="#000000" miterlimit="8" joinstyle="miter"/>
                  <v:imagedata o:title=""/>
                  <o:lock v:ext="edit" aspectratio="f"/>
                  <v:textbox style="layout-flow:vertical-ideographic;">
                    <w:txbxContent>
                      <w:p>
                        <w:r>
                          <w:rPr>
                            <w:rFonts w:hint="eastAsia"/>
                          </w:rPr>
                          <w:t>燃烧技术</w:t>
                        </w:r>
                      </w:p>
                    </w:txbxContent>
                  </v:textbox>
                </v:rect>
                <v:rect id="Rectangle 24" o:spid="_x0000_s1026" o:spt="1" style="position:absolute;left:3309620;top:1542415;height:835025;width:394970;" filled="f" stroked="t" coordsize="21600,21600" o:gfxdata="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jrG7WAAAABQEAAA8AAAAAAAAAAQAgAAAAIgAAAGRycy9kb3du&#10;cmV2LnhtbFBLAQIUABQAAAAIAIdO4kDInLpXOgIAAHEEAAAOAAAAAAAAAAEAIAAAACUBAABkcnMv&#10;ZTJvRG9jLnhtbFBLBQYAAAAABgAGAFkBAADRBQAAAAA=&#10;">
                  <v:fill on="f" focussize="0,0"/>
                  <v:stroke weight="0.5pt" color="#000000" miterlimit="8" joinstyle="miter"/>
                  <v:imagedata o:title=""/>
                  <o:lock v:ext="edit" aspectratio="f"/>
                  <v:textbox style="layout-flow:vertical-ideographic;">
                    <w:txbxContent>
                      <w:p>
                        <w:r>
                          <w:rPr>
                            <w:rFonts w:hint="eastAsia"/>
                          </w:rPr>
                          <w:t>生物技术</w:t>
                        </w:r>
                      </w:p>
                    </w:txbxContent>
                  </v:textbox>
                </v:rect>
                <v:rect id="Rectangle 25" o:spid="_x0000_s1026" o:spt="1" style="position:absolute;left:3871595;top:1536700;height:939800;width:442595;" filled="f" stroked="t" coordsize="21600,21600" o:gfxdata="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jrG7WAAAABQEAAA8AAAAAAAAAAQAgAAAAIgAAAGRycy9kb3du&#10;cmV2LnhtbFBLAQIUABQAAAAIAIdO4kDNwxM5OgIAAHEEAAAOAAAAAAAAAAEAIAAAACUBAABkcnMv&#10;ZTJvRG9jLnhtbFBLBQYAAAAABgAGAFkBAADRBQAAAAA=&#10;">
                  <v:fill on="f" focussize="0,0"/>
                  <v:stroke weight="0.5pt" color="#000000" miterlimit="8" joinstyle="miter"/>
                  <v:imagedata o:title=""/>
                  <o:lock v:ext="edit" aspectratio="f"/>
                  <v:textbox style="layout-flow:vertical-ideographic;">
                    <w:txbxContent>
                      <w:p>
                        <w:r>
                          <w:rPr>
                            <w:rFonts w:hint="eastAsia"/>
                          </w:rPr>
                          <w:t>等离子体破坏</w:t>
                        </w:r>
                      </w:p>
                    </w:txbxContent>
                  </v:textbox>
                </v:rect>
                <v:rect id="Rectangle 26" o:spid="_x0000_s1026" o:spt="1" style="position:absolute;left:4473575;top:1536700;height:840740;width:421005;" filled="f" stroked="t" coordsize="21600,21600" o:gfxdata="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6OsbtYAAAAFAQAADwAAAAAAAAABACAAAAAiAAAAZHJzL2Rvd25y&#10;ZXYueG1sUEsBAhQAFAAAAAgAh07iQA05/hw5AgAAcQQAAA4AAAAAAAAAAQAgAAAAJQEAAGRycy9l&#10;Mm9Eb2MueG1sUEsFBgAAAAAGAAYAWQEAANAFAAAAAA==&#10;">
                  <v:fill on="f" focussize="0,0"/>
                  <v:stroke weight="0.5pt" color="#000000" miterlimit="8" joinstyle="miter"/>
                  <v:imagedata o:title=""/>
                  <o:lock v:ext="edit" aspectratio="f"/>
                  <v:textbox style="layout-flow:vertical-ideographic;">
                    <w:txbxContent>
                      <w:p>
                        <w:r>
                          <w:rPr>
                            <w:rFonts w:hint="eastAsia"/>
                          </w:rPr>
                          <w:t>光催化技术</w:t>
                        </w:r>
                      </w:p>
                    </w:txbxContent>
                  </v:textbox>
                </v:rect>
                <v:shape id="AutoShape 27" o:spid="_x0000_s1026" o:spt="32" type="#_x0000_t32" style="position:absolute;left:3642995;top:1203325;height:87630;width:4445;" filled="f" stroked="t" coordsize="21600,21600" o:gfxdata="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sV&#10;JdUAAAAFAQAADwAAAAAAAAABACAAAAAiAAAAZHJzL2Rvd25yZXYueG1sUEsBAhQAFAAAAAgAh07i&#10;QC+N8l3sAQAAzwMAAA4AAAAAAAAAAQAgAAAAJAEAAGRycy9lMm9Eb2MueG1sUEsFBgAAAAAGAAYA&#10;WQEAAIIFAAAAAA==&#10;">
                  <v:fill on="f" focussize="0,0"/>
                  <v:stroke weight="0.5pt" color="#000000" joinstyle="round"/>
                  <v:imagedata o:title=""/>
                  <o:lock v:ext="edit" aspectratio="f"/>
                </v:shape>
                <v:shape id="AutoShape 28" o:spid="_x0000_s1026" o:spt="32" type="#_x0000_t32" style="position:absolute;left:2866390;top:1310005;height:0;width:1819275;" filled="f" stroked="t" coordsize="21600,21600" o:gfxdata="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X6xUl&#10;1QAAAAUBAAAPAAAAAAAAAAEAIAAAACIAAABkcnMvZG93bnJldi54bWxQSwECFAAUAAAACACHTuJA&#10;JNdMt+sBAADOAwAADgAAAAAAAAABACAAAAAkAQAAZHJzL2Uyb0RvYy54bWxQSwUGAAAAAAYABgBZ&#10;AQAAgQUAAAAA&#10;">
                  <v:fill on="f" focussize="0,0"/>
                  <v:stroke weight="0.5pt" color="#000000" joinstyle="round"/>
                  <v:imagedata o:title=""/>
                  <o:lock v:ext="edit" aspectratio="f"/>
                </v:shape>
                <v:shape id="AutoShape 29" o:spid="_x0000_s1026" o:spt="32" type="#_x0000_t32" style="position:absolute;left:2875915;top:1310005;flip:x;height:207645;width:5080;" filled="f" stroked="t" coordsize="21600,21600" o:gfxdata="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2Jty9UAAAAFAQAADwAAAAAAAAABACAAAAAi&#10;AAAAZHJzL2Rvd25yZXYueG1sUEsBAhQAFAAAAAgAh07iQI4o7qUNAgAACAQAAA4AAAAAAAAAAQAg&#10;AAAAJAEAAGRycy9lMm9Eb2MueG1sUEsFBgAAAAAGAAYAWQEAAKMFAAAAAA==&#10;">
                  <v:fill on="f" focussize="0,0"/>
                  <v:stroke weight="0.5pt" color="#000000" joinstyle="round" endarrow="block"/>
                  <v:imagedata o:title=""/>
                  <o:lock v:ext="edit" aspectratio="f"/>
                </v:shape>
                <v:shape id="AutoShape 30" o:spid="_x0000_s1026" o:spt="32" type="#_x0000_t32" style="position:absolute;left:3514090;top:1310005;flip:x;height:207645;width:5080;" filled="f" stroked="t" coordsize="21600,21600" o:gfxdata="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2Jty9UAAAAFAQAADwAAAAAAAAABACAAAAAiAAAA&#10;ZHJzL2Rvd25yZXYueG1sUEsBAhQAFAAAAAgAh07iQGkKqcEKAgAACAQAAA4AAAAAAAAAAQAgAAAA&#10;JAEAAGRycy9lMm9Eb2MueG1sUEsFBgAAAAAGAAYAWQEAAKAFAAAAAA==&#10;">
                  <v:fill on="f" focussize="0,0"/>
                  <v:stroke weight="0.5pt" color="#000000" joinstyle="round" endarrow="block"/>
                  <v:imagedata o:title=""/>
                  <o:lock v:ext="edit" aspectratio="f"/>
                </v:shape>
                <v:shape id="AutoShape 31" o:spid="_x0000_s1026" o:spt="32" type="#_x0000_t32" style="position:absolute;left:4104640;top:1310005;flip:x;height:207645;width:5080;" filled="f" stroked="t" coordsize="21600,21600" o:gfxdata="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2Jty9UAAAAFAQAADwAAAAAAAAABACAAAAAiAAAA&#10;ZHJzL2Rvd25yZXYueG1sUEsBAhQAFAAAAAgAh07iQPwpnrUKAgAACAQAAA4AAAAAAAAAAQAgAAAA&#10;JAEAAGRycy9lMm9Eb2MueG1sUEsFBgAAAAAGAAYAWQEAAKAFAAAAAA==&#10;">
                  <v:fill on="f" focussize="0,0"/>
                  <v:stroke weight="0.5pt" color="#000000" joinstyle="round" endarrow="block"/>
                  <v:imagedata o:title=""/>
                  <o:lock v:ext="edit" aspectratio="f"/>
                </v:shape>
                <v:shape id="AutoShape 32" o:spid="_x0000_s1026" o:spt="32" type="#_x0000_t32" style="position:absolute;left:4685665;top:1310005;flip:x;height:207645;width:5080;" filled="f" stroked="t" coordsize="21600,21600" o:gfxdata="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9ibcvVAAAABQEAAA8AAAAAAAAAAQAgAAAAIgAA&#10;AGRycy9kb3ducmV2LnhtbFBLAQIUABQAAAAIAIdO4kAdNGobCwIAAAgEAAAOAAAAAAAAAAEAIAAA&#10;ACQBAABkcnMvZTJvRG9jLnhtbFBLBQYAAAAABgAGAFkBAAChBQAAAAA=&#10;">
                  <v:fill on="f" focussize="0,0"/>
                  <v:stroke weight="0.5pt" color="#000000" joinstyle="round" endarrow="block"/>
                  <v:imagedata o:title=""/>
                  <o:lock v:ext="edit" aspectratio="f"/>
                </v:shape>
                <v:shape id="AutoShape 33" o:spid="_x0000_s1026" o:spt="32" type="#_x0000_t32" style="position:absolute;left:1507490;top:2708910;flip:y;height:10795;width:2801620;" filled="f" stroked="t" coordsize="21600,21600" o:gfxdata="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vt4+XVAAAABQEAAA8AAAAAAAAAAQAgAAAAIgAAAGRycy9kb3ducmV2LnhtbFBLAQIUABQAAAAI&#10;AIdO4kBYUAxM8AEAANwDAAAOAAAAAAAAAAEAIAAAACQBAABkcnMvZTJvRG9jLnhtbFBLBQYAAAAA&#10;BgAGAFkBAACGBQAAAAA=&#10;">
                  <v:fill on="f" focussize="0,0"/>
                  <v:stroke weight="0.5pt" color="#000000" joinstyle="round"/>
                  <v:imagedata o:title=""/>
                  <o:lock v:ext="edit" aspectratio="f"/>
                </v:shape>
                <v:shape id="AutoShape 34" o:spid="_x0000_s1026" o:spt="32" type="#_x0000_t32" style="position:absolute;left:4309110;top:2719705;flip:x;height:207645;width:5080;" filled="f" stroked="t" coordsize="21600,21600" o:gfxdata="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PYm3L1QAAAAUBAAAPAAAAAAAAAAEAIAAAACIA&#10;AABkcnMvZG93bnJldi54bWxQSwECFAAUAAAACACHTuJAFBwu1QwCAAAIBAAADgAAAAAAAAABACAA&#10;AAAkAQAAZHJzL2Uyb0RvYy54bWxQSwUGAAAAAAYABgBZAQAAogUAAAAA&#10;">
                  <v:fill on="f" focussize="0,0"/>
                  <v:stroke weight="0.5pt" color="#000000" joinstyle="round" endarrow="block"/>
                  <v:imagedata o:title=""/>
                  <o:lock v:ext="edit" aspectratio="f"/>
                </v:shape>
                <v:shape id="AutoShape 35" o:spid="_x0000_s1026" o:spt="32" type="#_x0000_t32" style="position:absolute;left:3328670;top:2730500;flip:x;height:207645;width:5080;" filled="f" stroked="t" coordsize="21600,21600" o:gfxdata="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PYm3L1QAAAAUBAAAPAAAAAAAAAAEAIAAAACIA&#10;AABkcnMvZG93bnJldi54bWxQSwECFAAUAAAACACHTuJAbo5MVgwCAAAIBAAADgAAAAAAAAABACAA&#10;AAAkAQAAZHJzL2Uyb0RvYy54bWxQSwUGAAAAAAYABgBZAQAAogUAAAAA&#10;">
                  <v:fill on="f" focussize="0,0"/>
                  <v:stroke weight="0.5pt" color="#000000" joinstyle="round" endarrow="block"/>
                  <v:imagedata o:title=""/>
                  <o:lock v:ext="edit" aspectratio="f"/>
                </v:shape>
                <v:rect id="Rectangle 36" o:spid="_x0000_s1026" o:spt="1" style="position:absolute;left:2056765;top:2938145;height:308610;width:800100;" filled="f" stroked="t" coordsize="21600,21600" o:gfxdata="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Fkq/XTAAAABQEAAA8AAAAAAAAAAQAgAAAAIgAAAGRycy9kb3du&#10;cmV2LnhtbFBLAQIUABQAAAAIAIdO4kCUBL2MPQIAAG8EAAAOAAAAAAAAAAEAIAAAACIBAABkcnMv&#10;ZTJvRG9jLnhtbFBLBQYAAAAABgAGAFkBAADRBQAAAAA=&#10;">
                  <v:fill on="f" focussize="0,0"/>
                  <v:stroke weight="0.5pt" color="#000000" miterlimit="8" joinstyle="miter"/>
                  <v:imagedata o:title=""/>
                  <o:lock v:ext="edit" aspectratio="f"/>
                  <v:textbox>
                    <w:txbxContent>
                      <w:p>
                        <w:pPr>
                          <w:jc w:val="left"/>
                        </w:pPr>
                        <w:r>
                          <w:rPr>
                            <w:rFonts w:hint="eastAsia"/>
                          </w:rPr>
                          <w:t>直接燃烧</w:t>
                        </w:r>
                      </w:p>
                    </w:txbxContent>
                  </v:textbox>
                </v:rect>
                <v:rect id="Rectangle 37" o:spid="_x0000_s1026" o:spt="1" style="position:absolute;left:2923540;top:2938145;height:308610;width:800100;" filled="f" stroked="t" coordsize="21600,21600" o:gfxdata="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BZKv10wAAAAUBAAAPAAAAAAAAAAEAIAAAACIAAABkcnMvZG93bnJl&#10;di54bWxQSwECFAAUAAAACACHTuJAZw92ITsCAABvBAAADgAAAAAAAAABACAAAAAiAQAAZHJzL2Uy&#10;b0RvYy54bWxQSwUGAAAAAAYABgBZAQAAzwUAAAAA&#10;">
                  <v:fill on="f" focussize="0,0"/>
                  <v:stroke weight="0.5pt" color="#000000" miterlimit="8" joinstyle="miter"/>
                  <v:imagedata o:title=""/>
                  <o:lock v:ext="edit" aspectratio="f"/>
                  <v:textbox>
                    <w:txbxContent>
                      <w:p>
                        <w:pPr>
                          <w:jc w:val="left"/>
                        </w:pPr>
                        <w:r>
                          <w:rPr>
                            <w:rFonts w:hint="eastAsia"/>
                          </w:rPr>
                          <w:t>催化燃烧</w:t>
                        </w:r>
                      </w:p>
                    </w:txbxContent>
                  </v:textbox>
                </v:rect>
                <v:rect id="Rectangle 39" o:spid="_x0000_s1026" o:spt="1" style="position:absolute;left:1104265;top:2938145;height:308610;width:800100;" filled="f" stroked="t" coordsize="21600,21600" o:gfxdata="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BZKv10wAAAAUBAAAPAAAAAAAAAAEAIAAAACIAAABkcnMvZG93bnJl&#10;di54bWxQSwECFAAUAAAACACHTuJAq5xYyDsCAABvBAAADgAAAAAAAAABACAAAAAiAQAAZHJzL2Uy&#10;b0RvYy54bWxQSwUGAAAAAAYABgBZAQAAzwUAAAAA&#10;">
                  <v:fill on="f" focussize="0,0"/>
                  <v:stroke weight="0.5pt" color="#000000" miterlimit="8" joinstyle="miter"/>
                  <v:imagedata o:title=""/>
                  <o:lock v:ext="edit" aspectratio="f"/>
                  <v:textbox>
                    <w:txbxContent>
                      <w:p>
                        <w:pPr>
                          <w:jc w:val="left"/>
                        </w:pPr>
                        <w:r>
                          <w:rPr>
                            <w:rFonts w:hint="eastAsia"/>
                          </w:rPr>
                          <w:t>热力燃烧</w:t>
                        </w:r>
                      </w:p>
                    </w:txbxContent>
                  </v:textbox>
                </v:rect>
                <v:rect id="Rectangle 40" o:spid="_x0000_s1026" o:spt="1" style="position:absolute;left:3872865;top:2938145;height:308610;width:812800;" filled="f" stroked="t" coordsize="21600,21600" o:gfxdata="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Fkq/XTAAAABQEAAA8AAAAAAAAAAQAgAAAAIgAAAGRycy9kb3du&#10;cmV2LnhtbFBLAQIUABQAAAAIAIdO4kCm6TFXPQIAAG8EAAAOAAAAAAAAAAEAIAAAACIBAABkcnMv&#10;ZTJvRG9jLnhtbFBLBQYAAAAABgAGAFkBAADRBQAAAAA=&#10;">
                  <v:fill on="f" focussize="0,0"/>
                  <v:stroke weight="0.5pt" color="#000000" miterlimit="8" joinstyle="miter"/>
                  <v:imagedata o:title=""/>
                  <o:lock v:ext="edit" aspectratio="f"/>
                  <v:textbox>
                    <w:txbxContent>
                      <w:p>
                        <w:pPr>
                          <w:jc w:val="left"/>
                        </w:pPr>
                        <w:r>
                          <w:rPr>
                            <w:rFonts w:hint="eastAsia"/>
                          </w:rPr>
                          <w:t>浓缩燃烧</w:t>
                        </w:r>
                      </w:p>
                    </w:txbxContent>
                  </v:textbox>
                </v:rect>
                <v:shape id="AutoShape 41" o:spid="_x0000_s1026" o:spt="32" type="#_x0000_t32" style="position:absolute;left:1512570;top:2730500;flip:x;height:207645;width:5080;" filled="f" stroked="t" coordsize="21600,21600" o:gfxdata="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&#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PYm3L1QAAAAUBAAAPAAAAAAAAAAEAIAAAACIAAABk&#10;cnMvZG93bnJldi54bWxQSwECFAAUAAAACACHTuJAsz6WhgkCAAAIBAAADgAAAAAAAAABACAAAAAk&#10;AQAAZHJzL2Uyb0RvYy54bWxQSwUGAAAAAAYABgBZAQAAnwUAAAAA&#10;">
                  <v:fill on="f" focussize="0,0"/>
                  <v:stroke weight="0.5pt" color="#000000" joinstyle="round" endarrow="block"/>
                  <v:imagedata o:title=""/>
                  <o:lock v:ext="edit" aspectratio="f"/>
                </v:shape>
                <v:shape id="AutoShape 42" o:spid="_x0000_s1026" o:spt="32" type="#_x0000_t32" style="position:absolute;left:2447290;top:2730500;flip:x;height:207645;width:5080;" filled="f" stroked="t" coordsize="21600,21600" o:gfxdata="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2Jty9UAAAAFAQAADwAAAAAAAAABACAAAAAiAAAA&#10;ZHJzL2Rvd25yZXYueG1sUEsBAhQAFAAAAAgAh07iQGerM2YKAgAACAQAAA4AAAAAAAAAAQAgAAAA&#10;JAEAAGRycy9lMm9Eb2MueG1sUEsFBgAAAAAGAAYAWQEAAKAFAAAAAA==&#10;">
                  <v:fill on="f" focussize="0,0"/>
                  <v:stroke weight="0.5pt" color="#000000" joinstyle="round" endarrow="block"/>
                  <v:imagedata o:title=""/>
                  <o:lock v:ext="edit" aspectratio="f"/>
                </v:shape>
                <v:line id="Line 43" o:spid="_x0000_s1026" o:spt="20" style="position:absolute;left:2867025;top:2393950;height:297180;width:635;" filled="f" stroked="t" coordsize="21600,21600" o:gfxdata="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BWv64NUAAAAFAQAADwAAAAAAAAABACAA&#10;AAAiAAAAZHJzL2Rvd25yZXYueG1sUEsBAhQAFAAAAAgAh07iQE0xPmPXAQAArgMAAA4AAAAAAAAA&#10;AQAgAAAAJAEAAGRycy9lMm9Eb2MueG1sUEsFBgAAAAAGAAYAWQEAAG0FAAAAAA==&#10;">
                  <v:fill on="f" focussize="0,0"/>
                  <v:stroke color="#000000" joinstyle="round"/>
                  <v:imagedata o:title=""/>
                  <o:lock v:ext="edit" aspectratio="f"/>
                </v:line>
                <w10:wrap type="none"/>
                <w10:anchorlock/>
              </v:group>
            </w:pict>
          </mc:Fallback>
        </mc:AlternateContent>
      </w:r>
    </w:p>
    <w:p>
      <w:pPr>
        <w:pStyle w:val="13"/>
        <w:spacing w:before="156" w:beforeLines="50" w:after="156" w:afterLines="50"/>
      </w:pPr>
      <w:bookmarkStart w:id="100" w:name="_Ref26352204"/>
      <w:bookmarkStart w:id="101" w:name="_Ref26347868"/>
      <w:r>
        <w:t xml:space="preserve">图 </w:t>
      </w:r>
      <w:r>
        <w:fldChar w:fldCharType="begin"/>
      </w:r>
      <w:r>
        <w:instrText xml:space="preserve"> STYLEREF 1 \s </w:instrText>
      </w:r>
      <w:r>
        <w:fldChar w:fldCharType="separate"/>
      </w:r>
      <w:r>
        <w:t>4</w:t>
      </w:r>
      <w:r>
        <w:fldChar w:fldCharType="end"/>
      </w:r>
      <w:r>
        <w:noBreakHyphen/>
      </w:r>
      <w:r>
        <w:fldChar w:fldCharType="begin"/>
      </w:r>
      <w:r>
        <w:instrText xml:space="preserve"> SEQ 图 \* ARABIC \s 1 </w:instrText>
      </w:r>
      <w:r>
        <w:fldChar w:fldCharType="separate"/>
      </w:r>
      <w:r>
        <w:t>1</w:t>
      </w:r>
      <w:r>
        <w:fldChar w:fldCharType="end"/>
      </w:r>
      <w:bookmarkEnd w:id="100"/>
      <w:r>
        <w:t xml:space="preserve"> VOCs末端净化技术分类</w:t>
      </w:r>
      <w:bookmarkEnd w:id="101"/>
    </w:p>
    <w:p>
      <w:pPr>
        <w:pStyle w:val="68"/>
        <w:rPr>
          <w:rFonts w:cs="Times New Roman"/>
        </w:rPr>
      </w:pPr>
      <w:r>
        <w:rPr>
          <w:rFonts w:hint="eastAsia" w:cs="Times New Roman"/>
        </w:rPr>
        <w:t>常用的V</w:t>
      </w:r>
      <w:r>
        <w:rPr>
          <w:rFonts w:cs="Times New Roman"/>
        </w:rPr>
        <w:t>OC</w:t>
      </w:r>
      <w:r>
        <w:rPr>
          <w:rFonts w:hint="eastAsia" w:cs="Times New Roman"/>
        </w:rPr>
        <w:t>s末端治理技术及其应用关键如表4-</w:t>
      </w:r>
      <w:r>
        <w:rPr>
          <w:rFonts w:cs="Times New Roman"/>
        </w:rPr>
        <w:t>1</w:t>
      </w:r>
      <w:r>
        <w:rPr>
          <w:rFonts w:hint="eastAsia" w:cs="Times New Roman"/>
        </w:rPr>
        <w:t>所示。</w:t>
      </w:r>
      <w:r>
        <w:rPr>
          <w:rFonts w:cs="Times New Roman"/>
        </w:rPr>
        <w:t>吸附技术、催化燃烧技术和热力焚烧是传统的有机废气治理技术，也是目前应用最为广泛的VOCs治理技术。吸收技术由于存在二次污染和安全性差等缺点，目前在工业有机废气治理中较少单独使用。冷凝技术一般在极高浓度下直接使用才有意义，通常作为高浓度废气的前处理工艺。生物技术较早的应用于有机废气的处理，主要用于低浓度VOCs废气和恶臭气体的处理。等离子体破坏技术近年来已经发展相对成熟，主要用于低浓度、大风量的有机废气处理。光催化技术虽然有设备简单、维护方便、二次污染少等优点，但目前发展相对不太成熟，仍存在反应速度慢、气候影响大等缺点。膜分离技术目前在工业有机废气治理中尚未大量应用，仍存在成本较高、膜稳定性差、通量小等缺点。</w:t>
      </w:r>
    </w:p>
    <w:p>
      <w:pPr>
        <w:pStyle w:val="68"/>
        <w:rPr>
          <w:rFonts w:cs="Times New Roman"/>
        </w:rPr>
      </w:pPr>
      <w:r>
        <w:rPr>
          <w:rFonts w:cs="Times New Roman"/>
        </w:rPr>
        <w:t>由于VOCs的种类繁多，性质各异，排放条件多样，目前在不同的行业、不同的工艺条件下可以采用不同的VOCs废气治理技术或技术组合，包括吸附脱附技术、活性炭回收技术、高效吸附-脱附-（蓄热）-催化燃烧VOCs治理技术、高效VOCs催化燃烧技术、中高浓度VOC蓄热-催化燃烧（RCO）燃烧技术、RTO及余热利用技术、低浓度多组分工业废气生物净化技术、变温吸附有机废气治理及溶剂回收技术、冷凝-变压吸附联用有机废气治理技术、转轮与蓄热式燃烧联用有机废气治理技术等。</w:t>
      </w:r>
    </w:p>
    <w:p>
      <w:pPr>
        <w:pStyle w:val="13"/>
        <w:spacing w:before="156" w:beforeLines="50" w:after="156" w:afterLines="50"/>
      </w:pPr>
      <w:r>
        <w:t>表4-1 常见VOCs末端治理技术及应用关键</w:t>
      </w:r>
    </w:p>
    <w:tbl>
      <w:tblPr>
        <w:tblStyle w:val="35"/>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
        <w:gridCol w:w="1175"/>
        <w:gridCol w:w="3504"/>
        <w:gridCol w:w="1132"/>
        <w:gridCol w:w="984"/>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692" w:type="dxa"/>
            <w:gridSpan w:val="2"/>
            <w:tcBorders>
              <w:top w:val="single" w:color="auto" w:sz="12" w:space="0"/>
              <w:left w:val="single" w:color="auto" w:sz="12" w:space="0"/>
              <w:bottom w:val="single" w:color="auto" w:sz="4" w:space="0"/>
              <w:right w:val="single" w:color="auto" w:sz="4" w:space="0"/>
            </w:tcBorders>
            <w:vAlign w:val="center"/>
          </w:tcPr>
          <w:p>
            <w:pPr>
              <w:pStyle w:val="54"/>
              <w:ind w:firstLine="0" w:firstLineChars="0"/>
              <w:jc w:val="center"/>
              <w:rPr>
                <w:rFonts w:ascii="Times New Roman" w:hAnsi="Times New Roman"/>
                <w:bCs/>
                <w:sz w:val="18"/>
                <w:szCs w:val="18"/>
              </w:rPr>
            </w:pPr>
            <w:r>
              <w:rPr>
                <w:rFonts w:ascii="Times New Roman" w:hAnsi="Times New Roman"/>
                <w:bCs/>
                <w:sz w:val="18"/>
                <w:szCs w:val="18"/>
              </w:rPr>
              <w:t>技术方法</w:t>
            </w:r>
          </w:p>
        </w:tc>
        <w:tc>
          <w:tcPr>
            <w:tcW w:w="3504" w:type="dxa"/>
            <w:tcBorders>
              <w:top w:val="single" w:color="auto" w:sz="12" w:space="0"/>
              <w:left w:val="nil"/>
              <w:bottom w:val="single" w:color="auto" w:sz="4" w:space="0"/>
              <w:right w:val="single" w:color="auto" w:sz="4" w:space="0"/>
            </w:tcBorders>
            <w:vAlign w:val="center"/>
          </w:tcPr>
          <w:p>
            <w:pPr>
              <w:pStyle w:val="54"/>
              <w:ind w:firstLine="0" w:firstLineChars="0"/>
              <w:jc w:val="center"/>
              <w:rPr>
                <w:rFonts w:ascii="Times New Roman" w:hAnsi="Times New Roman"/>
                <w:bCs/>
                <w:sz w:val="18"/>
                <w:szCs w:val="18"/>
              </w:rPr>
            </w:pPr>
            <w:r>
              <w:rPr>
                <w:rFonts w:ascii="Times New Roman" w:hAnsi="Times New Roman"/>
                <w:bCs/>
                <w:sz w:val="18"/>
                <w:szCs w:val="18"/>
              </w:rPr>
              <w:t>原理</w:t>
            </w:r>
          </w:p>
        </w:tc>
        <w:tc>
          <w:tcPr>
            <w:tcW w:w="1132" w:type="dxa"/>
            <w:tcBorders>
              <w:top w:val="single" w:color="auto" w:sz="12" w:space="0"/>
              <w:left w:val="nil"/>
              <w:bottom w:val="single" w:color="auto" w:sz="4" w:space="0"/>
              <w:right w:val="single" w:color="auto" w:sz="4" w:space="0"/>
            </w:tcBorders>
            <w:vAlign w:val="center"/>
          </w:tcPr>
          <w:p>
            <w:pPr>
              <w:pStyle w:val="54"/>
              <w:ind w:firstLine="0" w:firstLineChars="0"/>
              <w:jc w:val="center"/>
              <w:rPr>
                <w:rFonts w:ascii="Times New Roman" w:hAnsi="Times New Roman"/>
                <w:bCs/>
                <w:sz w:val="18"/>
                <w:szCs w:val="18"/>
              </w:rPr>
            </w:pPr>
            <w:r>
              <w:rPr>
                <w:rFonts w:ascii="Times New Roman" w:hAnsi="Times New Roman"/>
                <w:bCs/>
                <w:sz w:val="18"/>
                <w:szCs w:val="18"/>
              </w:rPr>
              <w:t>技术关键</w:t>
            </w:r>
          </w:p>
        </w:tc>
        <w:tc>
          <w:tcPr>
            <w:tcW w:w="984" w:type="dxa"/>
            <w:tcBorders>
              <w:top w:val="single" w:color="auto" w:sz="12" w:space="0"/>
              <w:left w:val="nil"/>
              <w:bottom w:val="single" w:color="auto" w:sz="4" w:space="0"/>
              <w:right w:val="single" w:color="auto" w:sz="4" w:space="0"/>
            </w:tcBorders>
            <w:vAlign w:val="center"/>
          </w:tcPr>
          <w:p>
            <w:pPr>
              <w:pStyle w:val="54"/>
              <w:ind w:firstLine="0" w:firstLineChars="0"/>
              <w:jc w:val="center"/>
              <w:rPr>
                <w:rFonts w:ascii="Times New Roman" w:hAnsi="Times New Roman"/>
                <w:bCs/>
                <w:sz w:val="18"/>
                <w:szCs w:val="18"/>
              </w:rPr>
            </w:pPr>
            <w:r>
              <w:rPr>
                <w:rFonts w:ascii="Times New Roman" w:hAnsi="Times New Roman"/>
                <w:bCs/>
                <w:sz w:val="18"/>
                <w:szCs w:val="18"/>
              </w:rPr>
              <w:t>适用场合</w:t>
            </w:r>
          </w:p>
        </w:tc>
        <w:tc>
          <w:tcPr>
            <w:tcW w:w="984" w:type="dxa"/>
            <w:tcBorders>
              <w:top w:val="single" w:color="auto" w:sz="12" w:space="0"/>
              <w:left w:val="nil"/>
              <w:bottom w:val="single" w:color="auto" w:sz="4" w:space="0"/>
              <w:right w:val="single" w:color="auto" w:sz="12" w:space="0"/>
            </w:tcBorders>
            <w:vAlign w:val="center"/>
          </w:tcPr>
          <w:p>
            <w:pPr>
              <w:pStyle w:val="54"/>
              <w:ind w:firstLine="0" w:firstLineChars="0"/>
              <w:jc w:val="center"/>
              <w:rPr>
                <w:rFonts w:ascii="Times New Roman" w:hAnsi="Times New Roman"/>
                <w:bCs/>
                <w:sz w:val="18"/>
                <w:szCs w:val="18"/>
              </w:rPr>
            </w:pPr>
            <w:r>
              <w:rPr>
                <w:rFonts w:ascii="Times New Roman" w:hAnsi="Times New Roman"/>
                <w:bCs/>
                <w:sz w:val="18"/>
                <w:szCs w:val="18"/>
              </w:rPr>
              <w:t>应用效益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gridSpan w:val="2"/>
            <w:tcBorders>
              <w:top w:val="single" w:color="auto" w:sz="4" w:space="0"/>
              <w:left w:val="single" w:color="auto" w:sz="12" w:space="0"/>
              <w:bottom w:val="single" w:color="auto" w:sz="4" w:space="0"/>
              <w:right w:val="single" w:color="auto" w:sz="4" w:space="0"/>
            </w:tcBorders>
            <w:vAlign w:val="center"/>
          </w:tcPr>
          <w:p>
            <w:pPr>
              <w:pStyle w:val="54"/>
              <w:ind w:firstLine="0" w:firstLineChars="0"/>
              <w:jc w:val="center"/>
              <w:rPr>
                <w:rFonts w:ascii="Times New Roman" w:hAnsi="Times New Roman"/>
                <w:sz w:val="18"/>
                <w:szCs w:val="18"/>
              </w:rPr>
            </w:pPr>
            <w:r>
              <w:rPr>
                <w:rFonts w:ascii="Times New Roman" w:hAnsi="Times New Roman"/>
                <w:sz w:val="18"/>
                <w:szCs w:val="18"/>
              </w:rPr>
              <w:t>冷凝法</w:t>
            </w:r>
          </w:p>
        </w:tc>
        <w:tc>
          <w:tcPr>
            <w:tcW w:w="3504" w:type="dxa"/>
            <w:tcBorders>
              <w:top w:val="single" w:color="auto" w:sz="4" w:space="0"/>
              <w:left w:val="nil"/>
              <w:bottom w:val="single" w:color="auto" w:sz="4" w:space="0"/>
              <w:right w:val="single" w:color="auto" w:sz="4" w:space="0"/>
            </w:tcBorders>
            <w:vAlign w:val="center"/>
          </w:tcPr>
          <w:p>
            <w:pPr>
              <w:pStyle w:val="54"/>
              <w:ind w:firstLine="0" w:firstLineChars="0"/>
              <w:rPr>
                <w:rFonts w:ascii="Times New Roman" w:hAnsi="Times New Roman"/>
                <w:sz w:val="18"/>
                <w:szCs w:val="18"/>
              </w:rPr>
            </w:pPr>
            <w:r>
              <w:rPr>
                <w:rFonts w:ascii="Times New Roman" w:hAnsi="Times New Roman"/>
                <w:sz w:val="18"/>
                <w:szCs w:val="18"/>
              </w:rPr>
              <w:t>利用物质在不同温度下具有不同饱和蒸汽压的性质，降低系统温度或提高系统压力，使处于蒸汽状态的污染物从废气中冷凝分离出来的方法。</w:t>
            </w:r>
          </w:p>
        </w:tc>
        <w:tc>
          <w:tcPr>
            <w:tcW w:w="1132" w:type="dxa"/>
            <w:tcBorders>
              <w:top w:val="single" w:color="auto" w:sz="4" w:space="0"/>
              <w:left w:val="nil"/>
              <w:bottom w:val="single" w:color="auto" w:sz="4" w:space="0"/>
              <w:right w:val="single" w:color="auto" w:sz="4" w:space="0"/>
            </w:tcBorders>
            <w:vAlign w:val="center"/>
          </w:tcPr>
          <w:p>
            <w:pPr>
              <w:pStyle w:val="54"/>
              <w:ind w:firstLine="0" w:firstLineChars="0"/>
              <w:jc w:val="left"/>
              <w:rPr>
                <w:rFonts w:ascii="Times New Roman" w:hAnsi="Times New Roman"/>
                <w:sz w:val="18"/>
                <w:szCs w:val="18"/>
              </w:rPr>
            </w:pPr>
            <w:r>
              <w:rPr>
                <w:rFonts w:ascii="Times New Roman" w:hAnsi="Times New Roman"/>
                <w:sz w:val="18"/>
                <w:szCs w:val="18"/>
              </w:rPr>
              <w:t>冷凝温度/压力</w:t>
            </w:r>
          </w:p>
        </w:tc>
        <w:tc>
          <w:tcPr>
            <w:tcW w:w="984" w:type="dxa"/>
            <w:tcBorders>
              <w:top w:val="single" w:color="auto" w:sz="4" w:space="0"/>
              <w:left w:val="nil"/>
              <w:bottom w:val="single" w:color="auto" w:sz="4" w:space="0"/>
              <w:right w:val="single" w:color="auto" w:sz="4" w:space="0"/>
            </w:tcBorders>
            <w:vAlign w:val="center"/>
          </w:tcPr>
          <w:p>
            <w:pPr>
              <w:pStyle w:val="54"/>
              <w:ind w:firstLine="0" w:firstLineChars="0"/>
              <w:jc w:val="center"/>
              <w:rPr>
                <w:rFonts w:ascii="Times New Roman" w:hAnsi="Times New Roman"/>
                <w:sz w:val="18"/>
                <w:szCs w:val="18"/>
              </w:rPr>
            </w:pPr>
            <w:r>
              <w:rPr>
                <w:rFonts w:ascii="Times New Roman" w:hAnsi="Times New Roman"/>
                <w:sz w:val="18"/>
                <w:szCs w:val="18"/>
              </w:rPr>
              <w:t>高浓度</w:t>
            </w:r>
          </w:p>
        </w:tc>
        <w:tc>
          <w:tcPr>
            <w:tcW w:w="984" w:type="dxa"/>
            <w:tcBorders>
              <w:top w:val="single" w:color="auto" w:sz="4" w:space="0"/>
              <w:left w:val="nil"/>
              <w:bottom w:val="single" w:color="auto" w:sz="4" w:space="0"/>
              <w:right w:val="single" w:color="auto" w:sz="12" w:space="0"/>
            </w:tcBorders>
            <w:vAlign w:val="center"/>
          </w:tcPr>
          <w:p>
            <w:pPr>
              <w:pStyle w:val="54"/>
              <w:ind w:firstLine="0" w:firstLineChars="0"/>
              <w:jc w:val="center"/>
              <w:rPr>
                <w:rFonts w:ascii="Times New Roman" w:hAnsi="Times New Roman"/>
                <w:sz w:val="18"/>
                <w:szCs w:val="18"/>
              </w:rPr>
            </w:pPr>
            <w:r>
              <w:rPr>
                <w:rFonts w:ascii="Times New Roman" w:hAnsi="Times New Roman"/>
                <w:sz w:val="18"/>
                <w:szCs w:val="18"/>
              </w:rPr>
              <w:t>溶剂回收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vMerge w:val="restart"/>
            <w:tcBorders>
              <w:top w:val="nil"/>
              <w:left w:val="single" w:color="auto" w:sz="12" w:space="0"/>
              <w:bottom w:val="single" w:color="auto" w:sz="4" w:space="0"/>
              <w:right w:val="single" w:color="auto" w:sz="4" w:space="0"/>
            </w:tcBorders>
            <w:vAlign w:val="center"/>
          </w:tcPr>
          <w:p>
            <w:pPr>
              <w:pStyle w:val="54"/>
              <w:ind w:firstLine="0" w:firstLineChars="0"/>
              <w:jc w:val="center"/>
              <w:rPr>
                <w:rFonts w:ascii="Times New Roman" w:hAnsi="Times New Roman"/>
                <w:sz w:val="18"/>
                <w:szCs w:val="18"/>
              </w:rPr>
            </w:pPr>
            <w:r>
              <w:rPr>
                <w:rFonts w:ascii="Times New Roman" w:hAnsi="Times New Roman"/>
                <w:sz w:val="18"/>
                <w:szCs w:val="18"/>
              </w:rPr>
              <w:t>吸附法</w:t>
            </w:r>
          </w:p>
        </w:tc>
        <w:tc>
          <w:tcPr>
            <w:tcW w:w="1175" w:type="dxa"/>
            <w:tcBorders>
              <w:top w:val="single" w:color="auto" w:sz="4" w:space="0"/>
              <w:left w:val="nil"/>
              <w:bottom w:val="single" w:color="auto" w:sz="4" w:space="0"/>
              <w:right w:val="single" w:color="auto" w:sz="4" w:space="0"/>
            </w:tcBorders>
            <w:vAlign w:val="center"/>
          </w:tcPr>
          <w:p>
            <w:pPr>
              <w:pStyle w:val="54"/>
              <w:ind w:firstLine="0" w:firstLineChars="0"/>
              <w:jc w:val="left"/>
              <w:rPr>
                <w:rFonts w:ascii="Times New Roman" w:hAnsi="Times New Roman"/>
                <w:sz w:val="18"/>
                <w:szCs w:val="18"/>
              </w:rPr>
            </w:pPr>
            <w:r>
              <w:rPr>
                <w:rFonts w:ascii="Times New Roman" w:hAnsi="Times New Roman"/>
                <w:sz w:val="18"/>
                <w:szCs w:val="18"/>
              </w:rPr>
              <w:t>活性炭颗粒</w:t>
            </w:r>
          </w:p>
        </w:tc>
        <w:tc>
          <w:tcPr>
            <w:tcW w:w="3504" w:type="dxa"/>
            <w:vMerge w:val="restart"/>
            <w:tcBorders>
              <w:top w:val="nil"/>
              <w:left w:val="nil"/>
              <w:bottom w:val="single" w:color="auto" w:sz="4" w:space="0"/>
              <w:right w:val="single" w:color="auto" w:sz="4" w:space="0"/>
            </w:tcBorders>
            <w:vAlign w:val="center"/>
          </w:tcPr>
          <w:p>
            <w:pPr>
              <w:pStyle w:val="54"/>
              <w:ind w:firstLine="0" w:firstLineChars="0"/>
              <w:rPr>
                <w:rFonts w:ascii="Times New Roman" w:hAnsi="Times New Roman"/>
                <w:sz w:val="18"/>
                <w:szCs w:val="18"/>
              </w:rPr>
            </w:pPr>
            <w:r>
              <w:rPr>
                <w:rFonts w:ascii="Times New Roman" w:hAnsi="Times New Roman"/>
                <w:sz w:val="18"/>
                <w:szCs w:val="18"/>
              </w:rPr>
              <w:t>利用多孔固体（吸附剂）将气体混合物种一种或多种组分积聚或凝聚在吸附剂表面，达到分离目的</w:t>
            </w:r>
          </w:p>
        </w:tc>
        <w:tc>
          <w:tcPr>
            <w:tcW w:w="1132" w:type="dxa"/>
            <w:vMerge w:val="restart"/>
            <w:tcBorders>
              <w:top w:val="nil"/>
              <w:left w:val="nil"/>
              <w:bottom w:val="single" w:color="auto" w:sz="4" w:space="0"/>
              <w:right w:val="single" w:color="auto" w:sz="4" w:space="0"/>
            </w:tcBorders>
            <w:vAlign w:val="center"/>
          </w:tcPr>
          <w:p>
            <w:pPr>
              <w:pStyle w:val="54"/>
              <w:ind w:firstLine="0" w:firstLineChars="0"/>
              <w:jc w:val="left"/>
              <w:rPr>
                <w:rFonts w:ascii="Times New Roman" w:hAnsi="Times New Roman"/>
                <w:sz w:val="18"/>
                <w:szCs w:val="18"/>
              </w:rPr>
            </w:pPr>
            <w:r>
              <w:rPr>
                <w:rFonts w:ascii="Times New Roman" w:hAnsi="Times New Roman"/>
                <w:sz w:val="18"/>
                <w:szCs w:val="18"/>
              </w:rPr>
              <w:t>吸附温度或压力、过滤风速、穿透周期</w:t>
            </w:r>
          </w:p>
        </w:tc>
        <w:tc>
          <w:tcPr>
            <w:tcW w:w="984" w:type="dxa"/>
            <w:vMerge w:val="restart"/>
            <w:tcBorders>
              <w:top w:val="nil"/>
              <w:left w:val="nil"/>
              <w:bottom w:val="single" w:color="auto" w:sz="4" w:space="0"/>
              <w:right w:val="single" w:color="auto" w:sz="4" w:space="0"/>
            </w:tcBorders>
            <w:vAlign w:val="center"/>
          </w:tcPr>
          <w:p>
            <w:pPr>
              <w:pStyle w:val="54"/>
              <w:ind w:firstLine="0" w:firstLineChars="0"/>
              <w:jc w:val="center"/>
              <w:rPr>
                <w:rFonts w:ascii="Times New Roman" w:hAnsi="Times New Roman"/>
                <w:sz w:val="18"/>
                <w:szCs w:val="18"/>
              </w:rPr>
            </w:pPr>
            <w:r>
              <w:rPr>
                <w:rFonts w:ascii="Times New Roman" w:hAnsi="Times New Roman"/>
                <w:sz w:val="18"/>
                <w:szCs w:val="18"/>
              </w:rPr>
              <w:t>低浓度</w:t>
            </w:r>
          </w:p>
        </w:tc>
        <w:tc>
          <w:tcPr>
            <w:tcW w:w="984" w:type="dxa"/>
            <w:vMerge w:val="restart"/>
            <w:tcBorders>
              <w:top w:val="single" w:color="auto" w:sz="4" w:space="0"/>
              <w:left w:val="nil"/>
              <w:bottom w:val="single" w:color="auto" w:sz="4" w:space="0"/>
              <w:right w:val="single" w:color="auto" w:sz="12" w:space="0"/>
            </w:tcBorders>
            <w:vAlign w:val="center"/>
          </w:tcPr>
          <w:p>
            <w:pPr>
              <w:pStyle w:val="54"/>
              <w:ind w:firstLine="0" w:firstLineChars="0"/>
              <w:jc w:val="center"/>
              <w:rPr>
                <w:rFonts w:ascii="Times New Roman" w:hAnsi="Times New Roman"/>
                <w:sz w:val="18"/>
                <w:szCs w:val="18"/>
              </w:rPr>
            </w:pPr>
            <w:r>
              <w:rPr>
                <w:rFonts w:ascii="Times New Roman" w:hAnsi="Times New Roman"/>
                <w:sz w:val="18"/>
                <w:szCs w:val="18"/>
              </w:rPr>
              <w:t>浓缩回收</w:t>
            </w:r>
          </w:p>
          <w:p>
            <w:pPr>
              <w:pStyle w:val="54"/>
              <w:ind w:firstLine="0" w:firstLineChars="0"/>
              <w:jc w:val="center"/>
              <w:rPr>
                <w:rFonts w:ascii="Times New Roman" w:hAnsi="Times New Roman"/>
                <w:sz w:val="18"/>
                <w:szCs w:val="18"/>
              </w:rPr>
            </w:pPr>
            <w:r>
              <w:rPr>
                <w:rFonts w:ascii="Times New Roman" w:hAnsi="Times New Roman"/>
                <w:sz w:val="18"/>
                <w:szCs w:val="18"/>
              </w:rPr>
              <w:t>热量/溶剂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vMerge w:val="continue"/>
            <w:tcBorders>
              <w:top w:val="nil"/>
              <w:left w:val="single" w:color="auto" w:sz="12" w:space="0"/>
              <w:bottom w:val="single" w:color="auto" w:sz="4" w:space="0"/>
              <w:right w:val="single" w:color="auto" w:sz="4" w:space="0"/>
            </w:tcBorders>
            <w:vAlign w:val="center"/>
          </w:tcPr>
          <w:p>
            <w:pPr>
              <w:widowControl/>
              <w:jc w:val="left"/>
              <w:rPr>
                <w:rFonts w:ascii="Times New Roman" w:hAnsi="Times New Roman"/>
                <w:sz w:val="18"/>
                <w:szCs w:val="18"/>
              </w:rPr>
            </w:pPr>
          </w:p>
        </w:tc>
        <w:tc>
          <w:tcPr>
            <w:tcW w:w="1175" w:type="dxa"/>
            <w:tcBorders>
              <w:top w:val="single" w:color="auto" w:sz="4" w:space="0"/>
              <w:left w:val="nil"/>
              <w:bottom w:val="single" w:color="auto" w:sz="4" w:space="0"/>
              <w:right w:val="single" w:color="auto" w:sz="4" w:space="0"/>
            </w:tcBorders>
            <w:vAlign w:val="center"/>
          </w:tcPr>
          <w:p>
            <w:pPr>
              <w:pStyle w:val="54"/>
              <w:ind w:firstLine="0" w:firstLineChars="0"/>
              <w:jc w:val="left"/>
              <w:rPr>
                <w:rFonts w:ascii="Times New Roman" w:hAnsi="Times New Roman"/>
                <w:sz w:val="18"/>
                <w:szCs w:val="18"/>
              </w:rPr>
            </w:pPr>
            <w:r>
              <w:rPr>
                <w:rFonts w:ascii="Times New Roman" w:hAnsi="Times New Roman"/>
                <w:sz w:val="18"/>
                <w:szCs w:val="18"/>
              </w:rPr>
              <w:t>碳纤维</w:t>
            </w:r>
          </w:p>
        </w:tc>
        <w:tc>
          <w:tcPr>
            <w:tcW w:w="3504"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sz w:val="18"/>
                <w:szCs w:val="18"/>
              </w:rPr>
            </w:pPr>
          </w:p>
        </w:tc>
        <w:tc>
          <w:tcPr>
            <w:tcW w:w="1132"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sz w:val="18"/>
                <w:szCs w:val="18"/>
              </w:rPr>
            </w:pPr>
          </w:p>
        </w:tc>
        <w:tc>
          <w:tcPr>
            <w:tcW w:w="984"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sz w:val="18"/>
                <w:szCs w:val="18"/>
              </w:rPr>
            </w:pPr>
          </w:p>
        </w:tc>
        <w:tc>
          <w:tcPr>
            <w:tcW w:w="984" w:type="dxa"/>
            <w:vMerge w:val="continue"/>
            <w:tcBorders>
              <w:top w:val="single" w:color="auto" w:sz="4" w:space="0"/>
              <w:left w:val="nil"/>
              <w:bottom w:val="single" w:color="auto" w:sz="4" w:space="0"/>
              <w:right w:val="single" w:color="auto" w:sz="12" w:space="0"/>
            </w:tcBorders>
            <w:vAlign w:val="center"/>
          </w:tcPr>
          <w:p>
            <w:pPr>
              <w:widowControl/>
              <w:jc w:val="left"/>
              <w:rPr>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vMerge w:val="continue"/>
            <w:tcBorders>
              <w:top w:val="nil"/>
              <w:left w:val="single" w:color="auto" w:sz="12" w:space="0"/>
              <w:bottom w:val="single" w:color="auto" w:sz="4" w:space="0"/>
              <w:right w:val="single" w:color="auto" w:sz="4" w:space="0"/>
            </w:tcBorders>
            <w:vAlign w:val="center"/>
          </w:tcPr>
          <w:p>
            <w:pPr>
              <w:widowControl/>
              <w:jc w:val="left"/>
              <w:rPr>
                <w:rFonts w:ascii="Times New Roman" w:hAnsi="Times New Roman"/>
                <w:sz w:val="18"/>
                <w:szCs w:val="18"/>
              </w:rPr>
            </w:pPr>
          </w:p>
        </w:tc>
        <w:tc>
          <w:tcPr>
            <w:tcW w:w="1175" w:type="dxa"/>
            <w:tcBorders>
              <w:top w:val="single" w:color="auto" w:sz="4" w:space="0"/>
              <w:left w:val="nil"/>
              <w:bottom w:val="single" w:color="auto" w:sz="4" w:space="0"/>
              <w:right w:val="single" w:color="auto" w:sz="4" w:space="0"/>
            </w:tcBorders>
            <w:vAlign w:val="center"/>
          </w:tcPr>
          <w:p>
            <w:pPr>
              <w:pStyle w:val="54"/>
              <w:ind w:firstLine="0" w:firstLineChars="0"/>
              <w:jc w:val="left"/>
              <w:rPr>
                <w:rFonts w:ascii="Times New Roman" w:hAnsi="Times New Roman"/>
                <w:sz w:val="18"/>
                <w:szCs w:val="18"/>
              </w:rPr>
            </w:pPr>
            <w:r>
              <w:rPr>
                <w:rFonts w:ascii="Times New Roman" w:hAnsi="Times New Roman"/>
                <w:sz w:val="18"/>
                <w:szCs w:val="18"/>
              </w:rPr>
              <w:t>沸石转轮</w:t>
            </w:r>
          </w:p>
        </w:tc>
        <w:tc>
          <w:tcPr>
            <w:tcW w:w="3504"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sz w:val="18"/>
                <w:szCs w:val="18"/>
              </w:rPr>
            </w:pPr>
          </w:p>
        </w:tc>
        <w:tc>
          <w:tcPr>
            <w:tcW w:w="1132"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sz w:val="18"/>
                <w:szCs w:val="18"/>
              </w:rPr>
            </w:pPr>
          </w:p>
        </w:tc>
        <w:tc>
          <w:tcPr>
            <w:tcW w:w="984"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sz w:val="18"/>
                <w:szCs w:val="18"/>
              </w:rPr>
            </w:pPr>
          </w:p>
        </w:tc>
        <w:tc>
          <w:tcPr>
            <w:tcW w:w="984" w:type="dxa"/>
            <w:vMerge w:val="continue"/>
            <w:tcBorders>
              <w:top w:val="single" w:color="auto" w:sz="4" w:space="0"/>
              <w:left w:val="nil"/>
              <w:bottom w:val="single" w:color="auto" w:sz="4" w:space="0"/>
              <w:right w:val="single" w:color="auto" w:sz="12" w:space="0"/>
            </w:tcBorders>
            <w:vAlign w:val="center"/>
          </w:tcPr>
          <w:p>
            <w:pPr>
              <w:widowControl/>
              <w:jc w:val="left"/>
              <w:rPr>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vMerge w:val="restart"/>
            <w:tcBorders>
              <w:top w:val="nil"/>
              <w:left w:val="single" w:color="auto" w:sz="12" w:space="0"/>
              <w:bottom w:val="single" w:color="auto" w:sz="4" w:space="0"/>
              <w:right w:val="single" w:color="auto" w:sz="4" w:space="0"/>
            </w:tcBorders>
            <w:vAlign w:val="center"/>
          </w:tcPr>
          <w:p>
            <w:pPr>
              <w:pStyle w:val="54"/>
              <w:ind w:firstLine="0" w:firstLineChars="0"/>
              <w:jc w:val="center"/>
              <w:rPr>
                <w:rFonts w:ascii="Times New Roman" w:hAnsi="Times New Roman"/>
                <w:sz w:val="18"/>
                <w:szCs w:val="18"/>
              </w:rPr>
            </w:pPr>
            <w:r>
              <w:rPr>
                <w:rFonts w:ascii="Times New Roman" w:hAnsi="Times New Roman"/>
                <w:sz w:val="18"/>
                <w:szCs w:val="18"/>
              </w:rPr>
              <w:t>燃烧法</w:t>
            </w:r>
          </w:p>
        </w:tc>
        <w:tc>
          <w:tcPr>
            <w:tcW w:w="1175" w:type="dxa"/>
            <w:tcBorders>
              <w:top w:val="single" w:color="auto" w:sz="4" w:space="0"/>
              <w:left w:val="nil"/>
              <w:bottom w:val="single" w:color="auto" w:sz="4" w:space="0"/>
              <w:right w:val="single" w:color="auto" w:sz="4" w:space="0"/>
            </w:tcBorders>
            <w:vAlign w:val="center"/>
          </w:tcPr>
          <w:p>
            <w:pPr>
              <w:pStyle w:val="54"/>
              <w:ind w:firstLine="0" w:firstLineChars="0"/>
              <w:jc w:val="left"/>
              <w:rPr>
                <w:rFonts w:ascii="Times New Roman" w:hAnsi="Times New Roman"/>
                <w:sz w:val="18"/>
                <w:szCs w:val="18"/>
              </w:rPr>
            </w:pPr>
            <w:r>
              <w:rPr>
                <w:rFonts w:ascii="Times New Roman" w:hAnsi="Times New Roman"/>
                <w:sz w:val="18"/>
                <w:szCs w:val="18"/>
              </w:rPr>
              <w:t>热氧化炉</w:t>
            </w:r>
          </w:p>
        </w:tc>
        <w:tc>
          <w:tcPr>
            <w:tcW w:w="3504" w:type="dxa"/>
            <w:tcBorders>
              <w:top w:val="single" w:color="auto" w:sz="4" w:space="0"/>
              <w:left w:val="nil"/>
              <w:bottom w:val="single" w:color="auto" w:sz="4" w:space="0"/>
              <w:right w:val="single" w:color="auto" w:sz="4" w:space="0"/>
            </w:tcBorders>
            <w:vAlign w:val="center"/>
          </w:tcPr>
          <w:p>
            <w:pPr>
              <w:pStyle w:val="54"/>
              <w:ind w:firstLine="0" w:firstLineChars="0"/>
              <w:rPr>
                <w:rFonts w:ascii="Times New Roman" w:hAnsi="Times New Roman"/>
                <w:sz w:val="18"/>
                <w:szCs w:val="18"/>
              </w:rPr>
            </w:pPr>
            <w:r>
              <w:rPr>
                <w:rFonts w:ascii="Times New Roman" w:hAnsi="Times New Roman"/>
                <w:sz w:val="18"/>
                <w:szCs w:val="18"/>
              </w:rPr>
              <w:t>在高温下同时供给足够的氧气，将VOCs气体完全分解成二氧化碳和水等无机物</w:t>
            </w:r>
          </w:p>
        </w:tc>
        <w:tc>
          <w:tcPr>
            <w:tcW w:w="1132" w:type="dxa"/>
            <w:tcBorders>
              <w:top w:val="single" w:color="auto" w:sz="4" w:space="0"/>
              <w:left w:val="nil"/>
              <w:bottom w:val="single" w:color="auto" w:sz="4" w:space="0"/>
              <w:right w:val="single" w:color="auto" w:sz="4" w:space="0"/>
            </w:tcBorders>
            <w:vAlign w:val="center"/>
          </w:tcPr>
          <w:p>
            <w:pPr>
              <w:pStyle w:val="54"/>
              <w:ind w:firstLine="0" w:firstLineChars="0"/>
              <w:jc w:val="left"/>
              <w:rPr>
                <w:rFonts w:ascii="Times New Roman" w:hAnsi="Times New Roman"/>
                <w:sz w:val="18"/>
                <w:szCs w:val="18"/>
              </w:rPr>
            </w:pPr>
            <w:r>
              <w:rPr>
                <w:rFonts w:ascii="Times New Roman" w:hAnsi="Times New Roman"/>
                <w:sz w:val="18"/>
                <w:szCs w:val="18"/>
              </w:rPr>
              <w:t>燃烧温度、停留时间</w:t>
            </w:r>
          </w:p>
        </w:tc>
        <w:tc>
          <w:tcPr>
            <w:tcW w:w="984" w:type="dxa"/>
            <w:tcBorders>
              <w:top w:val="single" w:color="auto" w:sz="4" w:space="0"/>
              <w:left w:val="nil"/>
              <w:bottom w:val="single" w:color="auto" w:sz="4" w:space="0"/>
              <w:right w:val="single" w:color="auto" w:sz="4" w:space="0"/>
            </w:tcBorders>
            <w:vAlign w:val="center"/>
          </w:tcPr>
          <w:p>
            <w:pPr>
              <w:pStyle w:val="54"/>
              <w:ind w:firstLine="0" w:firstLineChars="0"/>
              <w:jc w:val="center"/>
              <w:rPr>
                <w:rFonts w:ascii="Times New Roman" w:hAnsi="Times New Roman"/>
                <w:sz w:val="18"/>
                <w:szCs w:val="18"/>
              </w:rPr>
            </w:pPr>
            <w:r>
              <w:rPr>
                <w:rFonts w:ascii="Times New Roman" w:hAnsi="Times New Roman"/>
                <w:sz w:val="18"/>
                <w:szCs w:val="18"/>
              </w:rPr>
              <w:t>高浓度</w:t>
            </w:r>
          </w:p>
        </w:tc>
        <w:tc>
          <w:tcPr>
            <w:tcW w:w="984" w:type="dxa"/>
            <w:vMerge w:val="restart"/>
            <w:tcBorders>
              <w:top w:val="nil"/>
              <w:left w:val="nil"/>
              <w:bottom w:val="single" w:color="auto" w:sz="4" w:space="0"/>
              <w:right w:val="single" w:color="auto" w:sz="12" w:space="0"/>
            </w:tcBorders>
            <w:vAlign w:val="center"/>
          </w:tcPr>
          <w:p>
            <w:pPr>
              <w:pStyle w:val="54"/>
              <w:ind w:firstLine="0" w:firstLineChars="0"/>
              <w:jc w:val="center"/>
              <w:rPr>
                <w:rFonts w:ascii="Times New Roman" w:hAnsi="Times New Roman"/>
                <w:sz w:val="18"/>
                <w:szCs w:val="18"/>
              </w:rPr>
            </w:pPr>
            <w:r>
              <w:rPr>
                <w:rFonts w:ascii="Times New Roman" w:hAnsi="Times New Roman"/>
                <w:sz w:val="18"/>
                <w:szCs w:val="18"/>
              </w:rPr>
              <w:t>热量回收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vMerge w:val="continue"/>
            <w:tcBorders>
              <w:top w:val="nil"/>
              <w:left w:val="single" w:color="auto" w:sz="12" w:space="0"/>
              <w:bottom w:val="single" w:color="auto" w:sz="4" w:space="0"/>
              <w:right w:val="single" w:color="auto" w:sz="4" w:space="0"/>
            </w:tcBorders>
            <w:vAlign w:val="center"/>
          </w:tcPr>
          <w:p>
            <w:pPr>
              <w:widowControl/>
              <w:jc w:val="left"/>
              <w:rPr>
                <w:rFonts w:ascii="Times New Roman" w:hAnsi="Times New Roman"/>
                <w:sz w:val="18"/>
                <w:szCs w:val="18"/>
              </w:rPr>
            </w:pPr>
          </w:p>
        </w:tc>
        <w:tc>
          <w:tcPr>
            <w:tcW w:w="1175" w:type="dxa"/>
            <w:tcBorders>
              <w:top w:val="single" w:color="auto" w:sz="4" w:space="0"/>
              <w:left w:val="nil"/>
              <w:bottom w:val="single" w:color="auto" w:sz="4" w:space="0"/>
              <w:right w:val="single" w:color="auto" w:sz="4" w:space="0"/>
            </w:tcBorders>
            <w:vAlign w:val="center"/>
          </w:tcPr>
          <w:p>
            <w:pPr>
              <w:pStyle w:val="54"/>
              <w:ind w:firstLine="0" w:firstLineChars="0"/>
              <w:jc w:val="left"/>
              <w:rPr>
                <w:rFonts w:ascii="Times New Roman" w:hAnsi="Times New Roman"/>
                <w:sz w:val="18"/>
                <w:szCs w:val="18"/>
              </w:rPr>
            </w:pPr>
            <w:r>
              <w:rPr>
                <w:rFonts w:ascii="Times New Roman" w:hAnsi="Times New Roman"/>
                <w:sz w:val="18"/>
                <w:szCs w:val="18"/>
              </w:rPr>
              <w:t>催化氧化器</w:t>
            </w:r>
          </w:p>
        </w:tc>
        <w:tc>
          <w:tcPr>
            <w:tcW w:w="3504" w:type="dxa"/>
            <w:tcBorders>
              <w:top w:val="single" w:color="auto" w:sz="4" w:space="0"/>
              <w:left w:val="nil"/>
              <w:bottom w:val="single" w:color="auto" w:sz="4" w:space="0"/>
              <w:right w:val="single" w:color="auto" w:sz="4" w:space="0"/>
            </w:tcBorders>
            <w:vAlign w:val="center"/>
          </w:tcPr>
          <w:p>
            <w:pPr>
              <w:pStyle w:val="54"/>
              <w:ind w:firstLine="0" w:firstLineChars="0"/>
              <w:rPr>
                <w:rFonts w:ascii="Times New Roman" w:hAnsi="Times New Roman"/>
                <w:sz w:val="18"/>
                <w:szCs w:val="18"/>
              </w:rPr>
            </w:pPr>
            <w:r>
              <w:rPr>
                <w:rFonts w:ascii="Times New Roman" w:hAnsi="Times New Roman"/>
                <w:sz w:val="18"/>
                <w:szCs w:val="18"/>
              </w:rPr>
              <w:t>利用催化剂，在较低温度下将VOCs氧化分解</w:t>
            </w:r>
          </w:p>
        </w:tc>
        <w:tc>
          <w:tcPr>
            <w:tcW w:w="1132" w:type="dxa"/>
            <w:tcBorders>
              <w:top w:val="single" w:color="auto" w:sz="4" w:space="0"/>
              <w:left w:val="nil"/>
              <w:bottom w:val="single" w:color="auto" w:sz="4" w:space="0"/>
              <w:right w:val="single" w:color="auto" w:sz="4" w:space="0"/>
            </w:tcBorders>
            <w:vAlign w:val="center"/>
          </w:tcPr>
          <w:p>
            <w:pPr>
              <w:pStyle w:val="54"/>
              <w:ind w:firstLine="0" w:firstLineChars="0"/>
              <w:jc w:val="left"/>
              <w:rPr>
                <w:rFonts w:ascii="Times New Roman" w:hAnsi="Times New Roman"/>
                <w:sz w:val="18"/>
                <w:szCs w:val="18"/>
              </w:rPr>
            </w:pPr>
            <w:r>
              <w:rPr>
                <w:rFonts w:ascii="Times New Roman" w:hAnsi="Times New Roman"/>
                <w:sz w:val="18"/>
                <w:szCs w:val="18"/>
              </w:rPr>
              <w:t>空间速度、氧化温度</w:t>
            </w:r>
          </w:p>
        </w:tc>
        <w:tc>
          <w:tcPr>
            <w:tcW w:w="984" w:type="dxa"/>
            <w:tcBorders>
              <w:top w:val="single" w:color="auto" w:sz="4" w:space="0"/>
              <w:left w:val="nil"/>
              <w:bottom w:val="single" w:color="auto" w:sz="4" w:space="0"/>
              <w:right w:val="single" w:color="auto" w:sz="4" w:space="0"/>
            </w:tcBorders>
            <w:vAlign w:val="center"/>
          </w:tcPr>
          <w:p>
            <w:pPr>
              <w:pStyle w:val="54"/>
              <w:ind w:firstLine="0" w:firstLineChars="0"/>
              <w:jc w:val="center"/>
              <w:rPr>
                <w:rFonts w:ascii="Times New Roman" w:hAnsi="Times New Roman"/>
                <w:sz w:val="18"/>
                <w:szCs w:val="18"/>
              </w:rPr>
            </w:pPr>
            <w:r>
              <w:rPr>
                <w:rFonts w:ascii="Times New Roman" w:hAnsi="Times New Roman"/>
                <w:sz w:val="18"/>
                <w:szCs w:val="18"/>
              </w:rPr>
              <w:t>中浓度</w:t>
            </w:r>
          </w:p>
        </w:tc>
        <w:tc>
          <w:tcPr>
            <w:tcW w:w="984" w:type="dxa"/>
            <w:vMerge w:val="continue"/>
            <w:tcBorders>
              <w:top w:val="nil"/>
              <w:left w:val="nil"/>
              <w:bottom w:val="single" w:color="auto" w:sz="4" w:space="0"/>
              <w:right w:val="single" w:color="auto" w:sz="12" w:space="0"/>
            </w:tcBorders>
            <w:vAlign w:val="center"/>
          </w:tcPr>
          <w:p>
            <w:pPr>
              <w:widowControl/>
              <w:jc w:val="left"/>
              <w:rPr>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vMerge w:val="restart"/>
            <w:tcBorders>
              <w:top w:val="nil"/>
              <w:left w:val="single" w:color="auto" w:sz="12" w:space="0"/>
              <w:bottom w:val="single" w:color="auto" w:sz="4" w:space="0"/>
              <w:right w:val="single" w:color="auto" w:sz="4" w:space="0"/>
            </w:tcBorders>
            <w:vAlign w:val="center"/>
          </w:tcPr>
          <w:p>
            <w:pPr>
              <w:pStyle w:val="54"/>
              <w:ind w:firstLine="0" w:firstLineChars="0"/>
              <w:jc w:val="center"/>
              <w:rPr>
                <w:rFonts w:ascii="Times New Roman" w:hAnsi="Times New Roman"/>
                <w:sz w:val="18"/>
                <w:szCs w:val="18"/>
              </w:rPr>
            </w:pPr>
            <w:r>
              <w:rPr>
                <w:rFonts w:ascii="Times New Roman" w:hAnsi="Times New Roman"/>
                <w:sz w:val="18"/>
                <w:szCs w:val="18"/>
              </w:rPr>
              <w:t>其他</w:t>
            </w:r>
          </w:p>
        </w:tc>
        <w:tc>
          <w:tcPr>
            <w:tcW w:w="1175" w:type="dxa"/>
            <w:tcBorders>
              <w:top w:val="single" w:color="auto" w:sz="4" w:space="0"/>
              <w:left w:val="nil"/>
              <w:bottom w:val="single" w:color="auto" w:sz="4" w:space="0"/>
              <w:right w:val="single" w:color="auto" w:sz="4" w:space="0"/>
            </w:tcBorders>
            <w:vAlign w:val="center"/>
          </w:tcPr>
          <w:p>
            <w:pPr>
              <w:pStyle w:val="54"/>
              <w:ind w:firstLine="0" w:firstLineChars="0"/>
              <w:jc w:val="left"/>
              <w:rPr>
                <w:rFonts w:ascii="Times New Roman" w:hAnsi="Times New Roman"/>
                <w:sz w:val="18"/>
                <w:szCs w:val="18"/>
              </w:rPr>
            </w:pPr>
            <w:r>
              <w:rPr>
                <w:rFonts w:ascii="Times New Roman" w:hAnsi="Times New Roman"/>
                <w:sz w:val="18"/>
                <w:szCs w:val="18"/>
              </w:rPr>
              <w:t>吸收法</w:t>
            </w:r>
          </w:p>
        </w:tc>
        <w:tc>
          <w:tcPr>
            <w:tcW w:w="3504" w:type="dxa"/>
            <w:tcBorders>
              <w:top w:val="single" w:color="auto" w:sz="4" w:space="0"/>
              <w:left w:val="nil"/>
              <w:bottom w:val="single" w:color="auto" w:sz="4" w:space="0"/>
              <w:right w:val="single" w:color="auto" w:sz="4" w:space="0"/>
            </w:tcBorders>
            <w:vAlign w:val="center"/>
          </w:tcPr>
          <w:p>
            <w:pPr>
              <w:pStyle w:val="54"/>
              <w:ind w:firstLine="0" w:firstLineChars="0"/>
              <w:rPr>
                <w:rFonts w:ascii="Times New Roman" w:hAnsi="Times New Roman"/>
                <w:sz w:val="18"/>
                <w:szCs w:val="18"/>
              </w:rPr>
            </w:pPr>
            <w:r>
              <w:rPr>
                <w:rFonts w:ascii="Times New Roman" w:hAnsi="Times New Roman"/>
                <w:sz w:val="18"/>
                <w:szCs w:val="18"/>
              </w:rPr>
              <w:t>利用VOCs各组分在选定的吸收剂中溶解度不同，或者其中某一种或多种组分与吸收剂中的活性组分发生化学反应，达到分离和净化的目的</w:t>
            </w:r>
          </w:p>
        </w:tc>
        <w:tc>
          <w:tcPr>
            <w:tcW w:w="1132" w:type="dxa"/>
            <w:tcBorders>
              <w:top w:val="single" w:color="auto" w:sz="4" w:space="0"/>
              <w:left w:val="nil"/>
              <w:bottom w:val="single" w:color="auto" w:sz="4" w:space="0"/>
              <w:right w:val="single" w:color="auto" w:sz="4" w:space="0"/>
            </w:tcBorders>
            <w:vAlign w:val="center"/>
          </w:tcPr>
          <w:p>
            <w:pPr>
              <w:pStyle w:val="54"/>
              <w:ind w:firstLine="0" w:firstLineChars="0"/>
              <w:jc w:val="center"/>
              <w:rPr>
                <w:rFonts w:ascii="Times New Roman" w:hAnsi="Times New Roman"/>
                <w:sz w:val="18"/>
                <w:szCs w:val="18"/>
              </w:rPr>
            </w:pPr>
            <w:r>
              <w:rPr>
                <w:rFonts w:ascii="Times New Roman" w:hAnsi="Times New Roman"/>
                <w:sz w:val="18"/>
                <w:szCs w:val="18"/>
              </w:rPr>
              <w:t>低、中浓度</w:t>
            </w:r>
          </w:p>
        </w:tc>
        <w:tc>
          <w:tcPr>
            <w:tcW w:w="1968" w:type="dxa"/>
            <w:gridSpan w:val="2"/>
            <w:tcBorders>
              <w:top w:val="single" w:color="auto" w:sz="4" w:space="0"/>
              <w:left w:val="nil"/>
              <w:bottom w:val="single" w:color="auto" w:sz="4" w:space="0"/>
              <w:right w:val="single" w:color="auto" w:sz="12" w:space="0"/>
            </w:tcBorders>
            <w:vAlign w:val="center"/>
          </w:tcPr>
          <w:p>
            <w:pPr>
              <w:pStyle w:val="54"/>
              <w:ind w:firstLine="0" w:firstLineChars="0"/>
              <w:jc w:val="left"/>
              <w:rPr>
                <w:rFonts w:ascii="Times New Roman" w:hAnsi="Times New Roman"/>
                <w:sz w:val="18"/>
                <w:szCs w:val="18"/>
              </w:rPr>
            </w:pPr>
            <w:r>
              <w:rPr>
                <w:rFonts w:ascii="Times New Roman" w:hAnsi="Times New Roman"/>
                <w:sz w:val="18"/>
                <w:szCs w:val="18"/>
              </w:rPr>
              <w:t>合成革DMF溶剂回收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vMerge w:val="continue"/>
            <w:tcBorders>
              <w:top w:val="nil"/>
              <w:left w:val="single" w:color="auto" w:sz="12" w:space="0"/>
              <w:bottom w:val="single" w:color="auto" w:sz="4" w:space="0"/>
              <w:right w:val="single" w:color="auto" w:sz="4" w:space="0"/>
            </w:tcBorders>
            <w:vAlign w:val="center"/>
          </w:tcPr>
          <w:p>
            <w:pPr>
              <w:widowControl/>
              <w:jc w:val="left"/>
              <w:rPr>
                <w:rFonts w:ascii="Times New Roman" w:hAnsi="Times New Roman"/>
                <w:sz w:val="18"/>
                <w:szCs w:val="18"/>
              </w:rPr>
            </w:pPr>
          </w:p>
        </w:tc>
        <w:tc>
          <w:tcPr>
            <w:tcW w:w="1175" w:type="dxa"/>
            <w:tcBorders>
              <w:top w:val="single" w:color="auto" w:sz="4" w:space="0"/>
              <w:left w:val="nil"/>
              <w:bottom w:val="single" w:color="auto" w:sz="4" w:space="0"/>
              <w:right w:val="single" w:color="auto" w:sz="4" w:space="0"/>
            </w:tcBorders>
            <w:vAlign w:val="center"/>
          </w:tcPr>
          <w:p>
            <w:pPr>
              <w:pStyle w:val="54"/>
              <w:ind w:firstLine="0" w:firstLineChars="0"/>
              <w:jc w:val="left"/>
              <w:rPr>
                <w:rFonts w:ascii="Times New Roman" w:hAnsi="Times New Roman"/>
                <w:sz w:val="18"/>
                <w:szCs w:val="18"/>
              </w:rPr>
            </w:pPr>
            <w:r>
              <w:rPr>
                <w:rFonts w:ascii="Times New Roman" w:hAnsi="Times New Roman"/>
                <w:sz w:val="18"/>
                <w:szCs w:val="18"/>
              </w:rPr>
              <w:t>化学氧化法</w:t>
            </w:r>
          </w:p>
        </w:tc>
        <w:tc>
          <w:tcPr>
            <w:tcW w:w="3504" w:type="dxa"/>
            <w:tcBorders>
              <w:top w:val="single" w:color="auto" w:sz="4" w:space="0"/>
              <w:left w:val="nil"/>
              <w:bottom w:val="single" w:color="auto" w:sz="4" w:space="0"/>
              <w:right w:val="single" w:color="auto" w:sz="4" w:space="0"/>
            </w:tcBorders>
            <w:vAlign w:val="center"/>
          </w:tcPr>
          <w:p>
            <w:pPr>
              <w:pStyle w:val="54"/>
              <w:ind w:firstLine="0" w:firstLineChars="0"/>
              <w:rPr>
                <w:rFonts w:ascii="Times New Roman" w:hAnsi="Times New Roman"/>
                <w:sz w:val="18"/>
                <w:szCs w:val="18"/>
              </w:rPr>
            </w:pPr>
            <w:r>
              <w:rPr>
                <w:rFonts w:ascii="Times New Roman" w:hAnsi="Times New Roman"/>
                <w:sz w:val="18"/>
                <w:szCs w:val="18"/>
              </w:rPr>
              <w:t>将具有化学氧化性的吸收液洗涤VOCs 气体，达到净化的目的</w:t>
            </w:r>
          </w:p>
        </w:tc>
        <w:tc>
          <w:tcPr>
            <w:tcW w:w="1132" w:type="dxa"/>
            <w:tcBorders>
              <w:top w:val="single" w:color="auto" w:sz="4" w:space="0"/>
              <w:left w:val="nil"/>
              <w:bottom w:val="single" w:color="auto" w:sz="4" w:space="0"/>
              <w:right w:val="single" w:color="auto" w:sz="4" w:space="0"/>
            </w:tcBorders>
            <w:vAlign w:val="center"/>
          </w:tcPr>
          <w:p>
            <w:pPr>
              <w:pStyle w:val="54"/>
              <w:ind w:firstLine="0" w:firstLineChars="0"/>
              <w:jc w:val="center"/>
              <w:rPr>
                <w:rFonts w:ascii="Times New Roman" w:hAnsi="Times New Roman"/>
                <w:sz w:val="18"/>
                <w:szCs w:val="18"/>
              </w:rPr>
            </w:pPr>
            <w:r>
              <w:rPr>
                <w:rFonts w:ascii="Times New Roman" w:hAnsi="Times New Roman"/>
                <w:sz w:val="18"/>
                <w:szCs w:val="18"/>
              </w:rPr>
              <w:t>低浓度</w:t>
            </w:r>
          </w:p>
        </w:tc>
        <w:tc>
          <w:tcPr>
            <w:tcW w:w="1968" w:type="dxa"/>
            <w:gridSpan w:val="2"/>
            <w:vMerge w:val="restart"/>
            <w:tcBorders>
              <w:top w:val="nil"/>
              <w:left w:val="nil"/>
              <w:bottom w:val="single" w:color="auto" w:sz="4" w:space="0"/>
              <w:right w:val="single" w:color="auto" w:sz="12" w:space="0"/>
            </w:tcBorders>
            <w:vAlign w:val="center"/>
          </w:tcPr>
          <w:p>
            <w:pPr>
              <w:pStyle w:val="54"/>
              <w:ind w:firstLine="0" w:firstLineChars="0"/>
              <w:jc w:val="left"/>
              <w:rPr>
                <w:rFonts w:ascii="Times New Roman" w:hAnsi="Times New Roman"/>
                <w:sz w:val="18"/>
                <w:szCs w:val="18"/>
              </w:rPr>
            </w:pPr>
            <w:r>
              <w:rPr>
                <w:rFonts w:ascii="Times New Roman" w:hAnsi="Times New Roman"/>
                <w:sz w:val="18"/>
                <w:szCs w:val="18"/>
              </w:rPr>
              <w:t>特定的低浓度VOCs气体，但具有较严重气味污染的场合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vMerge w:val="continue"/>
            <w:tcBorders>
              <w:top w:val="nil"/>
              <w:left w:val="single" w:color="auto" w:sz="12" w:space="0"/>
              <w:bottom w:val="single" w:color="auto" w:sz="4" w:space="0"/>
              <w:right w:val="single" w:color="auto" w:sz="4" w:space="0"/>
            </w:tcBorders>
            <w:vAlign w:val="center"/>
          </w:tcPr>
          <w:p>
            <w:pPr>
              <w:widowControl/>
              <w:jc w:val="left"/>
              <w:rPr>
                <w:rFonts w:ascii="Times New Roman" w:hAnsi="Times New Roman"/>
                <w:sz w:val="18"/>
                <w:szCs w:val="18"/>
              </w:rPr>
            </w:pPr>
          </w:p>
        </w:tc>
        <w:tc>
          <w:tcPr>
            <w:tcW w:w="1175" w:type="dxa"/>
            <w:tcBorders>
              <w:top w:val="single" w:color="auto" w:sz="4" w:space="0"/>
              <w:left w:val="nil"/>
              <w:bottom w:val="single" w:color="auto" w:sz="4" w:space="0"/>
              <w:right w:val="single" w:color="auto" w:sz="4" w:space="0"/>
            </w:tcBorders>
            <w:vAlign w:val="center"/>
          </w:tcPr>
          <w:p>
            <w:pPr>
              <w:pStyle w:val="54"/>
              <w:ind w:firstLine="0" w:firstLineChars="0"/>
              <w:jc w:val="left"/>
              <w:rPr>
                <w:rFonts w:ascii="Times New Roman" w:hAnsi="Times New Roman"/>
                <w:sz w:val="18"/>
                <w:szCs w:val="18"/>
              </w:rPr>
            </w:pPr>
            <w:r>
              <w:rPr>
                <w:rFonts w:ascii="Times New Roman" w:hAnsi="Times New Roman"/>
                <w:sz w:val="18"/>
                <w:szCs w:val="18"/>
              </w:rPr>
              <w:t>等离子法</w:t>
            </w:r>
          </w:p>
        </w:tc>
        <w:tc>
          <w:tcPr>
            <w:tcW w:w="3504" w:type="dxa"/>
            <w:tcBorders>
              <w:top w:val="single" w:color="auto" w:sz="4" w:space="0"/>
              <w:left w:val="nil"/>
              <w:bottom w:val="single" w:color="auto" w:sz="4" w:space="0"/>
              <w:right w:val="single" w:color="auto" w:sz="4" w:space="0"/>
            </w:tcBorders>
            <w:vAlign w:val="center"/>
          </w:tcPr>
          <w:p>
            <w:pPr>
              <w:pStyle w:val="54"/>
              <w:ind w:firstLine="0" w:firstLineChars="0"/>
              <w:rPr>
                <w:rFonts w:ascii="Times New Roman" w:hAnsi="Times New Roman"/>
                <w:sz w:val="18"/>
                <w:szCs w:val="18"/>
              </w:rPr>
            </w:pPr>
            <w:r>
              <w:rPr>
                <w:rFonts w:ascii="Times New Roman" w:hAnsi="Times New Roman"/>
                <w:sz w:val="18"/>
                <w:szCs w:val="18"/>
              </w:rPr>
              <w:t>利用外加电压产生高能等离子体去激活、电离、裂解VOCs组分，使之发生分解、氧化等一系列复杂的化学反应</w:t>
            </w:r>
          </w:p>
        </w:tc>
        <w:tc>
          <w:tcPr>
            <w:tcW w:w="1132" w:type="dxa"/>
            <w:tcBorders>
              <w:top w:val="single" w:color="auto" w:sz="4" w:space="0"/>
              <w:left w:val="nil"/>
              <w:bottom w:val="single" w:color="auto" w:sz="4" w:space="0"/>
              <w:right w:val="single" w:color="auto" w:sz="4" w:space="0"/>
            </w:tcBorders>
            <w:vAlign w:val="center"/>
          </w:tcPr>
          <w:p>
            <w:pPr>
              <w:pStyle w:val="54"/>
              <w:ind w:firstLine="0" w:firstLineChars="0"/>
              <w:jc w:val="center"/>
              <w:rPr>
                <w:rFonts w:ascii="Times New Roman" w:hAnsi="Times New Roman"/>
                <w:sz w:val="18"/>
                <w:szCs w:val="18"/>
              </w:rPr>
            </w:pPr>
            <w:r>
              <w:rPr>
                <w:rFonts w:ascii="Times New Roman" w:hAnsi="Times New Roman"/>
                <w:sz w:val="18"/>
                <w:szCs w:val="18"/>
              </w:rPr>
              <w:t>低浓度</w:t>
            </w:r>
          </w:p>
        </w:tc>
        <w:tc>
          <w:tcPr>
            <w:tcW w:w="1968" w:type="dxa"/>
            <w:gridSpan w:val="2"/>
            <w:vMerge w:val="continue"/>
            <w:tcBorders>
              <w:top w:val="single" w:color="auto" w:sz="4" w:space="0"/>
              <w:left w:val="nil"/>
              <w:bottom w:val="single" w:color="auto" w:sz="4" w:space="0"/>
              <w:right w:val="single" w:color="auto" w:sz="12" w:space="0"/>
            </w:tcBorders>
            <w:vAlign w:val="center"/>
          </w:tcPr>
          <w:p>
            <w:pPr>
              <w:widowControl/>
              <w:jc w:val="left"/>
              <w:rPr>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vMerge w:val="continue"/>
            <w:tcBorders>
              <w:top w:val="nil"/>
              <w:left w:val="single" w:color="auto" w:sz="12" w:space="0"/>
              <w:bottom w:val="single" w:color="auto" w:sz="4" w:space="0"/>
              <w:right w:val="single" w:color="auto" w:sz="4" w:space="0"/>
            </w:tcBorders>
            <w:vAlign w:val="center"/>
          </w:tcPr>
          <w:p>
            <w:pPr>
              <w:widowControl/>
              <w:jc w:val="left"/>
              <w:rPr>
                <w:rFonts w:ascii="Times New Roman" w:hAnsi="Times New Roman"/>
                <w:sz w:val="18"/>
                <w:szCs w:val="18"/>
              </w:rPr>
            </w:pPr>
          </w:p>
        </w:tc>
        <w:tc>
          <w:tcPr>
            <w:tcW w:w="1175" w:type="dxa"/>
            <w:tcBorders>
              <w:top w:val="single" w:color="auto" w:sz="4" w:space="0"/>
              <w:left w:val="nil"/>
              <w:bottom w:val="single" w:color="auto" w:sz="4" w:space="0"/>
              <w:right w:val="single" w:color="auto" w:sz="4" w:space="0"/>
            </w:tcBorders>
            <w:vAlign w:val="center"/>
          </w:tcPr>
          <w:p>
            <w:pPr>
              <w:pStyle w:val="54"/>
              <w:ind w:firstLine="0" w:firstLineChars="0"/>
              <w:jc w:val="left"/>
              <w:rPr>
                <w:rFonts w:ascii="Times New Roman" w:hAnsi="Times New Roman"/>
                <w:sz w:val="18"/>
                <w:szCs w:val="18"/>
              </w:rPr>
            </w:pPr>
            <w:r>
              <w:rPr>
                <w:rFonts w:ascii="Times New Roman" w:hAnsi="Times New Roman"/>
                <w:sz w:val="18"/>
                <w:szCs w:val="18"/>
              </w:rPr>
              <w:t>生物法</w:t>
            </w:r>
          </w:p>
        </w:tc>
        <w:tc>
          <w:tcPr>
            <w:tcW w:w="3504" w:type="dxa"/>
            <w:tcBorders>
              <w:top w:val="single" w:color="auto" w:sz="4" w:space="0"/>
              <w:left w:val="nil"/>
              <w:bottom w:val="single" w:color="auto" w:sz="4" w:space="0"/>
              <w:right w:val="single" w:color="auto" w:sz="4" w:space="0"/>
            </w:tcBorders>
            <w:vAlign w:val="center"/>
          </w:tcPr>
          <w:p>
            <w:pPr>
              <w:pStyle w:val="54"/>
              <w:ind w:firstLine="0" w:firstLineChars="0"/>
              <w:rPr>
                <w:rFonts w:ascii="Times New Roman" w:hAnsi="Times New Roman"/>
                <w:sz w:val="18"/>
                <w:szCs w:val="18"/>
              </w:rPr>
            </w:pPr>
            <w:r>
              <w:rPr>
                <w:rFonts w:ascii="Times New Roman" w:hAnsi="Times New Roman"/>
                <w:sz w:val="18"/>
                <w:szCs w:val="18"/>
              </w:rPr>
              <w:t>微生物以VOCs作为代谢底物，使其降解，转化为无害的、简单的物质</w:t>
            </w:r>
          </w:p>
        </w:tc>
        <w:tc>
          <w:tcPr>
            <w:tcW w:w="1132" w:type="dxa"/>
            <w:tcBorders>
              <w:top w:val="single" w:color="auto" w:sz="4" w:space="0"/>
              <w:left w:val="nil"/>
              <w:bottom w:val="single" w:color="auto" w:sz="4" w:space="0"/>
              <w:right w:val="single" w:color="auto" w:sz="4" w:space="0"/>
            </w:tcBorders>
            <w:vAlign w:val="center"/>
          </w:tcPr>
          <w:p>
            <w:pPr>
              <w:pStyle w:val="54"/>
              <w:ind w:firstLine="0" w:firstLineChars="0"/>
              <w:jc w:val="center"/>
              <w:rPr>
                <w:rFonts w:ascii="Times New Roman" w:hAnsi="Times New Roman"/>
                <w:sz w:val="18"/>
                <w:szCs w:val="18"/>
              </w:rPr>
            </w:pPr>
            <w:r>
              <w:rPr>
                <w:rFonts w:ascii="Times New Roman" w:hAnsi="Times New Roman"/>
                <w:sz w:val="18"/>
                <w:szCs w:val="18"/>
              </w:rPr>
              <w:t>低浓度</w:t>
            </w:r>
          </w:p>
        </w:tc>
        <w:tc>
          <w:tcPr>
            <w:tcW w:w="1968" w:type="dxa"/>
            <w:gridSpan w:val="2"/>
            <w:vMerge w:val="continue"/>
            <w:tcBorders>
              <w:top w:val="single" w:color="auto" w:sz="4" w:space="0"/>
              <w:left w:val="nil"/>
              <w:bottom w:val="single" w:color="auto" w:sz="4" w:space="0"/>
              <w:right w:val="single" w:color="auto" w:sz="12" w:space="0"/>
            </w:tcBorders>
            <w:vAlign w:val="center"/>
          </w:tcPr>
          <w:p>
            <w:pPr>
              <w:widowControl/>
              <w:jc w:val="left"/>
              <w:rPr>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vMerge w:val="continue"/>
            <w:tcBorders>
              <w:top w:val="nil"/>
              <w:left w:val="single" w:color="auto" w:sz="12" w:space="0"/>
              <w:bottom w:val="single" w:color="auto" w:sz="12" w:space="0"/>
              <w:right w:val="single" w:color="auto" w:sz="4" w:space="0"/>
            </w:tcBorders>
            <w:vAlign w:val="center"/>
          </w:tcPr>
          <w:p>
            <w:pPr>
              <w:widowControl/>
              <w:jc w:val="left"/>
              <w:rPr>
                <w:rFonts w:ascii="Times New Roman" w:hAnsi="Times New Roman"/>
                <w:sz w:val="18"/>
                <w:szCs w:val="18"/>
              </w:rPr>
            </w:pPr>
          </w:p>
        </w:tc>
        <w:tc>
          <w:tcPr>
            <w:tcW w:w="1175" w:type="dxa"/>
            <w:tcBorders>
              <w:top w:val="single" w:color="auto" w:sz="4" w:space="0"/>
              <w:left w:val="nil"/>
              <w:bottom w:val="single" w:color="auto" w:sz="12" w:space="0"/>
              <w:right w:val="single" w:color="auto" w:sz="4" w:space="0"/>
            </w:tcBorders>
            <w:vAlign w:val="center"/>
          </w:tcPr>
          <w:p>
            <w:pPr>
              <w:pStyle w:val="54"/>
              <w:ind w:firstLine="0" w:firstLineChars="0"/>
              <w:jc w:val="left"/>
              <w:rPr>
                <w:rFonts w:ascii="Times New Roman" w:hAnsi="Times New Roman"/>
                <w:sz w:val="18"/>
                <w:szCs w:val="18"/>
              </w:rPr>
            </w:pPr>
            <w:r>
              <w:rPr>
                <w:rFonts w:ascii="Times New Roman" w:hAnsi="Times New Roman"/>
                <w:sz w:val="18"/>
                <w:szCs w:val="18"/>
              </w:rPr>
              <w:t>光催化氧化</w:t>
            </w:r>
          </w:p>
        </w:tc>
        <w:tc>
          <w:tcPr>
            <w:tcW w:w="3504" w:type="dxa"/>
            <w:tcBorders>
              <w:top w:val="single" w:color="auto" w:sz="4" w:space="0"/>
              <w:left w:val="nil"/>
              <w:bottom w:val="single" w:color="auto" w:sz="12" w:space="0"/>
              <w:right w:val="single" w:color="auto" w:sz="4" w:space="0"/>
            </w:tcBorders>
            <w:vAlign w:val="center"/>
          </w:tcPr>
          <w:p>
            <w:pPr>
              <w:pStyle w:val="54"/>
              <w:ind w:firstLine="0" w:firstLineChars="0"/>
              <w:rPr>
                <w:rFonts w:ascii="Times New Roman" w:hAnsi="Times New Roman"/>
                <w:sz w:val="18"/>
                <w:szCs w:val="18"/>
              </w:rPr>
            </w:pPr>
            <w:r>
              <w:rPr>
                <w:rFonts w:ascii="Times New Roman" w:hAnsi="Times New Roman"/>
                <w:sz w:val="18"/>
                <w:szCs w:val="18"/>
              </w:rPr>
              <w:t>利用光催化剂（如TiO</w:t>
            </w:r>
            <w:r>
              <w:rPr>
                <w:rFonts w:ascii="Times New Roman" w:hAnsi="Times New Roman"/>
                <w:sz w:val="18"/>
                <w:szCs w:val="18"/>
                <w:vertAlign w:val="subscript"/>
              </w:rPr>
              <w:t>2</w:t>
            </w:r>
            <w:r>
              <w:rPr>
                <w:rFonts w:ascii="Times New Roman" w:hAnsi="Times New Roman"/>
                <w:sz w:val="18"/>
                <w:szCs w:val="18"/>
              </w:rPr>
              <w:t>），氧化分解VOCs气体</w:t>
            </w:r>
          </w:p>
        </w:tc>
        <w:tc>
          <w:tcPr>
            <w:tcW w:w="1132" w:type="dxa"/>
            <w:tcBorders>
              <w:top w:val="single" w:color="auto" w:sz="4" w:space="0"/>
              <w:left w:val="nil"/>
              <w:bottom w:val="single" w:color="auto" w:sz="12" w:space="0"/>
              <w:right w:val="single" w:color="auto" w:sz="4" w:space="0"/>
            </w:tcBorders>
            <w:vAlign w:val="center"/>
          </w:tcPr>
          <w:p>
            <w:pPr>
              <w:pStyle w:val="54"/>
              <w:ind w:firstLine="0" w:firstLineChars="0"/>
              <w:jc w:val="center"/>
              <w:rPr>
                <w:rFonts w:ascii="Times New Roman" w:hAnsi="Times New Roman"/>
                <w:sz w:val="18"/>
                <w:szCs w:val="18"/>
              </w:rPr>
            </w:pPr>
            <w:r>
              <w:rPr>
                <w:rFonts w:ascii="Times New Roman" w:hAnsi="Times New Roman"/>
                <w:sz w:val="18"/>
                <w:szCs w:val="18"/>
              </w:rPr>
              <w:t>低浓度</w:t>
            </w:r>
          </w:p>
        </w:tc>
        <w:tc>
          <w:tcPr>
            <w:tcW w:w="1968" w:type="dxa"/>
            <w:gridSpan w:val="2"/>
            <w:vMerge w:val="continue"/>
            <w:tcBorders>
              <w:top w:val="single" w:color="auto" w:sz="4" w:space="0"/>
              <w:left w:val="nil"/>
              <w:bottom w:val="single" w:color="auto" w:sz="12" w:space="0"/>
              <w:right w:val="single" w:color="auto" w:sz="12" w:space="0"/>
            </w:tcBorders>
            <w:vAlign w:val="center"/>
          </w:tcPr>
          <w:p>
            <w:pPr>
              <w:widowControl/>
              <w:jc w:val="left"/>
              <w:rPr>
                <w:rFonts w:ascii="Times New Roman" w:hAnsi="Times New Roman"/>
                <w:sz w:val="18"/>
                <w:szCs w:val="18"/>
              </w:rPr>
            </w:pPr>
          </w:p>
        </w:tc>
      </w:tr>
    </w:tbl>
    <w:p>
      <w:pPr>
        <w:pStyle w:val="68"/>
        <w:rPr>
          <w:rFonts w:cs="Times New Roman"/>
        </w:rPr>
      </w:pPr>
      <w:r>
        <w:rPr>
          <w:rFonts w:cs="Times New Roman"/>
        </w:rPr>
        <w:t>对于有机废气处理，不同处理技术有各自的优势和不足，表4-2总结了常用有机废气处理技术优缺点。</w:t>
      </w:r>
    </w:p>
    <w:p>
      <w:pPr>
        <w:pStyle w:val="13"/>
        <w:spacing w:before="156" w:beforeLines="50" w:after="156" w:afterLines="50"/>
      </w:pPr>
      <w:r>
        <w:t>表4-2 常用有机处理技术优缺点</w:t>
      </w:r>
    </w:p>
    <w:tbl>
      <w:tblPr>
        <w:tblStyle w:val="34"/>
        <w:tblW w:w="8316" w:type="dxa"/>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49"/>
        <w:gridCol w:w="599"/>
        <w:gridCol w:w="2963"/>
        <w:gridCol w:w="41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4" w:hRule="atLeast"/>
        </w:trPr>
        <w:tc>
          <w:tcPr>
            <w:tcW w:w="1248" w:type="dxa"/>
            <w:gridSpan w:val="2"/>
            <w:shd w:val="clear" w:color="auto" w:fill="FFFFFF"/>
            <w:vAlign w:val="center"/>
          </w:tcPr>
          <w:p>
            <w:pPr>
              <w:pStyle w:val="31"/>
              <w:adjustRightInd w:val="0"/>
              <w:snapToGrid w:val="0"/>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治理技术</w:t>
            </w:r>
          </w:p>
        </w:tc>
        <w:tc>
          <w:tcPr>
            <w:tcW w:w="2963" w:type="dxa"/>
            <w:shd w:val="clear" w:color="auto" w:fill="FFFFFF"/>
            <w:vAlign w:val="center"/>
          </w:tcPr>
          <w:p>
            <w:pPr>
              <w:pStyle w:val="31"/>
              <w:adjustRightInd w:val="0"/>
              <w:snapToGrid w:val="0"/>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主要优点</w:t>
            </w:r>
          </w:p>
        </w:tc>
        <w:tc>
          <w:tcPr>
            <w:tcW w:w="4105" w:type="dxa"/>
            <w:shd w:val="clear" w:color="auto" w:fill="FFFFFF"/>
            <w:vAlign w:val="center"/>
          </w:tcPr>
          <w:p>
            <w:pPr>
              <w:pStyle w:val="31"/>
              <w:adjustRightInd w:val="0"/>
              <w:snapToGrid w:val="0"/>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主要缺点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649" w:type="dxa"/>
            <w:vMerge w:val="restart"/>
            <w:shd w:val="clear" w:color="auto" w:fill="FFFFFF"/>
            <w:vAlign w:val="center"/>
          </w:tcPr>
          <w:p>
            <w:pPr>
              <w:pStyle w:val="31"/>
              <w:adjustRightInd w:val="0"/>
              <w:snapToGrid w:val="0"/>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热力焚烧技术</w:t>
            </w:r>
          </w:p>
        </w:tc>
        <w:tc>
          <w:tcPr>
            <w:tcW w:w="599" w:type="dxa"/>
            <w:shd w:val="clear" w:color="auto" w:fill="FFFFFF"/>
            <w:vAlign w:val="center"/>
          </w:tcPr>
          <w:p>
            <w:pPr>
              <w:pStyle w:val="31"/>
              <w:adjustRightInd w:val="0"/>
              <w:snapToGrid w:val="0"/>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TO</w:t>
            </w:r>
          </w:p>
        </w:tc>
        <w:tc>
          <w:tcPr>
            <w:tcW w:w="2963" w:type="dxa"/>
            <w:shd w:val="clear" w:color="auto" w:fill="FFFFFF"/>
            <w:vAlign w:val="center"/>
          </w:tcPr>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1.净化效率高</w:t>
            </w:r>
          </w:p>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2.可净化各种有机废气，不需要预处理，不稳定因素少，可靠性高</w:t>
            </w:r>
          </w:p>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3.在废气浓度高、设计合理的条件下，可回用热能</w:t>
            </w:r>
          </w:p>
        </w:tc>
        <w:tc>
          <w:tcPr>
            <w:tcW w:w="4105" w:type="dxa"/>
            <w:shd w:val="clear" w:color="auto" w:fill="FFFFFF"/>
            <w:vAlign w:val="center"/>
          </w:tcPr>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1.处理温度高，能耗大</w:t>
            </w:r>
          </w:p>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2.存在二次污染</w:t>
            </w:r>
          </w:p>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3.燃烧装置、燃烧室、热回收装置造价高，维修较难</w:t>
            </w:r>
          </w:p>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4.处理大流量、低浓度废气能耗过大，运行费用高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649" w:type="dxa"/>
            <w:vMerge w:val="continue"/>
            <w:shd w:val="clear" w:color="auto" w:fill="FFFFFF"/>
            <w:vAlign w:val="center"/>
          </w:tcPr>
          <w:p>
            <w:pPr>
              <w:adjustRightInd w:val="0"/>
              <w:snapToGrid w:val="0"/>
              <w:jc w:val="center"/>
              <w:rPr>
                <w:rFonts w:ascii="Times New Roman" w:hAnsi="Times New Roman"/>
                <w:sz w:val="18"/>
                <w:szCs w:val="18"/>
              </w:rPr>
            </w:pPr>
          </w:p>
        </w:tc>
        <w:tc>
          <w:tcPr>
            <w:tcW w:w="599" w:type="dxa"/>
            <w:shd w:val="clear" w:color="auto" w:fill="FFFFFF"/>
            <w:vAlign w:val="center"/>
          </w:tcPr>
          <w:p>
            <w:pPr>
              <w:pStyle w:val="31"/>
              <w:adjustRightInd w:val="0"/>
              <w:snapToGrid w:val="0"/>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RTO</w:t>
            </w:r>
          </w:p>
        </w:tc>
        <w:tc>
          <w:tcPr>
            <w:tcW w:w="2963" w:type="dxa"/>
            <w:shd w:val="clear" w:color="auto" w:fill="FFFFFF"/>
            <w:vAlign w:val="center"/>
          </w:tcPr>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1.具有TO的各项优点，但对复杂的有机废气需要预处理</w:t>
            </w:r>
          </w:p>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2.能耗远低于TO，可处理大流量低浓度废气</w:t>
            </w:r>
          </w:p>
        </w:tc>
        <w:tc>
          <w:tcPr>
            <w:tcW w:w="4105" w:type="dxa"/>
            <w:shd w:val="clear" w:color="auto" w:fill="FFFFFF"/>
            <w:vAlign w:val="center"/>
          </w:tcPr>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1.处理温度比TO低，但仍较高，因而仍有少量二次污染</w:t>
            </w:r>
          </w:p>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2.造价较高</w:t>
            </w:r>
          </w:p>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3.占地面积大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649" w:type="dxa"/>
            <w:vMerge w:val="restart"/>
            <w:shd w:val="clear" w:color="auto" w:fill="FFFFFF"/>
            <w:vAlign w:val="center"/>
          </w:tcPr>
          <w:p>
            <w:pPr>
              <w:pStyle w:val="31"/>
              <w:adjustRightInd w:val="0"/>
              <w:snapToGrid w:val="0"/>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催化燃烧技术</w:t>
            </w:r>
          </w:p>
        </w:tc>
        <w:tc>
          <w:tcPr>
            <w:tcW w:w="599" w:type="dxa"/>
            <w:shd w:val="clear" w:color="auto" w:fill="FFFFFF"/>
            <w:vAlign w:val="center"/>
          </w:tcPr>
          <w:p>
            <w:pPr>
              <w:pStyle w:val="31"/>
              <w:adjustRightInd w:val="0"/>
              <w:snapToGrid w:val="0"/>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CO</w:t>
            </w:r>
          </w:p>
        </w:tc>
        <w:tc>
          <w:tcPr>
            <w:tcW w:w="2963" w:type="dxa"/>
            <w:shd w:val="clear" w:color="auto" w:fill="FFFFFF"/>
            <w:vAlign w:val="center"/>
          </w:tcPr>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1.净化效率高，无二次污染</w:t>
            </w:r>
          </w:p>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2.能耗较低，在相同条件下约比TO低50%，因而运行费用低</w:t>
            </w:r>
          </w:p>
        </w:tc>
        <w:tc>
          <w:tcPr>
            <w:tcW w:w="4105" w:type="dxa"/>
            <w:shd w:val="clear" w:color="auto" w:fill="FFFFFF"/>
            <w:vAlign w:val="center"/>
          </w:tcPr>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1.用电能预热时，不能处理低浓度废气</w:t>
            </w:r>
          </w:p>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2.催化剂成本高，且有使用寿命限制</w:t>
            </w:r>
          </w:p>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3.复杂废气需预处理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649" w:type="dxa"/>
            <w:vMerge w:val="continue"/>
            <w:shd w:val="clear" w:color="auto" w:fill="FFFFFF"/>
            <w:vAlign w:val="center"/>
          </w:tcPr>
          <w:p>
            <w:pPr>
              <w:adjustRightInd w:val="0"/>
              <w:snapToGrid w:val="0"/>
              <w:jc w:val="center"/>
              <w:rPr>
                <w:rFonts w:ascii="Times New Roman" w:hAnsi="Times New Roman"/>
                <w:sz w:val="18"/>
                <w:szCs w:val="18"/>
              </w:rPr>
            </w:pPr>
          </w:p>
        </w:tc>
        <w:tc>
          <w:tcPr>
            <w:tcW w:w="599" w:type="dxa"/>
            <w:shd w:val="clear" w:color="auto" w:fill="FFFFFF"/>
            <w:vAlign w:val="center"/>
          </w:tcPr>
          <w:p>
            <w:pPr>
              <w:pStyle w:val="31"/>
              <w:adjustRightInd w:val="0"/>
              <w:snapToGrid w:val="0"/>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RCO</w:t>
            </w:r>
          </w:p>
        </w:tc>
        <w:tc>
          <w:tcPr>
            <w:tcW w:w="2963" w:type="dxa"/>
            <w:shd w:val="clear" w:color="auto" w:fill="FFFFFF"/>
            <w:vAlign w:val="center"/>
          </w:tcPr>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1.净化效率高，无二次污染</w:t>
            </w:r>
          </w:p>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2.在各种燃烧法中能耗最低，废气浓度在1~1.5 g/m</w:t>
            </w:r>
            <w:r>
              <w:rPr>
                <w:rFonts w:ascii="Times New Roman" w:hAnsi="Times New Roman" w:cs="Times New Roman"/>
                <w:kern w:val="2"/>
                <w:sz w:val="18"/>
                <w:szCs w:val="18"/>
                <w:vertAlign w:val="superscript"/>
              </w:rPr>
              <w:t>3</w:t>
            </w:r>
            <w:r>
              <w:rPr>
                <w:rFonts w:ascii="Times New Roman" w:hAnsi="Times New Roman" w:cs="Times New Roman"/>
                <w:kern w:val="2"/>
                <w:sz w:val="18"/>
                <w:szCs w:val="18"/>
              </w:rPr>
              <w:t>时即能无耗运行</w:t>
            </w:r>
          </w:p>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3.能处理各种有机废气</w:t>
            </w:r>
          </w:p>
        </w:tc>
        <w:tc>
          <w:tcPr>
            <w:tcW w:w="4105" w:type="dxa"/>
            <w:shd w:val="clear" w:color="auto" w:fill="FFFFFF"/>
            <w:vAlign w:val="center"/>
          </w:tcPr>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1.整体式占地面积小，但维修困难</w:t>
            </w:r>
          </w:p>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2.分体式占地面积大</w:t>
            </w:r>
          </w:p>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3.整体式不宜用于高浓度（4 g/m</w:t>
            </w:r>
            <w:r>
              <w:rPr>
                <w:rFonts w:ascii="Times New Roman" w:hAnsi="Times New Roman" w:cs="Times New Roman"/>
                <w:kern w:val="2"/>
                <w:sz w:val="18"/>
                <w:szCs w:val="18"/>
                <w:vertAlign w:val="superscript"/>
              </w:rPr>
              <w:t>3</w:t>
            </w:r>
            <w:r>
              <w:rPr>
                <w:rFonts w:ascii="Times New Roman" w:hAnsi="Times New Roman" w:cs="Times New Roman"/>
                <w:kern w:val="2"/>
                <w:sz w:val="18"/>
                <w:szCs w:val="18"/>
              </w:rPr>
              <w:t>），否则催化床会超温</w:t>
            </w:r>
          </w:p>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4.复杂废气需预处理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248" w:type="dxa"/>
            <w:gridSpan w:val="2"/>
            <w:shd w:val="clear" w:color="auto" w:fill="FFFFFF"/>
            <w:vAlign w:val="center"/>
          </w:tcPr>
          <w:p>
            <w:pPr>
              <w:pStyle w:val="31"/>
              <w:adjustRightInd w:val="0"/>
              <w:snapToGrid w:val="0"/>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吸附技术</w:t>
            </w:r>
          </w:p>
        </w:tc>
        <w:tc>
          <w:tcPr>
            <w:tcW w:w="2963" w:type="dxa"/>
            <w:shd w:val="clear" w:color="auto" w:fill="FFFFFF"/>
            <w:vAlign w:val="center"/>
          </w:tcPr>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1.可净化大流量低浓度废气</w:t>
            </w:r>
          </w:p>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2.对单一品种废气可回收溶剂</w:t>
            </w:r>
          </w:p>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3.运行费用较低</w:t>
            </w:r>
          </w:p>
        </w:tc>
        <w:tc>
          <w:tcPr>
            <w:tcW w:w="4105" w:type="dxa"/>
            <w:shd w:val="clear" w:color="auto" w:fill="FFFFFF"/>
            <w:vAlign w:val="center"/>
          </w:tcPr>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1.吸附剂需补充和再生</w:t>
            </w:r>
          </w:p>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2.对温度较高废气需先行冷却</w:t>
            </w:r>
          </w:p>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3.复杂废气需预处理</w:t>
            </w:r>
          </w:p>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4.管理不便</w:t>
            </w:r>
          </w:p>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5.存在二次污染</w:t>
            </w:r>
          </w:p>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6.安全性差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248" w:type="dxa"/>
            <w:gridSpan w:val="2"/>
            <w:shd w:val="clear" w:color="auto" w:fill="FFFFFF"/>
            <w:vAlign w:val="center"/>
          </w:tcPr>
          <w:p>
            <w:pPr>
              <w:pStyle w:val="31"/>
              <w:adjustRightInd w:val="0"/>
              <w:snapToGrid w:val="0"/>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吸收技术</w:t>
            </w:r>
          </w:p>
        </w:tc>
        <w:tc>
          <w:tcPr>
            <w:tcW w:w="2963" w:type="dxa"/>
            <w:shd w:val="clear" w:color="auto" w:fill="FFFFFF"/>
            <w:vAlign w:val="center"/>
          </w:tcPr>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1.对亲水性溶剂蒸汽用水作吸附剂时，设备费用低，运行费低，安全</w:t>
            </w:r>
          </w:p>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2.可用油、酯等吸收苯类废气，净化率高</w:t>
            </w:r>
          </w:p>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3.适用于大流量低浓度废气</w:t>
            </w:r>
          </w:p>
        </w:tc>
        <w:tc>
          <w:tcPr>
            <w:tcW w:w="4105" w:type="dxa"/>
            <w:shd w:val="clear" w:color="auto" w:fill="FFFFFF"/>
            <w:vAlign w:val="center"/>
          </w:tcPr>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1.用水作吸附剂时，需要对产生的废水进行处理</w:t>
            </w:r>
          </w:p>
          <w:p>
            <w:pPr>
              <w:pStyle w:val="31"/>
              <w:adjustRightInd w:val="0"/>
              <w:snapToGrid w:val="0"/>
              <w:spacing w:before="0" w:beforeAutospacing="0" w:after="0" w:afterAutospacing="0"/>
              <w:jc w:val="both"/>
              <w:rPr>
                <w:rFonts w:ascii="Times New Roman" w:hAnsi="Times New Roman" w:cs="Times New Roman"/>
                <w:kern w:val="2"/>
                <w:sz w:val="18"/>
                <w:szCs w:val="18"/>
              </w:rPr>
            </w:pPr>
            <w:r>
              <w:rPr>
                <w:rFonts w:ascii="Times New Roman" w:hAnsi="Times New Roman" w:cs="Times New Roman"/>
                <w:kern w:val="2"/>
                <w:sz w:val="18"/>
                <w:szCs w:val="18"/>
              </w:rPr>
              <w:t>2.吸收、脱吸控制管理复杂</w:t>
            </w:r>
          </w:p>
        </w:tc>
      </w:tr>
    </w:tbl>
    <w:p>
      <w:pPr>
        <w:pStyle w:val="3"/>
        <w:ind w:left="578" w:hanging="578"/>
      </w:pPr>
      <w:bookmarkStart w:id="102" w:name="_Toc75787641"/>
      <w:r>
        <w:rPr>
          <w:rFonts w:hint="eastAsia"/>
        </w:rPr>
        <w:t>VOC</w:t>
      </w:r>
      <w:r>
        <w:t>s</w:t>
      </w:r>
      <w:r>
        <w:rPr>
          <w:rFonts w:hint="eastAsia"/>
        </w:rPr>
        <w:t>治理</w:t>
      </w:r>
      <w:r>
        <w:t>情况</w:t>
      </w:r>
      <w:bookmarkEnd w:id="102"/>
    </w:p>
    <w:p>
      <w:pPr>
        <w:keepNext/>
        <w:keepLines/>
        <w:numPr>
          <w:ilvl w:val="2"/>
          <w:numId w:val="1"/>
        </w:numPr>
        <w:spacing w:before="260" w:after="260" w:line="415" w:lineRule="auto"/>
        <w:outlineLvl w:val="2"/>
        <w:rPr>
          <w:rFonts w:ascii="Times New Roman" w:hAnsi="Times New Roman"/>
          <w:b/>
          <w:bCs/>
          <w:sz w:val="30"/>
          <w:szCs w:val="32"/>
        </w:rPr>
      </w:pPr>
      <w:r>
        <w:rPr>
          <w:rFonts w:hint="eastAsia" w:ascii="Times New Roman" w:hAnsi="Times New Roman"/>
          <w:b/>
          <w:bCs/>
          <w:sz w:val="30"/>
          <w:szCs w:val="32"/>
        </w:rPr>
        <w:t>VOC</w:t>
      </w:r>
      <w:r>
        <w:rPr>
          <w:rFonts w:ascii="Times New Roman" w:hAnsi="Times New Roman"/>
          <w:b/>
          <w:bCs/>
          <w:sz w:val="30"/>
          <w:szCs w:val="32"/>
        </w:rPr>
        <w:t>s治理</w:t>
      </w:r>
      <w:r>
        <w:rPr>
          <w:rFonts w:hint="eastAsia" w:ascii="Times New Roman" w:hAnsi="Times New Roman"/>
          <w:b/>
          <w:bCs/>
          <w:sz w:val="30"/>
          <w:szCs w:val="32"/>
        </w:rPr>
        <w:t>技术应用情况</w:t>
      </w:r>
    </w:p>
    <w:p>
      <w:pPr>
        <w:pStyle w:val="68"/>
        <w:rPr>
          <w:rFonts w:cs="Times New Roman"/>
        </w:rPr>
      </w:pPr>
      <w:r>
        <w:rPr>
          <w:rFonts w:hint="eastAsia" w:cs="Times New Roman"/>
        </w:rPr>
        <w:t>全国</w:t>
      </w:r>
      <w:r>
        <w:rPr>
          <w:rFonts w:cs="Times New Roman"/>
        </w:rPr>
        <w:t>第二次污染源普查结果显示，</w:t>
      </w:r>
      <w:r>
        <w:rPr>
          <w:rFonts w:hint="eastAsia" w:cs="Times New Roman"/>
        </w:rPr>
        <w:t>广东省</w:t>
      </w:r>
      <w:r>
        <w:rPr>
          <w:rFonts w:cs="Times New Roman"/>
        </w:rPr>
        <w:t>涉</w:t>
      </w:r>
      <w:r>
        <w:rPr>
          <w:rFonts w:hint="eastAsia" w:cs="Times New Roman"/>
        </w:rPr>
        <w:t>VOC</w:t>
      </w:r>
      <w:r>
        <w:rPr>
          <w:rFonts w:cs="Times New Roman"/>
        </w:rPr>
        <w:t>s排放企业应用的治理技术包括：</w:t>
      </w:r>
      <w:r>
        <w:rPr>
          <w:rFonts w:hint="eastAsia" w:cs="Times New Roman"/>
        </w:rPr>
        <w:t>光催化氧化法、活性炭吸附法、低温等离子体法、光催化+活性炭吸附法、催化燃烧法、光催化+低温等离子体法、低温等离子体+活性炭吸附法、冷凝回收法、吸收法、热力燃烧法、蓄热式热力燃烧法、吸收法+活性炭吸附、生物处理法和蓄热式催化燃烧法。各</w:t>
      </w:r>
      <w:r>
        <w:rPr>
          <w:rFonts w:cs="Times New Roman"/>
        </w:rPr>
        <w:t>种治理技术在全省</w:t>
      </w:r>
      <w:r>
        <w:rPr>
          <w:rFonts w:hint="eastAsia" w:cs="Times New Roman"/>
        </w:rPr>
        <w:t>VOC</w:t>
      </w:r>
      <w:r>
        <w:rPr>
          <w:rFonts w:cs="Times New Roman"/>
        </w:rPr>
        <w:t>s排放企业中</w:t>
      </w:r>
      <w:r>
        <w:rPr>
          <w:rFonts w:hint="eastAsia" w:cs="Times New Roman"/>
        </w:rPr>
        <w:t>应用</w:t>
      </w:r>
      <w:r>
        <w:rPr>
          <w:rFonts w:cs="Times New Roman"/>
        </w:rPr>
        <w:t>比例如图</w:t>
      </w:r>
      <w:r>
        <w:rPr>
          <w:rFonts w:hint="eastAsia" w:cs="Times New Roman"/>
        </w:rPr>
        <w:t>4</w:t>
      </w:r>
      <w:r>
        <w:rPr>
          <w:rFonts w:cs="Times New Roman"/>
        </w:rPr>
        <w:t>-2</w:t>
      </w:r>
      <w:r>
        <w:rPr>
          <w:rFonts w:hint="eastAsia" w:cs="Times New Roman"/>
        </w:rPr>
        <w:t>及表4</w:t>
      </w:r>
      <w:r>
        <w:rPr>
          <w:rFonts w:cs="Times New Roman"/>
        </w:rPr>
        <w:t>-3</w:t>
      </w:r>
      <w:r>
        <w:rPr>
          <w:rFonts w:hint="eastAsia" w:cs="Times New Roman"/>
        </w:rPr>
        <w:t>所示</w:t>
      </w:r>
      <w:r>
        <w:rPr>
          <w:rFonts w:cs="Times New Roman"/>
        </w:rPr>
        <w:t>。</w:t>
      </w:r>
    </w:p>
    <w:p>
      <w:pPr>
        <w:pStyle w:val="68"/>
        <w:rPr>
          <w:rFonts w:cs="Times New Roman"/>
        </w:rPr>
      </w:pPr>
      <w:r>
        <w:rPr>
          <w:rFonts w:hint="eastAsia" w:cs="Times New Roman"/>
        </w:rPr>
        <w:t>图中</w:t>
      </w:r>
      <w:r>
        <w:rPr>
          <w:rFonts w:cs="Times New Roman"/>
        </w:rPr>
        <w:t>可</w:t>
      </w:r>
      <w:r>
        <w:rPr>
          <w:rFonts w:hint="eastAsia" w:cs="Times New Roman"/>
        </w:rPr>
        <w:t>知，光催化氧化法、活性炭吸附法、低温等离子体法以及3种</w:t>
      </w:r>
      <w:r>
        <w:rPr>
          <w:rFonts w:cs="Times New Roman"/>
        </w:rPr>
        <w:t>治理技术组合的治理方案在</w:t>
      </w:r>
      <w:r>
        <w:rPr>
          <w:rFonts w:hint="eastAsia" w:cs="Times New Roman"/>
        </w:rPr>
        <w:t>全省VOC</w:t>
      </w:r>
      <w:r>
        <w:rPr>
          <w:rFonts w:cs="Times New Roman"/>
        </w:rPr>
        <w:t>s排放企业中应用比例最高，</w:t>
      </w:r>
      <w:r>
        <w:rPr>
          <w:rFonts w:hint="eastAsia" w:cs="Times New Roman"/>
        </w:rPr>
        <w:t>占约92</w:t>
      </w:r>
      <w:r>
        <w:rPr>
          <w:rFonts w:cs="Times New Roman"/>
        </w:rPr>
        <w:t>%</w:t>
      </w:r>
      <w:r>
        <w:rPr>
          <w:rFonts w:hint="eastAsia" w:cs="Times New Roman"/>
        </w:rPr>
        <w:t>。三种</w:t>
      </w:r>
      <w:r>
        <w:rPr>
          <w:rFonts w:cs="Times New Roman"/>
        </w:rPr>
        <w:t>低效率的治理技术</w:t>
      </w:r>
      <w:r>
        <w:rPr>
          <w:rFonts w:hint="eastAsia" w:cs="Times New Roman"/>
        </w:rPr>
        <w:t>广泛</w:t>
      </w:r>
      <w:r>
        <w:rPr>
          <w:rFonts w:cs="Times New Roman"/>
        </w:rPr>
        <w:t>应用</w:t>
      </w:r>
      <w:r>
        <w:rPr>
          <w:rFonts w:hint="eastAsia" w:cs="Times New Roman"/>
        </w:rPr>
        <w:t>的</w:t>
      </w:r>
      <w:r>
        <w:rPr>
          <w:rFonts w:cs="Times New Roman"/>
        </w:rPr>
        <w:t>原因一方面是广东省涉</w:t>
      </w:r>
      <w:r>
        <w:rPr>
          <w:rFonts w:hint="eastAsia" w:cs="Times New Roman"/>
        </w:rPr>
        <w:t>VOC</w:t>
      </w:r>
      <w:r>
        <w:rPr>
          <w:rFonts w:cs="Times New Roman"/>
        </w:rPr>
        <w:t>s企业仍以小、微</w:t>
      </w:r>
      <w:r>
        <w:rPr>
          <w:rFonts w:hint="eastAsia" w:cs="Times New Roman"/>
        </w:rPr>
        <w:t>企业</w:t>
      </w:r>
      <w:r>
        <w:rPr>
          <w:rFonts w:cs="Times New Roman"/>
        </w:rPr>
        <w:t>为主，3</w:t>
      </w:r>
      <w:r>
        <w:rPr>
          <w:rFonts w:hint="eastAsia" w:cs="Times New Roman"/>
        </w:rPr>
        <w:t>种</w:t>
      </w:r>
      <w:r>
        <w:rPr>
          <w:rFonts w:cs="Times New Roman"/>
        </w:rPr>
        <w:t>治理技术</w:t>
      </w:r>
      <w:r>
        <w:rPr>
          <w:rFonts w:hint="eastAsia" w:cs="Times New Roman"/>
        </w:rPr>
        <w:t>采购</w:t>
      </w:r>
      <w:r>
        <w:rPr>
          <w:rFonts w:cs="Times New Roman"/>
        </w:rPr>
        <w:t>成本较低</w:t>
      </w:r>
      <w:r>
        <w:rPr>
          <w:rFonts w:hint="eastAsia" w:cs="Times New Roman"/>
        </w:rPr>
        <w:t>，</w:t>
      </w:r>
      <w:r>
        <w:rPr>
          <w:rFonts w:cs="Times New Roman"/>
        </w:rPr>
        <w:t>易于推广</w:t>
      </w:r>
      <w:r>
        <w:rPr>
          <w:rFonts w:hint="eastAsia" w:cs="Times New Roman"/>
        </w:rPr>
        <w:t>；</w:t>
      </w:r>
      <w:r>
        <w:rPr>
          <w:rFonts w:cs="Times New Roman"/>
        </w:rPr>
        <w:t>另一方面也</w:t>
      </w:r>
      <w:r>
        <w:rPr>
          <w:rFonts w:hint="eastAsia" w:cs="Times New Roman"/>
        </w:rPr>
        <w:t>是</w:t>
      </w:r>
      <w:r>
        <w:rPr>
          <w:rFonts w:cs="Times New Roman"/>
        </w:rPr>
        <w:t>我省</w:t>
      </w:r>
      <w:r>
        <w:rPr>
          <w:rFonts w:hint="eastAsia" w:cs="Times New Roman"/>
        </w:rPr>
        <w:t>VOC</w:t>
      </w:r>
      <w:r>
        <w:rPr>
          <w:rFonts w:cs="Times New Roman"/>
        </w:rPr>
        <w:t>s</w:t>
      </w:r>
      <w:r>
        <w:rPr>
          <w:rFonts w:hint="eastAsia" w:cs="Times New Roman"/>
        </w:rPr>
        <w:t>整体</w:t>
      </w:r>
      <w:r>
        <w:rPr>
          <w:rFonts w:cs="Times New Roman"/>
        </w:rPr>
        <w:t>治理</w:t>
      </w:r>
      <w:r>
        <w:rPr>
          <w:rFonts w:hint="eastAsia" w:cs="Times New Roman"/>
        </w:rPr>
        <w:t>水平</w:t>
      </w:r>
      <w:r>
        <w:rPr>
          <w:rFonts w:cs="Times New Roman"/>
        </w:rPr>
        <w:t>不高的体现。</w:t>
      </w:r>
    </w:p>
    <w:p>
      <w:pPr>
        <w:pStyle w:val="68"/>
        <w:ind w:firstLine="0" w:firstLineChars="0"/>
        <w:jc w:val="center"/>
        <w:rPr>
          <w:rFonts w:cs="Times New Roman"/>
        </w:rPr>
      </w:pPr>
      <w:r>
        <w:rPr>
          <w:rFonts w:cs="Times New Roman"/>
        </w:rPr>
        <w:drawing>
          <wp:inline distT="0" distB="0" distL="0" distR="0">
            <wp:extent cx="4945380" cy="3863340"/>
            <wp:effectExtent l="0" t="0" r="762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955969" cy="3871778"/>
                    </a:xfrm>
                    <a:prstGeom prst="rect">
                      <a:avLst/>
                    </a:prstGeom>
                    <a:noFill/>
                  </pic:spPr>
                </pic:pic>
              </a:graphicData>
            </a:graphic>
          </wp:inline>
        </w:drawing>
      </w:r>
    </w:p>
    <w:p>
      <w:pPr>
        <w:pStyle w:val="13"/>
        <w:spacing w:before="156" w:beforeLines="50" w:after="156" w:afterLines="50"/>
      </w:pPr>
      <w:r>
        <w:t xml:space="preserve">图 </w:t>
      </w:r>
      <w:r>
        <w:fldChar w:fldCharType="begin"/>
      </w:r>
      <w:r>
        <w:instrText xml:space="preserve"> STYLEREF 1 \s </w:instrText>
      </w:r>
      <w:r>
        <w:fldChar w:fldCharType="separate"/>
      </w:r>
      <w:r>
        <w:t>4</w:t>
      </w:r>
      <w:r>
        <w:fldChar w:fldCharType="end"/>
      </w:r>
      <w:r>
        <w:noBreakHyphen/>
      </w:r>
      <w:r>
        <w:t xml:space="preserve">2 </w:t>
      </w:r>
      <w:r>
        <w:rPr>
          <w:rFonts w:hint="eastAsia"/>
        </w:rPr>
        <w:t>全省工业企业</w:t>
      </w:r>
      <w:r>
        <w:t>VOCs末端净化技术</w:t>
      </w:r>
      <w:r>
        <w:rPr>
          <w:rFonts w:hint="eastAsia"/>
        </w:rPr>
        <w:t>应用情况</w:t>
      </w:r>
    </w:p>
    <w:p>
      <w:pPr>
        <w:pStyle w:val="68"/>
        <w:ind w:firstLine="0" w:firstLineChars="0"/>
        <w:rPr>
          <w:rFonts w:cs="Times New Roman"/>
        </w:rPr>
      </w:pPr>
    </w:p>
    <w:p>
      <w:pPr>
        <w:pStyle w:val="13"/>
      </w:pPr>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4</w:t>
      </w:r>
      <w:r>
        <w:fldChar w:fldCharType="end"/>
      </w:r>
      <w:r>
        <w:noBreakHyphen/>
      </w:r>
      <w:r>
        <w:t>3</w:t>
      </w:r>
      <w:r>
        <w:rPr>
          <w:spacing w:val="-3"/>
        </w:rPr>
        <w:t xml:space="preserve"> </w:t>
      </w:r>
      <w:r>
        <w:t>不同</w:t>
      </w:r>
      <w:r>
        <w:rPr>
          <w:spacing w:val="-6"/>
        </w:rPr>
        <w:t xml:space="preserve"> </w:t>
      </w:r>
      <w:r>
        <w:rPr>
          <w:spacing w:val="-2"/>
        </w:rPr>
        <w:t>VOC</w:t>
      </w:r>
      <w:r>
        <w:t>s处理</w:t>
      </w:r>
      <w:r>
        <w:rPr>
          <w:spacing w:val="-5"/>
        </w:rPr>
        <w:t>技</w:t>
      </w:r>
      <w:r>
        <w:t>术的</w:t>
      </w:r>
      <w:r>
        <w:rPr>
          <w:spacing w:val="-5"/>
        </w:rPr>
        <w:t>行</w:t>
      </w:r>
      <w:r>
        <w:t>业应用</w:t>
      </w:r>
      <w:r>
        <w:rPr>
          <w:spacing w:val="-5"/>
        </w:rPr>
        <w:t>情</w:t>
      </w:r>
      <w:r>
        <w:t>况</w:t>
      </w:r>
    </w:p>
    <w:tbl>
      <w:tblPr>
        <w:tblStyle w:val="34"/>
        <w:tblW w:w="5000" w:type="pct"/>
        <w:tblInd w:w="0" w:type="dxa"/>
        <w:tblLayout w:type="autofit"/>
        <w:tblCellMar>
          <w:top w:w="0" w:type="dxa"/>
          <w:left w:w="0" w:type="dxa"/>
          <w:bottom w:w="0" w:type="dxa"/>
          <w:right w:w="0" w:type="dxa"/>
        </w:tblCellMar>
      </w:tblPr>
      <w:tblGrid>
        <w:gridCol w:w="1998"/>
        <w:gridCol w:w="609"/>
        <w:gridCol w:w="760"/>
        <w:gridCol w:w="705"/>
        <w:gridCol w:w="1064"/>
        <w:gridCol w:w="1064"/>
        <w:gridCol w:w="1059"/>
        <w:gridCol w:w="1057"/>
      </w:tblGrid>
      <w:tr>
        <w:tblPrEx>
          <w:tblCellMar>
            <w:top w:w="0" w:type="dxa"/>
            <w:left w:w="0" w:type="dxa"/>
            <w:bottom w:w="0" w:type="dxa"/>
            <w:right w:w="0" w:type="dxa"/>
          </w:tblCellMar>
        </w:tblPrEx>
        <w:trPr>
          <w:trHeight w:val="20" w:hRule="atLeast"/>
          <w:tblHeader/>
        </w:trPr>
        <w:tc>
          <w:tcPr>
            <w:tcW w:w="1201" w:type="pct"/>
            <w:vMerge w:val="restart"/>
            <w:tcBorders>
              <w:top w:val="single" w:color="000000" w:sz="4" w:space="0"/>
              <w:left w:val="single" w:color="000000" w:sz="4" w:space="0"/>
              <w:right w:val="single" w:color="000000" w:sz="4" w:space="0"/>
            </w:tcBorders>
            <w:vAlign w:val="center"/>
          </w:tcPr>
          <w:p>
            <w:pPr>
              <w:widowControl/>
              <w:jc w:val="center"/>
              <w:rPr>
                <w:rFonts w:ascii="Times New Roman" w:hAnsi="Times New Roman" w:eastAsiaTheme="minorEastAsia"/>
                <w:b/>
                <w:color w:val="000000"/>
                <w:kern w:val="0"/>
                <w:sz w:val="18"/>
                <w:szCs w:val="18"/>
              </w:rPr>
            </w:pPr>
            <w:r>
              <w:rPr>
                <w:rFonts w:ascii="Times New Roman" w:hAnsi="Times New Roman" w:eastAsiaTheme="minorEastAsia"/>
                <w:b/>
                <w:color w:val="000000"/>
                <w:kern w:val="0"/>
                <w:sz w:val="18"/>
                <w:szCs w:val="18"/>
              </w:rPr>
              <w:t>行业</w:t>
            </w:r>
          </w:p>
        </w:tc>
        <w:tc>
          <w:tcPr>
            <w:tcW w:w="3799" w:type="pct"/>
            <w:gridSpan w:val="7"/>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b/>
                <w:color w:val="000000"/>
                <w:kern w:val="0"/>
                <w:sz w:val="18"/>
                <w:szCs w:val="18"/>
              </w:rPr>
            </w:pPr>
            <w:r>
              <w:rPr>
                <w:rFonts w:ascii="Times New Roman" w:hAnsi="Times New Roman" w:eastAsiaTheme="minorEastAsia"/>
                <w:b/>
                <w:color w:val="000000"/>
                <w:kern w:val="0"/>
                <w:sz w:val="18"/>
                <w:szCs w:val="18"/>
              </w:rPr>
              <w:t>VOCs治理技术应用情况</w:t>
            </w:r>
          </w:p>
        </w:tc>
      </w:tr>
      <w:tr>
        <w:tblPrEx>
          <w:tblCellMar>
            <w:top w:w="0" w:type="dxa"/>
            <w:left w:w="0" w:type="dxa"/>
            <w:bottom w:w="0" w:type="dxa"/>
            <w:right w:w="0" w:type="dxa"/>
          </w:tblCellMar>
        </w:tblPrEx>
        <w:trPr>
          <w:trHeight w:val="20" w:hRule="atLeast"/>
          <w:tblHeader/>
        </w:trPr>
        <w:tc>
          <w:tcPr>
            <w:tcW w:w="1201" w:type="pct"/>
            <w:vMerge w:val="continue"/>
            <w:tcBorders>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b/>
                <w:color w:val="000000"/>
                <w:kern w:val="0"/>
                <w:sz w:val="18"/>
                <w:szCs w:val="18"/>
              </w:rPr>
            </w:pPr>
          </w:p>
        </w:tc>
        <w:tc>
          <w:tcPr>
            <w:tcW w:w="366"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b/>
                <w:color w:val="000000"/>
                <w:kern w:val="0"/>
                <w:sz w:val="18"/>
                <w:szCs w:val="18"/>
              </w:rPr>
            </w:pPr>
            <w:r>
              <w:rPr>
                <w:rFonts w:ascii="Times New Roman" w:hAnsi="Times New Roman" w:eastAsiaTheme="minorEastAsia"/>
                <w:b/>
                <w:color w:val="000000"/>
                <w:kern w:val="0"/>
                <w:sz w:val="18"/>
                <w:szCs w:val="18"/>
              </w:rPr>
              <w:t>吸收</w:t>
            </w:r>
          </w:p>
        </w:tc>
        <w:tc>
          <w:tcPr>
            <w:tcW w:w="45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b/>
                <w:color w:val="000000"/>
                <w:kern w:val="0"/>
                <w:sz w:val="18"/>
                <w:szCs w:val="18"/>
              </w:rPr>
            </w:pPr>
            <w:r>
              <w:rPr>
                <w:rFonts w:ascii="Times New Roman" w:hAnsi="Times New Roman" w:eastAsiaTheme="minorEastAsia"/>
                <w:b/>
                <w:color w:val="000000"/>
                <w:kern w:val="0"/>
                <w:sz w:val="18"/>
                <w:szCs w:val="18"/>
              </w:rPr>
              <w:t>冷凝</w:t>
            </w:r>
          </w:p>
        </w:tc>
        <w:tc>
          <w:tcPr>
            <w:tcW w:w="424"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b/>
                <w:color w:val="000000"/>
                <w:kern w:val="0"/>
                <w:sz w:val="18"/>
                <w:szCs w:val="18"/>
              </w:rPr>
            </w:pPr>
            <w:r>
              <w:rPr>
                <w:rFonts w:ascii="Times New Roman" w:hAnsi="Times New Roman" w:eastAsiaTheme="minorEastAsia"/>
                <w:b/>
                <w:color w:val="000000"/>
                <w:kern w:val="0"/>
                <w:sz w:val="18"/>
                <w:szCs w:val="18"/>
              </w:rPr>
              <w:t>吸附</w:t>
            </w:r>
          </w:p>
        </w:tc>
        <w:tc>
          <w:tcPr>
            <w:tcW w:w="640"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b/>
                <w:color w:val="000000"/>
                <w:kern w:val="0"/>
                <w:sz w:val="18"/>
                <w:szCs w:val="18"/>
              </w:rPr>
            </w:pPr>
            <w:r>
              <w:rPr>
                <w:rFonts w:ascii="Times New Roman" w:hAnsi="Times New Roman" w:eastAsiaTheme="minorEastAsia"/>
                <w:b/>
                <w:color w:val="000000"/>
                <w:kern w:val="0"/>
                <w:sz w:val="18"/>
                <w:szCs w:val="18"/>
              </w:rPr>
              <w:t>催化燃烧</w:t>
            </w:r>
          </w:p>
        </w:tc>
        <w:tc>
          <w:tcPr>
            <w:tcW w:w="640"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b/>
                <w:color w:val="000000"/>
                <w:kern w:val="0"/>
                <w:sz w:val="18"/>
                <w:szCs w:val="18"/>
              </w:rPr>
            </w:pPr>
            <w:r>
              <w:rPr>
                <w:rFonts w:ascii="Times New Roman" w:hAnsi="Times New Roman" w:eastAsiaTheme="minorEastAsia"/>
                <w:b/>
                <w:color w:val="000000"/>
                <w:kern w:val="0"/>
                <w:sz w:val="18"/>
                <w:szCs w:val="18"/>
              </w:rPr>
              <w:t>热力燃烧</w:t>
            </w:r>
          </w:p>
        </w:tc>
        <w:tc>
          <w:tcPr>
            <w:tcW w:w="63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b/>
                <w:color w:val="000000"/>
                <w:kern w:val="0"/>
                <w:sz w:val="18"/>
                <w:szCs w:val="18"/>
              </w:rPr>
            </w:pPr>
            <w:r>
              <w:rPr>
                <w:rFonts w:ascii="Times New Roman" w:hAnsi="Times New Roman" w:eastAsiaTheme="minorEastAsia"/>
                <w:b/>
                <w:color w:val="000000"/>
                <w:kern w:val="0"/>
                <w:sz w:val="18"/>
                <w:szCs w:val="18"/>
              </w:rPr>
              <w:t>等离子体</w:t>
            </w:r>
          </w:p>
        </w:tc>
        <w:tc>
          <w:tcPr>
            <w:tcW w:w="635"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b/>
                <w:color w:val="000000"/>
                <w:kern w:val="0"/>
                <w:sz w:val="18"/>
                <w:szCs w:val="18"/>
              </w:rPr>
            </w:pPr>
            <w:r>
              <w:rPr>
                <w:rFonts w:ascii="Times New Roman" w:hAnsi="Times New Roman" w:eastAsiaTheme="minorEastAsia"/>
                <w:b/>
                <w:color w:val="000000"/>
                <w:kern w:val="0"/>
                <w:sz w:val="18"/>
                <w:szCs w:val="18"/>
              </w:rPr>
              <w:t>生物处理</w:t>
            </w:r>
          </w:p>
        </w:tc>
      </w:tr>
      <w:tr>
        <w:tblPrEx>
          <w:tblCellMar>
            <w:top w:w="0" w:type="dxa"/>
            <w:left w:w="0" w:type="dxa"/>
            <w:bottom w:w="0" w:type="dxa"/>
            <w:right w:w="0" w:type="dxa"/>
          </w:tblCellMar>
        </w:tblPrEx>
        <w:trPr>
          <w:trHeight w:val="20" w:hRule="atLeast"/>
        </w:trPr>
        <w:tc>
          <w:tcPr>
            <w:tcW w:w="1201"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化学工业</w:t>
            </w:r>
          </w:p>
        </w:tc>
        <w:tc>
          <w:tcPr>
            <w:tcW w:w="366"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45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424"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40"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40"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3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35"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r>
      <w:tr>
        <w:trPr>
          <w:trHeight w:val="20" w:hRule="atLeast"/>
        </w:trPr>
        <w:tc>
          <w:tcPr>
            <w:tcW w:w="1201"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涂料制造</w:t>
            </w:r>
          </w:p>
        </w:tc>
        <w:tc>
          <w:tcPr>
            <w:tcW w:w="366"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45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424"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40"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40"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3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35"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r>
      <w:tr>
        <w:trPr>
          <w:trHeight w:val="20" w:hRule="atLeast"/>
        </w:trPr>
        <w:tc>
          <w:tcPr>
            <w:tcW w:w="1201"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医药制造业</w:t>
            </w:r>
          </w:p>
        </w:tc>
        <w:tc>
          <w:tcPr>
            <w:tcW w:w="366"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45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424"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40"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40"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63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35"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r>
      <w:tr>
        <w:trPr>
          <w:trHeight w:val="20" w:hRule="atLeast"/>
        </w:trPr>
        <w:tc>
          <w:tcPr>
            <w:tcW w:w="1201"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交通运输设备制造</w:t>
            </w:r>
          </w:p>
        </w:tc>
        <w:tc>
          <w:tcPr>
            <w:tcW w:w="366"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45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424"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40"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40"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3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35"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r>
      <w:tr>
        <w:trPr>
          <w:trHeight w:val="20" w:hRule="atLeast"/>
        </w:trPr>
        <w:tc>
          <w:tcPr>
            <w:tcW w:w="1201"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印刷</w:t>
            </w:r>
          </w:p>
        </w:tc>
        <w:tc>
          <w:tcPr>
            <w:tcW w:w="366"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45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424"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40"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40"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3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635"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r>
      <w:tr>
        <w:trPr>
          <w:trHeight w:val="20" w:hRule="atLeast"/>
        </w:trPr>
        <w:tc>
          <w:tcPr>
            <w:tcW w:w="1201"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电子工业</w:t>
            </w:r>
          </w:p>
        </w:tc>
        <w:tc>
          <w:tcPr>
            <w:tcW w:w="366"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45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424"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40"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40"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3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635"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r>
      <w:tr>
        <w:trPr>
          <w:trHeight w:val="20" w:hRule="atLeast"/>
        </w:trPr>
        <w:tc>
          <w:tcPr>
            <w:tcW w:w="1201"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塑料制品</w:t>
            </w:r>
          </w:p>
        </w:tc>
        <w:tc>
          <w:tcPr>
            <w:tcW w:w="366"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45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424"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40"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40"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3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635"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r>
      <w:tr>
        <w:trPr>
          <w:trHeight w:val="20" w:hRule="atLeast"/>
        </w:trPr>
        <w:tc>
          <w:tcPr>
            <w:tcW w:w="1201"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电气机械及器材制造</w:t>
            </w:r>
          </w:p>
        </w:tc>
        <w:tc>
          <w:tcPr>
            <w:tcW w:w="366"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45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424"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40"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40"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63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635"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r>
      <w:tr>
        <w:trPr>
          <w:trHeight w:val="20" w:hRule="atLeast"/>
        </w:trPr>
        <w:tc>
          <w:tcPr>
            <w:tcW w:w="1201"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金属制品</w:t>
            </w:r>
          </w:p>
        </w:tc>
        <w:tc>
          <w:tcPr>
            <w:tcW w:w="366"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45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424"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40"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40"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3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35"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r>
      <w:tr>
        <w:trPr>
          <w:trHeight w:val="20" w:hRule="atLeast"/>
        </w:trPr>
        <w:tc>
          <w:tcPr>
            <w:tcW w:w="1201"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食品制造</w:t>
            </w:r>
          </w:p>
        </w:tc>
        <w:tc>
          <w:tcPr>
            <w:tcW w:w="366"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45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424"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40"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40"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63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35"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r>
      <w:tr>
        <w:trPr>
          <w:trHeight w:val="20" w:hRule="atLeast"/>
        </w:trPr>
        <w:tc>
          <w:tcPr>
            <w:tcW w:w="1201"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皮革及其制品</w:t>
            </w:r>
          </w:p>
        </w:tc>
        <w:tc>
          <w:tcPr>
            <w:tcW w:w="366"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45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424"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40"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640"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63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635"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r>
    </w:tbl>
    <w:p>
      <w:pPr>
        <w:pStyle w:val="68"/>
        <w:rPr>
          <w:rFonts w:cs="Times New Roman"/>
        </w:rPr>
      </w:pPr>
      <w:r>
        <w:rPr>
          <w:rFonts w:hint="eastAsia" w:cs="Times New Roman"/>
        </w:rPr>
        <w:t>经资料</w:t>
      </w:r>
      <w:r>
        <w:rPr>
          <w:rFonts w:cs="Times New Roman"/>
        </w:rPr>
        <w:t>调研</w:t>
      </w:r>
      <w:r>
        <w:rPr>
          <w:rFonts w:hint="eastAsia" w:cs="Times New Roman"/>
        </w:rPr>
        <w:t>，从国外VOC</w:t>
      </w:r>
      <w:r>
        <w:rPr>
          <w:rFonts w:cs="Times New Roman"/>
        </w:rPr>
        <w:t>s治理技术应用情况</w:t>
      </w:r>
      <w:r>
        <w:rPr>
          <w:rFonts w:hint="eastAsia" w:cs="Times New Roman"/>
        </w:rPr>
        <w:t>与</w:t>
      </w:r>
      <w:r>
        <w:rPr>
          <w:rFonts w:cs="Times New Roman"/>
        </w:rPr>
        <w:t>我省对比</w:t>
      </w:r>
      <w:r>
        <w:rPr>
          <w:rFonts w:hint="eastAsia" w:cs="Times New Roman"/>
        </w:rPr>
        <w:t>来看</w:t>
      </w:r>
      <w:r>
        <w:rPr>
          <w:rFonts w:cs="Times New Roman"/>
        </w:rPr>
        <w:t>，吸附技术在</w:t>
      </w:r>
      <w:r>
        <w:rPr>
          <w:rFonts w:hint="eastAsia" w:cs="Times New Roman"/>
        </w:rPr>
        <w:t>发达</w:t>
      </w:r>
      <w:r>
        <w:rPr>
          <w:rFonts w:cs="Times New Roman"/>
        </w:rPr>
        <w:t>国家的</w:t>
      </w:r>
      <w:r>
        <w:rPr>
          <w:rFonts w:hint="eastAsia" w:cs="Times New Roman"/>
        </w:rPr>
        <w:t>应用</w:t>
      </w:r>
      <w:r>
        <w:rPr>
          <w:rFonts w:cs="Times New Roman"/>
        </w:rPr>
        <w:t>比例仅为16%</w:t>
      </w:r>
      <w:r>
        <w:rPr>
          <w:rFonts w:hint="eastAsia" w:cs="Times New Roman"/>
        </w:rPr>
        <w:t>，而</w:t>
      </w:r>
      <w:r>
        <w:rPr>
          <w:rFonts w:cs="Times New Roman"/>
        </w:rPr>
        <w:t>我省</w:t>
      </w:r>
      <w:r>
        <w:rPr>
          <w:rFonts w:hint="eastAsia" w:cs="Times New Roman"/>
        </w:rPr>
        <w:t>单一活性炭</w:t>
      </w:r>
      <w:r>
        <w:rPr>
          <w:rFonts w:cs="Times New Roman"/>
        </w:rPr>
        <w:t>吸附</w:t>
      </w:r>
      <w:r>
        <w:rPr>
          <w:rFonts w:hint="eastAsia" w:cs="Times New Roman"/>
        </w:rPr>
        <w:t>技术和活性炭</w:t>
      </w:r>
      <w:r>
        <w:rPr>
          <w:rFonts w:cs="Times New Roman"/>
        </w:rPr>
        <w:t>与</w:t>
      </w:r>
      <w:r>
        <w:rPr>
          <w:rFonts w:hint="eastAsia" w:cs="Times New Roman"/>
        </w:rPr>
        <w:t>低温等离子体、</w:t>
      </w:r>
      <w:r>
        <w:rPr>
          <w:rFonts w:cs="Times New Roman"/>
        </w:rPr>
        <w:t>光催化</w:t>
      </w:r>
      <w:r>
        <w:rPr>
          <w:rFonts w:hint="eastAsia" w:cs="Times New Roman"/>
        </w:rPr>
        <w:t>、</w:t>
      </w:r>
      <w:r>
        <w:rPr>
          <w:rFonts w:cs="Times New Roman"/>
        </w:rPr>
        <w:t>水喷淋</w:t>
      </w:r>
      <w:r>
        <w:rPr>
          <w:rFonts w:hint="eastAsia" w:cs="Times New Roman"/>
        </w:rPr>
        <w:t>组合</w:t>
      </w:r>
      <w:r>
        <w:rPr>
          <w:rFonts w:cs="Times New Roman"/>
        </w:rPr>
        <w:t>的低效治理技术应用比例则高达40%</w:t>
      </w:r>
      <w:r>
        <w:rPr>
          <w:rFonts w:hint="eastAsia" w:cs="Times New Roman"/>
        </w:rPr>
        <w:t>以上，</w:t>
      </w:r>
      <w:r>
        <w:rPr>
          <w:rFonts w:cs="Times New Roman"/>
        </w:rPr>
        <w:t>在</w:t>
      </w:r>
      <w:r>
        <w:rPr>
          <w:rFonts w:hint="eastAsia" w:cs="Times New Roman"/>
        </w:rPr>
        <w:t>以小</w:t>
      </w:r>
      <w:r>
        <w:rPr>
          <w:rFonts w:cs="Times New Roman"/>
        </w:rPr>
        <w:t>、</w:t>
      </w:r>
      <w:r>
        <w:rPr>
          <w:rFonts w:hint="eastAsia" w:cs="Times New Roman"/>
        </w:rPr>
        <w:t>微</w:t>
      </w:r>
      <w:r>
        <w:rPr>
          <w:rFonts w:cs="Times New Roman"/>
        </w:rPr>
        <w:t>企业聚集的区域</w:t>
      </w:r>
      <w:r>
        <w:rPr>
          <w:rFonts w:hint="eastAsia" w:cs="Times New Roman"/>
        </w:rPr>
        <w:t>吸附</w:t>
      </w:r>
      <w:r>
        <w:rPr>
          <w:rFonts w:cs="Times New Roman"/>
        </w:rPr>
        <w:t>法的应用比例甚至高达</w:t>
      </w:r>
      <w:r>
        <w:rPr>
          <w:rFonts w:hint="eastAsia" w:cs="Times New Roman"/>
        </w:rPr>
        <w:t>60</w:t>
      </w:r>
      <w:r>
        <w:rPr>
          <w:rFonts w:cs="Times New Roman"/>
        </w:rPr>
        <w:t>%以上。</w:t>
      </w:r>
      <w:r>
        <w:rPr>
          <w:rFonts w:hint="eastAsia" w:cs="Times New Roman"/>
        </w:rPr>
        <w:t>另外</w:t>
      </w:r>
      <w:r>
        <w:rPr>
          <w:rFonts w:cs="Times New Roman"/>
        </w:rPr>
        <w:t>，生物法</w:t>
      </w:r>
      <w:r>
        <w:rPr>
          <w:rFonts w:hint="eastAsia" w:cs="Times New Roman"/>
        </w:rPr>
        <w:t>在</w:t>
      </w:r>
      <w:r>
        <w:rPr>
          <w:rFonts w:cs="Times New Roman"/>
        </w:rPr>
        <w:t>国外</w:t>
      </w:r>
      <w:r>
        <w:rPr>
          <w:rFonts w:hint="eastAsia" w:cs="Times New Roman"/>
        </w:rPr>
        <w:t>作为</w:t>
      </w:r>
      <w:r>
        <w:rPr>
          <w:rFonts w:cs="Times New Roman"/>
        </w:rPr>
        <w:t>处理低浓度有机废气</w:t>
      </w:r>
      <w:r>
        <w:rPr>
          <w:rFonts w:hint="eastAsia" w:cs="Times New Roman"/>
        </w:rPr>
        <w:t>的治理</w:t>
      </w:r>
      <w:r>
        <w:rPr>
          <w:rFonts w:cs="Times New Roman"/>
        </w:rPr>
        <w:t>技术</w:t>
      </w:r>
      <w:r>
        <w:rPr>
          <w:rFonts w:hint="eastAsia" w:cs="Times New Roman"/>
        </w:rPr>
        <w:t>应用</w:t>
      </w:r>
      <w:r>
        <w:rPr>
          <w:rFonts w:cs="Times New Roman"/>
        </w:rPr>
        <w:t>较为广泛，但</w:t>
      </w:r>
      <w:r>
        <w:rPr>
          <w:rFonts w:hint="eastAsia" w:cs="Times New Roman"/>
        </w:rPr>
        <w:t>我省应用</w:t>
      </w:r>
      <w:r>
        <w:rPr>
          <w:rFonts w:cs="Times New Roman"/>
        </w:rPr>
        <w:t>比例</w:t>
      </w:r>
      <w:r>
        <w:rPr>
          <w:rFonts w:hint="eastAsia" w:cs="Times New Roman"/>
        </w:rPr>
        <w:t>约0.1</w:t>
      </w:r>
      <w:r>
        <w:rPr>
          <w:rFonts w:cs="Times New Roman"/>
        </w:rPr>
        <w:t>%。</w:t>
      </w:r>
    </w:p>
    <w:p>
      <w:pPr>
        <w:pStyle w:val="68"/>
        <w:rPr>
          <w:rFonts w:cs="Times New Roman"/>
        </w:rPr>
      </w:pPr>
      <w:r>
        <w:rPr>
          <w:rFonts w:hint="eastAsia" w:cs="Times New Roman"/>
        </w:rPr>
        <w:t>标准编制</w:t>
      </w:r>
      <w:r>
        <w:rPr>
          <w:rFonts w:cs="Times New Roman"/>
        </w:rPr>
        <w:t>组在</w:t>
      </w:r>
      <w:r>
        <w:rPr>
          <w:rFonts w:hint="eastAsia" w:cs="Times New Roman"/>
        </w:rPr>
        <w:t>某市调研</w:t>
      </w:r>
      <w:r>
        <w:rPr>
          <w:rFonts w:cs="Times New Roman"/>
        </w:rPr>
        <w:t>发现</w:t>
      </w:r>
      <w:r>
        <w:rPr>
          <w:rFonts w:hint="eastAsia" w:cs="Times New Roman"/>
        </w:rPr>
        <w:t>，该市包装印刷、家具制造、制鞋、汽车及零部件制造、金属喷涂以及塑料制品6大VOC</w:t>
      </w:r>
      <w:r>
        <w:rPr>
          <w:rFonts w:cs="Times New Roman"/>
        </w:rPr>
        <w:t>s</w:t>
      </w:r>
      <w:r>
        <w:rPr>
          <w:rFonts w:hint="eastAsia" w:cs="Times New Roman"/>
        </w:rPr>
        <w:t>排放行业的130家典型企业中，采用活性炭吸附及其组合技术的企业最多，约占总数的64%；其次为等离子体法，占企业总数的24%。</w:t>
      </w:r>
    </w:p>
    <w:p>
      <w:pPr>
        <w:keepNext/>
        <w:keepLines/>
        <w:numPr>
          <w:ilvl w:val="2"/>
          <w:numId w:val="1"/>
        </w:numPr>
        <w:spacing w:before="260" w:after="260" w:line="415" w:lineRule="auto"/>
        <w:outlineLvl w:val="2"/>
        <w:rPr>
          <w:rFonts w:ascii="Times New Roman" w:hAnsi="Times New Roman"/>
          <w:b/>
          <w:bCs/>
          <w:sz w:val="30"/>
          <w:szCs w:val="32"/>
        </w:rPr>
      </w:pPr>
      <w:r>
        <w:rPr>
          <w:rFonts w:hint="eastAsia" w:ascii="Times New Roman" w:hAnsi="Times New Roman"/>
          <w:b/>
          <w:bCs/>
          <w:sz w:val="30"/>
          <w:szCs w:val="32"/>
        </w:rPr>
        <w:t>VOC</w:t>
      </w:r>
      <w:r>
        <w:rPr>
          <w:rFonts w:ascii="Times New Roman" w:hAnsi="Times New Roman"/>
          <w:b/>
          <w:bCs/>
          <w:sz w:val="30"/>
          <w:szCs w:val="32"/>
        </w:rPr>
        <w:t>s治理技术</w:t>
      </w:r>
      <w:r>
        <w:rPr>
          <w:rFonts w:hint="eastAsia" w:ascii="Times New Roman" w:hAnsi="Times New Roman"/>
          <w:b/>
          <w:bCs/>
          <w:sz w:val="30"/>
          <w:szCs w:val="32"/>
        </w:rPr>
        <w:t>分析</w:t>
      </w:r>
    </w:p>
    <w:p>
      <w:pPr>
        <w:pStyle w:val="68"/>
        <w:rPr>
          <w:rFonts w:cs="Times New Roman"/>
        </w:rPr>
      </w:pPr>
      <w:r>
        <w:rPr>
          <w:rFonts w:cs="Times New Roman"/>
        </w:rPr>
        <w:t>通过</w:t>
      </w:r>
      <w:r>
        <w:rPr>
          <w:rFonts w:hint="eastAsia" w:cs="Times New Roman"/>
        </w:rPr>
        <w:t>文献</w:t>
      </w:r>
      <w:r>
        <w:rPr>
          <w:rFonts w:cs="Times New Roman"/>
        </w:rPr>
        <w:t>调研及现场监测评估</w:t>
      </w:r>
      <w:r>
        <w:rPr>
          <w:rFonts w:hint="eastAsia" w:cs="Times New Roman"/>
        </w:rPr>
        <w:t>， VOC</w:t>
      </w:r>
      <w:r>
        <w:rPr>
          <w:rFonts w:cs="Times New Roman"/>
        </w:rPr>
        <w:t>s治理技术对不同</w:t>
      </w:r>
      <w:r>
        <w:rPr>
          <w:rFonts w:hint="eastAsia" w:cs="Times New Roman"/>
        </w:rPr>
        <w:t>VOC</w:t>
      </w:r>
      <w:r>
        <w:rPr>
          <w:rFonts w:cs="Times New Roman"/>
        </w:rPr>
        <w:t>s物种的适用性情况如表</w:t>
      </w:r>
      <w:r>
        <w:rPr>
          <w:rFonts w:hint="eastAsia" w:cs="Times New Roman"/>
        </w:rPr>
        <w:t>4</w:t>
      </w:r>
      <w:r>
        <w:rPr>
          <w:rFonts w:cs="Times New Roman"/>
        </w:rPr>
        <w:t>-4</w:t>
      </w:r>
      <w:r>
        <w:rPr>
          <w:rFonts w:hint="eastAsia" w:cs="Times New Roman"/>
        </w:rPr>
        <w:t>所示</w:t>
      </w:r>
    </w:p>
    <w:p>
      <w:pPr>
        <w:pStyle w:val="13"/>
      </w:pPr>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4</w:t>
      </w:r>
      <w:r>
        <w:fldChar w:fldCharType="end"/>
      </w:r>
      <w:r>
        <w:noBreakHyphen/>
      </w:r>
      <w:r>
        <w:t>4不</w:t>
      </w:r>
      <w:r>
        <w:rPr>
          <w:spacing w:val="-5"/>
        </w:rPr>
        <w:t>同</w:t>
      </w:r>
      <w:r>
        <w:t>技术处理</w:t>
      </w:r>
      <w:r>
        <w:rPr>
          <w:spacing w:val="-6"/>
        </w:rPr>
        <w:t xml:space="preserve"> </w:t>
      </w:r>
      <w:r>
        <w:rPr>
          <w:spacing w:val="-2"/>
        </w:rPr>
        <w:t>VOC</w:t>
      </w:r>
      <w:r>
        <w:t>s 种</w:t>
      </w:r>
      <w:r>
        <w:rPr>
          <w:spacing w:val="-5"/>
        </w:rPr>
        <w:t>类</w:t>
      </w:r>
    </w:p>
    <w:tbl>
      <w:tblPr>
        <w:tblStyle w:val="34"/>
        <w:tblW w:w="5000" w:type="pct"/>
        <w:tblInd w:w="0" w:type="dxa"/>
        <w:tblLayout w:type="autofit"/>
        <w:tblCellMar>
          <w:top w:w="0" w:type="dxa"/>
          <w:left w:w="0" w:type="dxa"/>
          <w:bottom w:w="0" w:type="dxa"/>
          <w:right w:w="0" w:type="dxa"/>
        </w:tblCellMar>
      </w:tblPr>
      <w:tblGrid>
        <w:gridCol w:w="545"/>
        <w:gridCol w:w="1865"/>
        <w:gridCol w:w="569"/>
        <w:gridCol w:w="710"/>
        <w:gridCol w:w="659"/>
        <w:gridCol w:w="995"/>
        <w:gridCol w:w="995"/>
        <w:gridCol w:w="990"/>
        <w:gridCol w:w="988"/>
      </w:tblGrid>
      <w:tr>
        <w:trPr>
          <w:trHeight w:val="20" w:hRule="atLeast"/>
          <w:tblHeader/>
        </w:trPr>
        <w:tc>
          <w:tcPr>
            <w:tcW w:w="328" w:type="pct"/>
            <w:vMerge w:val="restart"/>
            <w:tcBorders>
              <w:top w:val="single" w:color="000000" w:sz="4" w:space="0"/>
              <w:left w:val="single" w:color="000000" w:sz="4" w:space="0"/>
              <w:right w:val="single" w:color="000000" w:sz="4" w:space="0"/>
            </w:tcBorders>
            <w:vAlign w:val="center"/>
          </w:tcPr>
          <w:p>
            <w:pPr>
              <w:widowControl/>
              <w:jc w:val="center"/>
              <w:rPr>
                <w:rFonts w:ascii="Times New Roman" w:hAnsi="Times New Roman" w:eastAsiaTheme="minorEastAsia"/>
                <w:b/>
                <w:color w:val="000000"/>
                <w:kern w:val="0"/>
                <w:sz w:val="18"/>
                <w:szCs w:val="18"/>
              </w:rPr>
            </w:pPr>
            <w:r>
              <w:rPr>
                <w:rFonts w:ascii="Times New Roman" w:hAnsi="Times New Roman" w:eastAsiaTheme="minorEastAsia"/>
                <w:b/>
                <w:color w:val="000000"/>
                <w:kern w:val="0"/>
                <w:sz w:val="18"/>
                <w:szCs w:val="18"/>
              </w:rPr>
              <w:t>VOCs 类别</w:t>
            </w:r>
          </w:p>
        </w:tc>
        <w:tc>
          <w:tcPr>
            <w:tcW w:w="1122" w:type="pct"/>
            <w:vMerge w:val="restart"/>
            <w:tcBorders>
              <w:top w:val="single" w:color="000000" w:sz="4" w:space="0"/>
              <w:left w:val="single" w:color="000000" w:sz="4" w:space="0"/>
              <w:right w:val="single" w:color="000000" w:sz="4" w:space="0"/>
            </w:tcBorders>
            <w:vAlign w:val="center"/>
          </w:tcPr>
          <w:p>
            <w:pPr>
              <w:widowControl/>
              <w:jc w:val="center"/>
              <w:rPr>
                <w:rFonts w:ascii="Times New Roman" w:hAnsi="Times New Roman" w:eastAsiaTheme="minorEastAsia"/>
                <w:b/>
                <w:color w:val="000000"/>
                <w:kern w:val="0"/>
                <w:sz w:val="18"/>
                <w:szCs w:val="18"/>
              </w:rPr>
            </w:pPr>
            <w:r>
              <w:rPr>
                <w:rFonts w:ascii="Times New Roman" w:hAnsi="Times New Roman" w:eastAsiaTheme="minorEastAsia"/>
                <w:b/>
                <w:color w:val="000000"/>
                <w:kern w:val="0"/>
                <w:sz w:val="18"/>
                <w:szCs w:val="18"/>
              </w:rPr>
              <w:t>典型物质</w:t>
            </w:r>
          </w:p>
        </w:tc>
        <w:tc>
          <w:tcPr>
            <w:tcW w:w="3549" w:type="pct"/>
            <w:gridSpan w:val="7"/>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b/>
                <w:color w:val="000000"/>
                <w:kern w:val="0"/>
                <w:sz w:val="18"/>
                <w:szCs w:val="18"/>
              </w:rPr>
            </w:pPr>
            <w:r>
              <w:rPr>
                <w:rFonts w:ascii="Times New Roman" w:hAnsi="Times New Roman" w:eastAsiaTheme="minorEastAsia"/>
                <w:b/>
                <w:color w:val="000000"/>
                <w:kern w:val="0"/>
                <w:sz w:val="18"/>
                <w:szCs w:val="18"/>
              </w:rPr>
              <w:t>VOCs治理技术应用情况</w:t>
            </w:r>
          </w:p>
        </w:tc>
      </w:tr>
      <w:tr>
        <w:tblPrEx>
          <w:tblCellMar>
            <w:top w:w="0" w:type="dxa"/>
            <w:left w:w="0" w:type="dxa"/>
            <w:bottom w:w="0" w:type="dxa"/>
            <w:right w:w="0" w:type="dxa"/>
          </w:tblCellMar>
        </w:tblPrEx>
        <w:trPr>
          <w:trHeight w:val="20" w:hRule="atLeast"/>
          <w:tblHeader/>
        </w:trPr>
        <w:tc>
          <w:tcPr>
            <w:tcW w:w="328" w:type="pct"/>
            <w:vMerge w:val="continue"/>
            <w:tcBorders>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b/>
                <w:color w:val="000000"/>
                <w:kern w:val="0"/>
                <w:sz w:val="18"/>
                <w:szCs w:val="18"/>
              </w:rPr>
            </w:pPr>
          </w:p>
        </w:tc>
        <w:tc>
          <w:tcPr>
            <w:tcW w:w="1122" w:type="pct"/>
            <w:vMerge w:val="continue"/>
            <w:tcBorders>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b/>
                <w:color w:val="000000"/>
                <w:kern w:val="0"/>
                <w:sz w:val="18"/>
                <w:szCs w:val="18"/>
              </w:rPr>
            </w:pPr>
          </w:p>
        </w:tc>
        <w:tc>
          <w:tcPr>
            <w:tcW w:w="342"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b/>
                <w:color w:val="000000"/>
                <w:kern w:val="0"/>
                <w:sz w:val="18"/>
                <w:szCs w:val="18"/>
              </w:rPr>
            </w:pPr>
            <w:r>
              <w:rPr>
                <w:rFonts w:ascii="Times New Roman" w:hAnsi="Times New Roman" w:eastAsiaTheme="minorEastAsia"/>
                <w:b/>
                <w:color w:val="000000"/>
                <w:kern w:val="0"/>
                <w:sz w:val="18"/>
                <w:szCs w:val="18"/>
              </w:rPr>
              <w:t>吸收</w:t>
            </w:r>
          </w:p>
        </w:tc>
        <w:tc>
          <w:tcPr>
            <w:tcW w:w="42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b/>
                <w:color w:val="000000"/>
                <w:kern w:val="0"/>
                <w:sz w:val="18"/>
                <w:szCs w:val="18"/>
              </w:rPr>
            </w:pPr>
            <w:r>
              <w:rPr>
                <w:rFonts w:ascii="Times New Roman" w:hAnsi="Times New Roman" w:eastAsiaTheme="minorEastAsia"/>
                <w:b/>
                <w:color w:val="000000"/>
                <w:kern w:val="0"/>
                <w:sz w:val="18"/>
                <w:szCs w:val="18"/>
              </w:rPr>
              <w:t>冷凝</w:t>
            </w:r>
          </w:p>
        </w:tc>
        <w:tc>
          <w:tcPr>
            <w:tcW w:w="396"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b/>
                <w:color w:val="000000"/>
                <w:kern w:val="0"/>
                <w:sz w:val="18"/>
                <w:szCs w:val="18"/>
              </w:rPr>
            </w:pPr>
            <w:r>
              <w:rPr>
                <w:rFonts w:ascii="Times New Roman" w:hAnsi="Times New Roman" w:eastAsiaTheme="minorEastAsia"/>
                <w:b/>
                <w:color w:val="000000"/>
                <w:kern w:val="0"/>
                <w:sz w:val="18"/>
                <w:szCs w:val="18"/>
              </w:rPr>
              <w:t>吸附</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b/>
                <w:color w:val="000000"/>
                <w:kern w:val="0"/>
                <w:sz w:val="18"/>
                <w:szCs w:val="18"/>
              </w:rPr>
            </w:pPr>
            <w:r>
              <w:rPr>
                <w:rFonts w:ascii="Times New Roman" w:hAnsi="Times New Roman" w:eastAsiaTheme="minorEastAsia"/>
                <w:b/>
                <w:color w:val="000000"/>
                <w:kern w:val="0"/>
                <w:sz w:val="18"/>
                <w:szCs w:val="18"/>
              </w:rPr>
              <w:t>催化燃烧</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b/>
                <w:color w:val="000000"/>
                <w:kern w:val="0"/>
                <w:sz w:val="18"/>
                <w:szCs w:val="18"/>
              </w:rPr>
            </w:pPr>
            <w:r>
              <w:rPr>
                <w:rFonts w:ascii="Times New Roman" w:hAnsi="Times New Roman" w:eastAsiaTheme="minorEastAsia"/>
                <w:b/>
                <w:color w:val="000000"/>
                <w:kern w:val="0"/>
                <w:sz w:val="18"/>
                <w:szCs w:val="18"/>
              </w:rPr>
              <w:t>热力燃烧</w:t>
            </w:r>
          </w:p>
        </w:tc>
        <w:tc>
          <w:tcPr>
            <w:tcW w:w="595"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b/>
                <w:color w:val="000000"/>
                <w:kern w:val="0"/>
                <w:sz w:val="18"/>
                <w:szCs w:val="18"/>
              </w:rPr>
            </w:pPr>
            <w:r>
              <w:rPr>
                <w:rFonts w:ascii="Times New Roman" w:hAnsi="Times New Roman" w:eastAsiaTheme="minorEastAsia"/>
                <w:b/>
                <w:color w:val="000000"/>
                <w:kern w:val="0"/>
                <w:sz w:val="18"/>
                <w:szCs w:val="18"/>
              </w:rPr>
              <w:t>等离子体</w:t>
            </w:r>
          </w:p>
        </w:tc>
        <w:tc>
          <w:tcPr>
            <w:tcW w:w="594"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b/>
                <w:color w:val="000000"/>
                <w:kern w:val="0"/>
                <w:sz w:val="18"/>
                <w:szCs w:val="18"/>
              </w:rPr>
            </w:pPr>
            <w:r>
              <w:rPr>
                <w:rFonts w:ascii="Times New Roman" w:hAnsi="Times New Roman" w:eastAsiaTheme="minorEastAsia"/>
                <w:b/>
                <w:color w:val="000000"/>
                <w:kern w:val="0"/>
                <w:sz w:val="18"/>
                <w:szCs w:val="18"/>
              </w:rPr>
              <w:t>生物处理</w:t>
            </w:r>
          </w:p>
        </w:tc>
      </w:tr>
      <w:tr>
        <w:trPr>
          <w:trHeight w:val="20" w:hRule="atLeast"/>
        </w:trPr>
        <w:tc>
          <w:tcPr>
            <w:tcW w:w="32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苯系物</w:t>
            </w:r>
          </w:p>
        </w:tc>
        <w:tc>
          <w:tcPr>
            <w:tcW w:w="1122"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苯、甲苯、二甲苯、三甲苯、乙苯、苯乙烯</w:t>
            </w:r>
          </w:p>
        </w:tc>
        <w:tc>
          <w:tcPr>
            <w:tcW w:w="342"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42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396"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5"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4"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r>
      <w:tr>
        <w:trPr>
          <w:trHeight w:val="20" w:hRule="atLeast"/>
        </w:trPr>
        <w:tc>
          <w:tcPr>
            <w:tcW w:w="32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烷烃</w:t>
            </w:r>
          </w:p>
        </w:tc>
        <w:tc>
          <w:tcPr>
            <w:tcW w:w="1122"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甲烷、丙烷、正丁烷、环己烷、正己烷、环氧乙烷、1，2-环氧丙烷</w:t>
            </w:r>
          </w:p>
        </w:tc>
        <w:tc>
          <w:tcPr>
            <w:tcW w:w="342"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42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396"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5"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4"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r>
      <w:tr>
        <w:trPr>
          <w:trHeight w:val="20" w:hRule="atLeast"/>
        </w:trPr>
        <w:tc>
          <w:tcPr>
            <w:tcW w:w="32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烯烃</w:t>
            </w:r>
          </w:p>
        </w:tc>
        <w:tc>
          <w:tcPr>
            <w:tcW w:w="1122"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丙烯、戊二烯、1，3-丁二烯</w:t>
            </w:r>
          </w:p>
        </w:tc>
        <w:tc>
          <w:tcPr>
            <w:tcW w:w="342"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42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396"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5"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594"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r>
      <w:tr>
        <w:trPr>
          <w:trHeight w:val="20" w:hRule="atLeast"/>
        </w:trPr>
        <w:tc>
          <w:tcPr>
            <w:tcW w:w="32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卤代烃</w:t>
            </w:r>
          </w:p>
        </w:tc>
        <w:tc>
          <w:tcPr>
            <w:tcW w:w="1122"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氯甲烷、二氯甲烷、三氯甲烷、四氯化碳、三氯乙烯、氯乙烯、氯仿、二氯乙烷、氯丁二烯、氯苯类、溴甲烷、溴乙烷、环氧氯丙烷</w:t>
            </w:r>
          </w:p>
        </w:tc>
        <w:tc>
          <w:tcPr>
            <w:tcW w:w="342"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42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396"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595"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4"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r>
      <w:tr>
        <w:trPr>
          <w:trHeight w:val="20" w:hRule="atLeast"/>
        </w:trPr>
        <w:tc>
          <w:tcPr>
            <w:tcW w:w="32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醇类</w:t>
            </w:r>
          </w:p>
        </w:tc>
        <w:tc>
          <w:tcPr>
            <w:tcW w:w="1122"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甲醇、乙醇、丁醇、乙二醇、正丁醇、异丙醇、异丁醇</w:t>
            </w:r>
          </w:p>
        </w:tc>
        <w:tc>
          <w:tcPr>
            <w:tcW w:w="342"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42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396"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5"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4"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r>
      <w:tr>
        <w:trPr>
          <w:trHeight w:val="20" w:hRule="atLeast"/>
        </w:trPr>
        <w:tc>
          <w:tcPr>
            <w:tcW w:w="32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醛类</w:t>
            </w:r>
          </w:p>
        </w:tc>
        <w:tc>
          <w:tcPr>
            <w:tcW w:w="1122"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甲醛、乙醛、丙烯醛、丙醛、正丁醛、正戊醛</w:t>
            </w:r>
          </w:p>
        </w:tc>
        <w:tc>
          <w:tcPr>
            <w:tcW w:w="342"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42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396"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5"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4"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r>
      <w:tr>
        <w:trPr>
          <w:trHeight w:val="20" w:hRule="atLeast"/>
        </w:trPr>
        <w:tc>
          <w:tcPr>
            <w:tcW w:w="32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酮类</w:t>
            </w:r>
          </w:p>
        </w:tc>
        <w:tc>
          <w:tcPr>
            <w:tcW w:w="1122"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丁酮、丙酮、环己酮、甲基乙基酮、甲基异丁基酮、2-丁酮</w:t>
            </w:r>
          </w:p>
        </w:tc>
        <w:tc>
          <w:tcPr>
            <w:tcW w:w="342"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42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396"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5"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594"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r>
      <w:tr>
        <w:trPr>
          <w:trHeight w:val="20" w:hRule="atLeast"/>
        </w:trPr>
        <w:tc>
          <w:tcPr>
            <w:tcW w:w="32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酚类</w:t>
            </w:r>
          </w:p>
        </w:tc>
        <w:tc>
          <w:tcPr>
            <w:tcW w:w="1122"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苯酚、苯硫酚</w:t>
            </w:r>
          </w:p>
        </w:tc>
        <w:tc>
          <w:tcPr>
            <w:tcW w:w="342"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42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396"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5"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4"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r>
      <w:tr>
        <w:trPr>
          <w:trHeight w:val="20" w:hRule="atLeast"/>
        </w:trPr>
        <w:tc>
          <w:tcPr>
            <w:tcW w:w="32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醚类</w:t>
            </w:r>
          </w:p>
        </w:tc>
        <w:tc>
          <w:tcPr>
            <w:tcW w:w="1122"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乙醚、丁醚、二甲醚、甲硫醚、二甲二硫醚、四氢呋喃</w:t>
            </w:r>
          </w:p>
        </w:tc>
        <w:tc>
          <w:tcPr>
            <w:tcW w:w="342"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42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396"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5"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4"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r>
      <w:tr>
        <w:trPr>
          <w:trHeight w:val="20" w:hRule="atLeast"/>
        </w:trPr>
        <w:tc>
          <w:tcPr>
            <w:tcW w:w="32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酸类</w:t>
            </w:r>
          </w:p>
        </w:tc>
        <w:tc>
          <w:tcPr>
            <w:tcW w:w="1122"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丙烯酸、苯乙酸、乙酸</w:t>
            </w:r>
          </w:p>
        </w:tc>
        <w:tc>
          <w:tcPr>
            <w:tcW w:w="342"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42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396"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595"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594"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r>
      <w:tr>
        <w:trPr>
          <w:trHeight w:val="20" w:hRule="atLeast"/>
        </w:trPr>
        <w:tc>
          <w:tcPr>
            <w:tcW w:w="32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酯类</w:t>
            </w:r>
          </w:p>
        </w:tc>
        <w:tc>
          <w:tcPr>
            <w:tcW w:w="1122"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乙酸甲酯、乙酸乙酯、乙酸乙烯酯、乙酸丁酯、乙酸丙酯、丙烯酸甲酯、丙烯酸乙酯、甲基丙烯酸甲酯、丙烯酸丁酯、戊酯、辛酯</w:t>
            </w:r>
          </w:p>
        </w:tc>
        <w:tc>
          <w:tcPr>
            <w:tcW w:w="342"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42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396"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5"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4"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r>
      <w:tr>
        <w:trPr>
          <w:trHeight w:val="20" w:hRule="atLeast"/>
        </w:trPr>
        <w:tc>
          <w:tcPr>
            <w:tcW w:w="32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胺类</w:t>
            </w:r>
          </w:p>
        </w:tc>
        <w:tc>
          <w:tcPr>
            <w:tcW w:w="1122"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一甲胺、二甲胺、三甲胺、三乙胺、苯乙胺、N,N-二甲基甲酰胺（DMF）、</w:t>
            </w:r>
            <w:r>
              <w:rPr>
                <w:rFonts w:ascii="Times New Roman" w:hAnsi="Times New Roman" w:eastAsiaTheme="minorEastAsia"/>
                <w:color w:val="000000"/>
                <w:sz w:val="18"/>
                <w:szCs w:val="18"/>
              </w:rPr>
              <w:t>丙烯酰胺、苯胺类</w:t>
            </w:r>
          </w:p>
        </w:tc>
        <w:tc>
          <w:tcPr>
            <w:tcW w:w="342"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42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396"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r>
              <w:rPr>
                <w:rFonts w:ascii="Times New Roman" w:hAnsi="Times New Roman" w:eastAsiaTheme="minorEastAsia"/>
                <w:color w:val="000000"/>
                <w:kern w:val="0"/>
                <w:sz w:val="18"/>
                <w:szCs w:val="18"/>
              </w:rPr>
              <w:t>√</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595"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c>
          <w:tcPr>
            <w:tcW w:w="594"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Theme="minorEastAsia"/>
                <w:color w:val="000000"/>
                <w:kern w:val="0"/>
                <w:sz w:val="18"/>
                <w:szCs w:val="18"/>
              </w:rPr>
            </w:pPr>
          </w:p>
        </w:tc>
      </w:tr>
    </w:tbl>
    <w:p>
      <w:pPr>
        <w:pStyle w:val="68"/>
      </w:pPr>
      <w:r>
        <w:rPr>
          <w:rFonts w:hint="eastAsia"/>
        </w:rPr>
        <w:t>通过收集监测资料和补充监测等方式，对实际运行过程中VOCs技术的处理效率进行汇总统计发现，活性炭吸附法、等离子体法、水喷淋+活性炭吸附法、光催化氧化法处理效率的波动幅度较大，变化范围分别为6.66～99.65%、9.09～96.72%、29.00～93.33%、19.78～95.00%。主要受技术本身、废气成分、设计参数选取、设备维护等诸多因素的影响。</w:t>
      </w:r>
    </w:p>
    <w:p>
      <w:pPr>
        <w:pStyle w:val="68"/>
        <w:ind w:firstLine="0" w:firstLineChars="0"/>
        <w:jc w:val="center"/>
      </w:pPr>
      <w:r>
        <w:drawing>
          <wp:inline distT="0" distB="0" distL="0" distR="0">
            <wp:extent cx="3753485" cy="31108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3764210" cy="3119510"/>
                    </a:xfrm>
                    <a:prstGeom prst="rect">
                      <a:avLst/>
                    </a:prstGeom>
                  </pic:spPr>
                </pic:pic>
              </a:graphicData>
            </a:graphic>
          </wp:inline>
        </w:drawing>
      </w:r>
    </w:p>
    <w:p>
      <w:pPr>
        <w:pStyle w:val="13"/>
        <w:spacing w:before="156" w:beforeLines="50" w:after="156" w:afterLines="50" w:line="360" w:lineRule="auto"/>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4</w:t>
      </w:r>
      <w:r>
        <w:fldChar w:fldCharType="end"/>
      </w:r>
      <w:r>
        <w:noBreakHyphen/>
      </w:r>
      <w:r>
        <w:t xml:space="preserve">3 </w:t>
      </w:r>
      <w:r>
        <w:rPr>
          <w:rFonts w:hint="eastAsia"/>
        </w:rPr>
        <w:t>不同VOCs技术处理效率统计</w:t>
      </w:r>
    </w:p>
    <w:p>
      <w:pPr>
        <w:widowControl/>
        <w:jc w:val="left"/>
        <w:rPr>
          <w:rFonts w:ascii="Times New Roman" w:hAnsi="Times New Roman"/>
          <w:b/>
          <w:bCs/>
          <w:kern w:val="44"/>
          <w:sz w:val="36"/>
          <w:szCs w:val="44"/>
        </w:rPr>
      </w:pPr>
      <w:r>
        <w:rPr>
          <w:rFonts w:ascii="Times New Roman" w:hAnsi="Times New Roman"/>
        </w:rPr>
        <w:br w:type="page"/>
      </w:r>
    </w:p>
    <w:p>
      <w:pPr>
        <w:pStyle w:val="2"/>
        <w:numPr>
          <w:ilvl w:val="0"/>
          <w:numId w:val="1"/>
        </w:numPr>
        <w:ind w:left="0" w:firstLine="0"/>
        <w:jc w:val="center"/>
        <w:rPr>
          <w:rFonts w:ascii="Times New Roman" w:hAnsi="Times New Roman"/>
        </w:rPr>
      </w:pPr>
      <w:bookmarkStart w:id="103" w:name="_Toc75787642"/>
      <w:r>
        <w:rPr>
          <w:rFonts w:ascii="Times New Roman" w:hAnsi="Times New Roman"/>
        </w:rPr>
        <w:t>国内外相关标准调研</w:t>
      </w:r>
      <w:bookmarkEnd w:id="103"/>
    </w:p>
    <w:p>
      <w:pPr>
        <w:pStyle w:val="3"/>
        <w:ind w:left="0" w:firstLine="0"/>
      </w:pPr>
      <w:bookmarkStart w:id="104" w:name="_Toc75787643"/>
      <w:r>
        <w:t>国内标准</w:t>
      </w:r>
      <w:bookmarkEnd w:id="104"/>
    </w:p>
    <w:p>
      <w:pPr>
        <w:pStyle w:val="4"/>
        <w:ind w:left="0" w:firstLine="0"/>
      </w:pPr>
      <w:bookmarkStart w:id="105" w:name="_Toc26350770"/>
      <w:r>
        <w:t>国家</w:t>
      </w:r>
      <w:bookmarkEnd w:id="105"/>
      <w:r>
        <w:t>标准</w:t>
      </w:r>
    </w:p>
    <w:p>
      <w:pPr>
        <w:pStyle w:val="68"/>
        <w:ind w:firstLine="0" w:firstLineChars="0"/>
        <w:rPr>
          <w:rFonts w:cs="Times New Roman"/>
          <w:b/>
        </w:rPr>
      </w:pPr>
      <w:r>
        <w:rPr>
          <w:rFonts w:cs="Times New Roman"/>
          <w:b/>
        </w:rPr>
        <w:t>1、国家大气污染物综合排放标准</w:t>
      </w:r>
    </w:p>
    <w:p>
      <w:pPr>
        <w:pStyle w:val="68"/>
        <w:rPr>
          <w:rFonts w:cs="Times New Roman"/>
        </w:rPr>
      </w:pPr>
      <w:r>
        <w:rPr>
          <w:rFonts w:cs="Times New Roman"/>
        </w:rPr>
        <w:t>国家</w:t>
      </w:r>
      <w:r>
        <w:rPr>
          <w:rFonts w:hint="eastAsia" w:cs="Times New Roman"/>
        </w:rPr>
        <w:t>《</w:t>
      </w:r>
      <w:r>
        <w:rPr>
          <w:rFonts w:cs="Times New Roman"/>
        </w:rPr>
        <w:t>大气污染物综合排放标准</w:t>
      </w:r>
      <w:r>
        <w:rPr>
          <w:rFonts w:hint="eastAsia" w:cs="Times New Roman"/>
        </w:rPr>
        <w:t>》</w:t>
      </w:r>
      <w:r>
        <w:rPr>
          <w:rFonts w:cs="Times New Roman"/>
        </w:rPr>
        <w:t>（GB 16297-1996）发布于1996年，于1997年开始实施，标准实施时间较长，标准限值均较松。国家大气污染物综合排放标准共规定33种污染物排放限值，其中VOCs化合物共计15种，具体</w:t>
      </w:r>
      <w:r>
        <w:rPr>
          <w:rFonts w:cs="Times New Roman"/>
          <w:spacing w:val="-3"/>
        </w:rPr>
        <w:t>污</w:t>
      </w:r>
      <w:r>
        <w:rPr>
          <w:rFonts w:cs="Times New Roman"/>
        </w:rPr>
        <w:t>染</w:t>
      </w:r>
      <w:r>
        <w:rPr>
          <w:rFonts w:cs="Times New Roman"/>
          <w:spacing w:val="-3"/>
        </w:rPr>
        <w:t>物最高允许排放浓度如</w:t>
      </w:r>
      <w:r>
        <w:rPr>
          <w:rFonts w:hint="eastAsia" w:cs="Times New Roman"/>
          <w:spacing w:val="-3"/>
        </w:rPr>
        <w:t>表5-</w:t>
      </w:r>
      <w:r>
        <w:rPr>
          <w:rFonts w:cs="Times New Roman"/>
          <w:spacing w:val="-3"/>
        </w:rPr>
        <w:t>1所示</w:t>
      </w:r>
      <w:r>
        <w:rPr>
          <w:rFonts w:cs="Times New Roman"/>
        </w:rPr>
        <w:t>。</w:t>
      </w:r>
    </w:p>
    <w:p>
      <w:pPr>
        <w:pStyle w:val="13"/>
        <w:spacing w:before="156" w:beforeLines="50" w:after="156" w:afterLines="50"/>
      </w:pPr>
      <w:bookmarkStart w:id="106" w:name="_Hlk25574718"/>
      <w:r>
        <w:rPr>
          <w:rFonts w:hint="eastAsia"/>
        </w:rPr>
        <w:t>表5-</w:t>
      </w:r>
      <w:r>
        <w:t xml:space="preserve">1  </w:t>
      </w:r>
      <w:bookmarkEnd w:id="106"/>
      <w:r>
        <w:t>国家大气污染物排放限值</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1602"/>
        <w:gridCol w:w="1457"/>
        <w:gridCol w:w="1311"/>
        <w:gridCol w:w="1602"/>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pct"/>
            <w:vMerge w:val="restart"/>
            <w:vAlign w:val="center"/>
          </w:tcPr>
          <w:p>
            <w:pPr>
              <w:snapToGrid w:val="0"/>
              <w:jc w:val="center"/>
              <w:rPr>
                <w:rFonts w:ascii="Times New Roman" w:hAnsi="Times New Roman"/>
                <w:b/>
                <w:kern w:val="0"/>
                <w:sz w:val="18"/>
                <w:szCs w:val="18"/>
              </w:rPr>
            </w:pPr>
            <w:r>
              <w:rPr>
                <w:rFonts w:ascii="Times New Roman" w:hAnsi="Times New Roman"/>
                <w:b/>
                <w:kern w:val="0"/>
                <w:sz w:val="18"/>
                <w:szCs w:val="18"/>
              </w:rPr>
              <w:t>序号</w:t>
            </w:r>
          </w:p>
        </w:tc>
        <w:tc>
          <w:tcPr>
            <w:tcW w:w="940" w:type="pct"/>
            <w:vMerge w:val="restart"/>
            <w:vAlign w:val="center"/>
          </w:tcPr>
          <w:p>
            <w:pPr>
              <w:snapToGrid w:val="0"/>
              <w:jc w:val="center"/>
              <w:rPr>
                <w:rFonts w:ascii="Times New Roman" w:hAnsi="Times New Roman"/>
                <w:b/>
                <w:kern w:val="0"/>
                <w:sz w:val="18"/>
                <w:szCs w:val="18"/>
              </w:rPr>
            </w:pPr>
            <w:r>
              <w:rPr>
                <w:rFonts w:ascii="Times New Roman" w:hAnsi="Times New Roman"/>
                <w:b/>
                <w:kern w:val="0"/>
                <w:sz w:val="18"/>
                <w:szCs w:val="18"/>
              </w:rPr>
              <w:t>污染物</w:t>
            </w:r>
          </w:p>
        </w:tc>
        <w:tc>
          <w:tcPr>
            <w:tcW w:w="1624" w:type="pct"/>
            <w:gridSpan w:val="2"/>
          </w:tcPr>
          <w:p>
            <w:pPr>
              <w:snapToGrid w:val="0"/>
              <w:jc w:val="center"/>
              <w:rPr>
                <w:rFonts w:ascii="Times New Roman" w:hAnsi="Times New Roman"/>
                <w:b/>
                <w:kern w:val="0"/>
                <w:sz w:val="18"/>
                <w:szCs w:val="18"/>
              </w:rPr>
            </w:pPr>
            <w:r>
              <w:rPr>
                <w:rFonts w:ascii="Times New Roman" w:hAnsi="Times New Roman"/>
                <w:b/>
                <w:kern w:val="0"/>
                <w:sz w:val="18"/>
                <w:szCs w:val="18"/>
              </w:rPr>
              <w:t>最高允许排放浓度</w:t>
            </w:r>
          </w:p>
          <w:p>
            <w:pPr>
              <w:snapToGrid w:val="0"/>
              <w:jc w:val="center"/>
              <w:rPr>
                <w:rFonts w:ascii="Times New Roman" w:hAnsi="Times New Roman"/>
                <w:b/>
                <w:kern w:val="0"/>
                <w:sz w:val="18"/>
                <w:szCs w:val="18"/>
              </w:rPr>
            </w:pPr>
            <w:r>
              <w:rPr>
                <w:rFonts w:ascii="Times New Roman" w:hAnsi="Times New Roman"/>
                <w:b/>
                <w:kern w:val="0"/>
                <w:sz w:val="18"/>
                <w:szCs w:val="18"/>
              </w:rPr>
              <w:t>mg/m</w:t>
            </w:r>
            <w:r>
              <w:rPr>
                <w:rFonts w:ascii="Times New Roman" w:hAnsi="Times New Roman"/>
                <w:b/>
                <w:kern w:val="0"/>
                <w:sz w:val="18"/>
                <w:szCs w:val="18"/>
                <w:vertAlign w:val="superscript"/>
              </w:rPr>
              <w:t>3</w:t>
            </w:r>
          </w:p>
        </w:tc>
        <w:tc>
          <w:tcPr>
            <w:tcW w:w="1842" w:type="pct"/>
            <w:gridSpan w:val="2"/>
          </w:tcPr>
          <w:p>
            <w:pPr>
              <w:snapToGrid w:val="0"/>
              <w:jc w:val="center"/>
              <w:rPr>
                <w:rFonts w:ascii="Times New Roman" w:hAnsi="Times New Roman"/>
                <w:b/>
                <w:kern w:val="0"/>
                <w:sz w:val="18"/>
                <w:szCs w:val="18"/>
              </w:rPr>
            </w:pPr>
            <w:r>
              <w:rPr>
                <w:rFonts w:ascii="Times New Roman" w:hAnsi="Times New Roman"/>
                <w:b/>
                <w:kern w:val="0"/>
                <w:sz w:val="18"/>
                <w:szCs w:val="18"/>
              </w:rPr>
              <w:t>无组织排放监控浓度</w:t>
            </w:r>
          </w:p>
          <w:p>
            <w:pPr>
              <w:snapToGrid w:val="0"/>
              <w:jc w:val="center"/>
              <w:rPr>
                <w:rFonts w:ascii="Times New Roman" w:hAnsi="Times New Roman"/>
                <w:b/>
                <w:kern w:val="0"/>
                <w:sz w:val="18"/>
                <w:szCs w:val="18"/>
              </w:rPr>
            </w:pPr>
            <w:r>
              <w:rPr>
                <w:rFonts w:ascii="Times New Roman" w:hAnsi="Times New Roman"/>
                <w:b/>
                <w:kern w:val="0"/>
                <w:sz w:val="18"/>
                <w:szCs w:val="18"/>
              </w:rPr>
              <w:t>mg/m</w:t>
            </w:r>
            <w:r>
              <w:rPr>
                <w:rFonts w:ascii="Times New Roman" w:hAnsi="Times New Roman"/>
                <w:b/>
                <w:kern w:val="0"/>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594" w:type="pct"/>
            <w:vMerge w:val="continue"/>
            <w:vAlign w:val="center"/>
          </w:tcPr>
          <w:p>
            <w:pPr>
              <w:snapToGrid w:val="0"/>
              <w:spacing w:before="5"/>
              <w:jc w:val="center"/>
              <w:rPr>
                <w:rFonts w:ascii="Times New Roman" w:hAnsi="Times New Roman"/>
                <w:kern w:val="0"/>
                <w:sz w:val="18"/>
                <w:szCs w:val="18"/>
              </w:rPr>
            </w:pPr>
          </w:p>
        </w:tc>
        <w:tc>
          <w:tcPr>
            <w:tcW w:w="940" w:type="pct"/>
            <w:vMerge w:val="continue"/>
          </w:tcPr>
          <w:p>
            <w:pPr>
              <w:snapToGrid w:val="0"/>
              <w:jc w:val="center"/>
              <w:rPr>
                <w:rFonts w:ascii="Times New Roman" w:hAnsi="Times New Roman"/>
                <w:b/>
                <w:kern w:val="0"/>
                <w:sz w:val="18"/>
                <w:szCs w:val="18"/>
              </w:rPr>
            </w:pPr>
          </w:p>
        </w:tc>
        <w:tc>
          <w:tcPr>
            <w:tcW w:w="855" w:type="pct"/>
          </w:tcPr>
          <w:p>
            <w:pPr>
              <w:snapToGrid w:val="0"/>
              <w:jc w:val="center"/>
              <w:rPr>
                <w:rFonts w:ascii="Times New Roman" w:hAnsi="Times New Roman"/>
                <w:b/>
                <w:kern w:val="0"/>
                <w:sz w:val="18"/>
                <w:szCs w:val="18"/>
              </w:rPr>
            </w:pPr>
            <w:r>
              <w:rPr>
                <w:rFonts w:ascii="Times New Roman" w:hAnsi="Times New Roman"/>
                <w:b/>
                <w:kern w:val="0"/>
                <w:sz w:val="18"/>
                <w:szCs w:val="18"/>
              </w:rPr>
              <w:t>现有</w:t>
            </w:r>
          </w:p>
        </w:tc>
        <w:tc>
          <w:tcPr>
            <w:tcW w:w="769" w:type="pct"/>
          </w:tcPr>
          <w:p>
            <w:pPr>
              <w:snapToGrid w:val="0"/>
              <w:jc w:val="center"/>
              <w:rPr>
                <w:rFonts w:ascii="Times New Roman" w:hAnsi="Times New Roman"/>
                <w:b/>
                <w:kern w:val="0"/>
                <w:sz w:val="18"/>
                <w:szCs w:val="18"/>
              </w:rPr>
            </w:pPr>
            <w:r>
              <w:rPr>
                <w:rFonts w:ascii="Times New Roman" w:hAnsi="Times New Roman"/>
                <w:b/>
                <w:kern w:val="0"/>
                <w:sz w:val="18"/>
                <w:szCs w:val="18"/>
              </w:rPr>
              <w:t>新建</w:t>
            </w:r>
          </w:p>
        </w:tc>
        <w:tc>
          <w:tcPr>
            <w:tcW w:w="940" w:type="pct"/>
          </w:tcPr>
          <w:p>
            <w:pPr>
              <w:snapToGrid w:val="0"/>
              <w:jc w:val="center"/>
              <w:rPr>
                <w:rFonts w:ascii="Times New Roman" w:hAnsi="Times New Roman"/>
                <w:b/>
                <w:kern w:val="0"/>
                <w:sz w:val="18"/>
                <w:szCs w:val="18"/>
              </w:rPr>
            </w:pPr>
            <w:r>
              <w:rPr>
                <w:rFonts w:ascii="Times New Roman" w:hAnsi="Times New Roman"/>
                <w:b/>
                <w:kern w:val="0"/>
                <w:sz w:val="18"/>
                <w:szCs w:val="18"/>
              </w:rPr>
              <w:t>现有</w:t>
            </w:r>
          </w:p>
        </w:tc>
        <w:tc>
          <w:tcPr>
            <w:tcW w:w="902" w:type="pct"/>
          </w:tcPr>
          <w:p>
            <w:pPr>
              <w:snapToGrid w:val="0"/>
              <w:jc w:val="center"/>
              <w:rPr>
                <w:rFonts w:ascii="Times New Roman" w:hAnsi="Times New Roman"/>
                <w:b/>
                <w:kern w:val="0"/>
                <w:sz w:val="18"/>
                <w:szCs w:val="18"/>
              </w:rPr>
            </w:pPr>
            <w:r>
              <w:rPr>
                <w:rFonts w:ascii="Times New Roman" w:hAnsi="Times New Roman"/>
                <w:b/>
                <w:kern w:val="0"/>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4" w:type="pct"/>
            <w:vAlign w:val="center"/>
          </w:tcPr>
          <w:p>
            <w:pPr>
              <w:snapToGrid w:val="0"/>
              <w:spacing w:before="5"/>
              <w:jc w:val="center"/>
              <w:rPr>
                <w:rFonts w:ascii="Times New Roman" w:hAnsi="Times New Roman"/>
                <w:kern w:val="0"/>
                <w:sz w:val="18"/>
                <w:szCs w:val="18"/>
              </w:rPr>
            </w:pPr>
            <w:r>
              <w:rPr>
                <w:rFonts w:ascii="Times New Roman" w:hAnsi="Times New Roman"/>
                <w:kern w:val="0"/>
                <w:sz w:val="18"/>
                <w:szCs w:val="18"/>
              </w:rPr>
              <w:t>1</w:t>
            </w:r>
          </w:p>
        </w:tc>
        <w:tc>
          <w:tcPr>
            <w:tcW w:w="940"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苯</w:t>
            </w:r>
          </w:p>
        </w:tc>
        <w:tc>
          <w:tcPr>
            <w:tcW w:w="855"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17</w:t>
            </w:r>
          </w:p>
        </w:tc>
        <w:tc>
          <w:tcPr>
            <w:tcW w:w="769"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12</w:t>
            </w:r>
          </w:p>
        </w:tc>
        <w:tc>
          <w:tcPr>
            <w:tcW w:w="940"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0.50</w:t>
            </w:r>
          </w:p>
        </w:tc>
        <w:tc>
          <w:tcPr>
            <w:tcW w:w="902"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4"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2</w:t>
            </w:r>
          </w:p>
        </w:tc>
        <w:tc>
          <w:tcPr>
            <w:tcW w:w="940"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甲苯</w:t>
            </w:r>
          </w:p>
        </w:tc>
        <w:tc>
          <w:tcPr>
            <w:tcW w:w="855"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60</w:t>
            </w:r>
          </w:p>
        </w:tc>
        <w:tc>
          <w:tcPr>
            <w:tcW w:w="769"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40</w:t>
            </w:r>
          </w:p>
        </w:tc>
        <w:tc>
          <w:tcPr>
            <w:tcW w:w="940"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3</w:t>
            </w:r>
          </w:p>
        </w:tc>
        <w:tc>
          <w:tcPr>
            <w:tcW w:w="902"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4"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3</w:t>
            </w:r>
          </w:p>
        </w:tc>
        <w:tc>
          <w:tcPr>
            <w:tcW w:w="940"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二甲苯</w:t>
            </w:r>
          </w:p>
        </w:tc>
        <w:tc>
          <w:tcPr>
            <w:tcW w:w="855"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90</w:t>
            </w:r>
          </w:p>
        </w:tc>
        <w:tc>
          <w:tcPr>
            <w:tcW w:w="769"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70</w:t>
            </w:r>
          </w:p>
        </w:tc>
        <w:tc>
          <w:tcPr>
            <w:tcW w:w="940"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1.5</w:t>
            </w:r>
          </w:p>
        </w:tc>
        <w:tc>
          <w:tcPr>
            <w:tcW w:w="902"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4"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4</w:t>
            </w:r>
          </w:p>
        </w:tc>
        <w:tc>
          <w:tcPr>
            <w:tcW w:w="940"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酚类</w:t>
            </w:r>
          </w:p>
        </w:tc>
        <w:tc>
          <w:tcPr>
            <w:tcW w:w="855"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115</w:t>
            </w:r>
          </w:p>
        </w:tc>
        <w:tc>
          <w:tcPr>
            <w:tcW w:w="769"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100</w:t>
            </w:r>
          </w:p>
        </w:tc>
        <w:tc>
          <w:tcPr>
            <w:tcW w:w="940"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0.1</w:t>
            </w:r>
          </w:p>
        </w:tc>
        <w:tc>
          <w:tcPr>
            <w:tcW w:w="902"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4"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5</w:t>
            </w:r>
          </w:p>
        </w:tc>
        <w:tc>
          <w:tcPr>
            <w:tcW w:w="940"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甲醛</w:t>
            </w:r>
          </w:p>
        </w:tc>
        <w:tc>
          <w:tcPr>
            <w:tcW w:w="855"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30</w:t>
            </w:r>
          </w:p>
        </w:tc>
        <w:tc>
          <w:tcPr>
            <w:tcW w:w="769"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25</w:t>
            </w:r>
          </w:p>
        </w:tc>
        <w:tc>
          <w:tcPr>
            <w:tcW w:w="940"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0.25</w:t>
            </w:r>
          </w:p>
        </w:tc>
        <w:tc>
          <w:tcPr>
            <w:tcW w:w="902"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4" w:type="pct"/>
            <w:vAlign w:val="center"/>
          </w:tcPr>
          <w:p>
            <w:pPr>
              <w:snapToGrid w:val="0"/>
              <w:spacing w:before="5"/>
              <w:jc w:val="center"/>
              <w:rPr>
                <w:rFonts w:ascii="Times New Roman" w:hAnsi="Times New Roman"/>
                <w:kern w:val="0"/>
                <w:sz w:val="18"/>
                <w:szCs w:val="18"/>
              </w:rPr>
            </w:pPr>
            <w:r>
              <w:rPr>
                <w:rFonts w:ascii="Times New Roman" w:hAnsi="Times New Roman"/>
                <w:kern w:val="0"/>
                <w:sz w:val="18"/>
                <w:szCs w:val="18"/>
              </w:rPr>
              <w:t>6</w:t>
            </w:r>
          </w:p>
        </w:tc>
        <w:tc>
          <w:tcPr>
            <w:tcW w:w="940"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乙醛</w:t>
            </w:r>
          </w:p>
        </w:tc>
        <w:tc>
          <w:tcPr>
            <w:tcW w:w="855"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150</w:t>
            </w:r>
          </w:p>
        </w:tc>
        <w:tc>
          <w:tcPr>
            <w:tcW w:w="769"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125</w:t>
            </w:r>
          </w:p>
        </w:tc>
        <w:tc>
          <w:tcPr>
            <w:tcW w:w="940"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0.05</w:t>
            </w:r>
          </w:p>
        </w:tc>
        <w:tc>
          <w:tcPr>
            <w:tcW w:w="902"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4" w:type="pct"/>
            <w:vAlign w:val="center"/>
          </w:tcPr>
          <w:p>
            <w:pPr>
              <w:snapToGrid w:val="0"/>
              <w:spacing w:before="7"/>
              <w:jc w:val="center"/>
              <w:rPr>
                <w:rFonts w:ascii="Times New Roman" w:hAnsi="Times New Roman"/>
                <w:kern w:val="0"/>
                <w:sz w:val="18"/>
                <w:szCs w:val="18"/>
              </w:rPr>
            </w:pPr>
            <w:r>
              <w:rPr>
                <w:rFonts w:ascii="Times New Roman" w:hAnsi="Times New Roman"/>
                <w:kern w:val="0"/>
                <w:sz w:val="18"/>
                <w:szCs w:val="18"/>
              </w:rPr>
              <w:t>7</w:t>
            </w:r>
          </w:p>
        </w:tc>
        <w:tc>
          <w:tcPr>
            <w:tcW w:w="940"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丙烯腈</w:t>
            </w:r>
          </w:p>
        </w:tc>
        <w:tc>
          <w:tcPr>
            <w:tcW w:w="855"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26</w:t>
            </w:r>
          </w:p>
        </w:tc>
        <w:tc>
          <w:tcPr>
            <w:tcW w:w="769"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22</w:t>
            </w:r>
          </w:p>
        </w:tc>
        <w:tc>
          <w:tcPr>
            <w:tcW w:w="940"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0.75</w:t>
            </w:r>
          </w:p>
        </w:tc>
        <w:tc>
          <w:tcPr>
            <w:tcW w:w="902"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4" w:type="pct"/>
            <w:vAlign w:val="center"/>
          </w:tcPr>
          <w:p>
            <w:pPr>
              <w:snapToGrid w:val="0"/>
              <w:spacing w:before="5"/>
              <w:jc w:val="center"/>
              <w:rPr>
                <w:rFonts w:ascii="Times New Roman" w:hAnsi="Times New Roman"/>
                <w:kern w:val="0"/>
                <w:sz w:val="18"/>
                <w:szCs w:val="18"/>
              </w:rPr>
            </w:pPr>
            <w:r>
              <w:rPr>
                <w:rFonts w:ascii="Times New Roman" w:hAnsi="Times New Roman"/>
                <w:spacing w:val="-1"/>
                <w:kern w:val="0"/>
                <w:sz w:val="18"/>
                <w:szCs w:val="18"/>
              </w:rPr>
              <w:t>8</w:t>
            </w:r>
          </w:p>
        </w:tc>
        <w:tc>
          <w:tcPr>
            <w:tcW w:w="940"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丙烯醛</w:t>
            </w:r>
          </w:p>
        </w:tc>
        <w:tc>
          <w:tcPr>
            <w:tcW w:w="855"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20</w:t>
            </w:r>
          </w:p>
        </w:tc>
        <w:tc>
          <w:tcPr>
            <w:tcW w:w="769"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16</w:t>
            </w:r>
          </w:p>
        </w:tc>
        <w:tc>
          <w:tcPr>
            <w:tcW w:w="940"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0.5</w:t>
            </w:r>
          </w:p>
        </w:tc>
        <w:tc>
          <w:tcPr>
            <w:tcW w:w="902"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4" w:type="pct"/>
            <w:vAlign w:val="center"/>
          </w:tcPr>
          <w:p>
            <w:pPr>
              <w:snapToGrid w:val="0"/>
              <w:jc w:val="center"/>
              <w:rPr>
                <w:rFonts w:ascii="Times New Roman" w:hAnsi="Times New Roman"/>
                <w:kern w:val="0"/>
                <w:sz w:val="18"/>
                <w:szCs w:val="18"/>
              </w:rPr>
            </w:pPr>
            <w:r>
              <w:rPr>
                <w:rFonts w:ascii="Times New Roman" w:hAnsi="Times New Roman"/>
                <w:spacing w:val="-1"/>
                <w:kern w:val="0"/>
                <w:sz w:val="18"/>
                <w:szCs w:val="18"/>
              </w:rPr>
              <w:t>9</w:t>
            </w:r>
          </w:p>
        </w:tc>
        <w:tc>
          <w:tcPr>
            <w:tcW w:w="940"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甲醇</w:t>
            </w:r>
          </w:p>
        </w:tc>
        <w:tc>
          <w:tcPr>
            <w:tcW w:w="855"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220</w:t>
            </w:r>
          </w:p>
        </w:tc>
        <w:tc>
          <w:tcPr>
            <w:tcW w:w="769"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190</w:t>
            </w:r>
          </w:p>
        </w:tc>
        <w:tc>
          <w:tcPr>
            <w:tcW w:w="940"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15</w:t>
            </w:r>
          </w:p>
        </w:tc>
        <w:tc>
          <w:tcPr>
            <w:tcW w:w="902"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4" w:type="pct"/>
            <w:vAlign w:val="center"/>
          </w:tcPr>
          <w:p>
            <w:pPr>
              <w:snapToGrid w:val="0"/>
              <w:spacing w:before="7"/>
              <w:jc w:val="center"/>
              <w:rPr>
                <w:rFonts w:ascii="Times New Roman" w:hAnsi="Times New Roman"/>
                <w:kern w:val="0"/>
                <w:sz w:val="18"/>
                <w:szCs w:val="18"/>
              </w:rPr>
            </w:pPr>
            <w:r>
              <w:rPr>
                <w:rFonts w:ascii="Times New Roman" w:hAnsi="Times New Roman"/>
                <w:spacing w:val="-1"/>
                <w:kern w:val="0"/>
                <w:sz w:val="18"/>
                <w:szCs w:val="18"/>
              </w:rPr>
              <w:t>10</w:t>
            </w:r>
          </w:p>
        </w:tc>
        <w:tc>
          <w:tcPr>
            <w:tcW w:w="940"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苯胺类</w:t>
            </w:r>
          </w:p>
        </w:tc>
        <w:tc>
          <w:tcPr>
            <w:tcW w:w="855"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25</w:t>
            </w:r>
          </w:p>
        </w:tc>
        <w:tc>
          <w:tcPr>
            <w:tcW w:w="769"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20</w:t>
            </w:r>
          </w:p>
        </w:tc>
        <w:tc>
          <w:tcPr>
            <w:tcW w:w="940"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0.5</w:t>
            </w:r>
          </w:p>
        </w:tc>
        <w:tc>
          <w:tcPr>
            <w:tcW w:w="902"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4" w:type="pct"/>
            <w:vAlign w:val="center"/>
          </w:tcPr>
          <w:p>
            <w:pPr>
              <w:pStyle w:val="122"/>
              <w:snapToGrid w:val="0"/>
              <w:spacing w:before="5"/>
              <w:jc w:val="center"/>
              <w:rPr>
                <w:rFonts w:eastAsia="宋体"/>
                <w:sz w:val="18"/>
                <w:szCs w:val="18"/>
              </w:rPr>
            </w:pPr>
            <w:r>
              <w:rPr>
                <w:rFonts w:eastAsia="宋体"/>
                <w:spacing w:val="-1"/>
                <w:sz w:val="18"/>
                <w:szCs w:val="18"/>
              </w:rPr>
              <w:t>11</w:t>
            </w:r>
          </w:p>
        </w:tc>
        <w:tc>
          <w:tcPr>
            <w:tcW w:w="940"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氯苯类</w:t>
            </w:r>
          </w:p>
        </w:tc>
        <w:tc>
          <w:tcPr>
            <w:tcW w:w="855"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85</w:t>
            </w:r>
          </w:p>
        </w:tc>
        <w:tc>
          <w:tcPr>
            <w:tcW w:w="769"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60</w:t>
            </w:r>
          </w:p>
        </w:tc>
        <w:tc>
          <w:tcPr>
            <w:tcW w:w="940"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0.5</w:t>
            </w:r>
          </w:p>
        </w:tc>
        <w:tc>
          <w:tcPr>
            <w:tcW w:w="902"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4"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12</w:t>
            </w:r>
          </w:p>
        </w:tc>
        <w:tc>
          <w:tcPr>
            <w:tcW w:w="940"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硝基苯类</w:t>
            </w:r>
          </w:p>
        </w:tc>
        <w:tc>
          <w:tcPr>
            <w:tcW w:w="855"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20</w:t>
            </w:r>
          </w:p>
        </w:tc>
        <w:tc>
          <w:tcPr>
            <w:tcW w:w="769"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16</w:t>
            </w:r>
          </w:p>
        </w:tc>
        <w:tc>
          <w:tcPr>
            <w:tcW w:w="940"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0.05</w:t>
            </w:r>
          </w:p>
        </w:tc>
        <w:tc>
          <w:tcPr>
            <w:tcW w:w="902"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4"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13</w:t>
            </w:r>
          </w:p>
        </w:tc>
        <w:tc>
          <w:tcPr>
            <w:tcW w:w="940"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氯乙烯</w:t>
            </w:r>
          </w:p>
        </w:tc>
        <w:tc>
          <w:tcPr>
            <w:tcW w:w="855"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65</w:t>
            </w:r>
          </w:p>
        </w:tc>
        <w:tc>
          <w:tcPr>
            <w:tcW w:w="769"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36</w:t>
            </w:r>
          </w:p>
        </w:tc>
        <w:tc>
          <w:tcPr>
            <w:tcW w:w="940"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0.75</w:t>
            </w:r>
          </w:p>
        </w:tc>
        <w:tc>
          <w:tcPr>
            <w:tcW w:w="902"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4"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14</w:t>
            </w:r>
          </w:p>
        </w:tc>
        <w:tc>
          <w:tcPr>
            <w:tcW w:w="940"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光气</w:t>
            </w:r>
          </w:p>
        </w:tc>
        <w:tc>
          <w:tcPr>
            <w:tcW w:w="855"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5</w:t>
            </w:r>
          </w:p>
        </w:tc>
        <w:tc>
          <w:tcPr>
            <w:tcW w:w="769"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3</w:t>
            </w:r>
          </w:p>
        </w:tc>
        <w:tc>
          <w:tcPr>
            <w:tcW w:w="940"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0.1</w:t>
            </w:r>
          </w:p>
        </w:tc>
        <w:tc>
          <w:tcPr>
            <w:tcW w:w="902"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4"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15</w:t>
            </w:r>
          </w:p>
        </w:tc>
        <w:tc>
          <w:tcPr>
            <w:tcW w:w="940"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非甲烷总烃</w:t>
            </w:r>
          </w:p>
        </w:tc>
        <w:tc>
          <w:tcPr>
            <w:tcW w:w="855"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150</w:t>
            </w:r>
          </w:p>
        </w:tc>
        <w:tc>
          <w:tcPr>
            <w:tcW w:w="769"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120</w:t>
            </w:r>
          </w:p>
        </w:tc>
        <w:tc>
          <w:tcPr>
            <w:tcW w:w="940"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5</w:t>
            </w:r>
          </w:p>
        </w:tc>
        <w:tc>
          <w:tcPr>
            <w:tcW w:w="902" w:type="pct"/>
            <w:vAlign w:val="center"/>
          </w:tcPr>
          <w:p>
            <w:pPr>
              <w:snapToGrid w:val="0"/>
              <w:jc w:val="center"/>
              <w:rPr>
                <w:rFonts w:ascii="Times New Roman" w:hAnsi="Times New Roman"/>
                <w:kern w:val="0"/>
                <w:sz w:val="18"/>
                <w:szCs w:val="18"/>
              </w:rPr>
            </w:pPr>
            <w:r>
              <w:rPr>
                <w:rFonts w:ascii="Times New Roman" w:hAnsi="Times New Roman"/>
                <w:kern w:val="0"/>
                <w:sz w:val="18"/>
                <w:szCs w:val="18"/>
              </w:rPr>
              <w:t>4</w:t>
            </w:r>
          </w:p>
        </w:tc>
      </w:tr>
    </w:tbl>
    <w:p>
      <w:pPr>
        <w:pStyle w:val="68"/>
        <w:rPr>
          <w:rFonts w:cs="Times New Roman"/>
        </w:rPr>
      </w:pPr>
      <w:bookmarkStart w:id="107" w:name="_Toc26350771"/>
      <w:r>
        <w:rPr>
          <w:rFonts w:cs="Times New Roman"/>
        </w:rPr>
        <w:t>此外，国家发布的多项大气污染物排放标准涉及VOCs的排放限值</w:t>
      </w:r>
      <w:r>
        <w:rPr>
          <w:rFonts w:hint="eastAsia" w:cs="Times New Roman"/>
        </w:rPr>
        <w:t>，如表5-</w:t>
      </w:r>
      <w:r>
        <w:rPr>
          <w:rFonts w:cs="Times New Roman"/>
        </w:rPr>
        <w:t>2</w:t>
      </w:r>
      <w:r>
        <w:rPr>
          <w:rFonts w:hint="eastAsia" w:cs="Times New Roman"/>
        </w:rPr>
        <w:t>所示</w:t>
      </w:r>
      <w:r>
        <w:rPr>
          <w:rFonts w:cs="Times New Roman"/>
        </w:rPr>
        <w:t>，</w:t>
      </w:r>
      <w:r>
        <w:rPr>
          <w:rFonts w:hint="eastAsia" w:cs="Times New Roman"/>
        </w:rPr>
        <w:t>有</w:t>
      </w:r>
      <w:r>
        <w:rPr>
          <w:rFonts w:cs="Times New Roman"/>
        </w:rPr>
        <w:t>《恶臭污染物排放标准》（GB 14554-1993）、《合成革与人造革工业污染物排放标准》（GB 21902-2008）、《橡胶制品工业污染物排放标准》（GB 27632-2011）、《石油炼制工业污染物排放标准》（GB 31570-2015）、《石油化学工业污染物排放标准》（GB 31571-2015）、《合成树脂工业污染物排放标准》（GB 31572-2015）、《涂料、油墨及胶粘剂工业大气污染物排放标准》（（GB 37824-2019））、《制药工业大气污染物排放标准》（GB 37823-2019）、《挥发性有机物无组织排放标准》（GB 37822-2019）。</w:t>
      </w:r>
    </w:p>
    <w:p>
      <w:pPr>
        <w:pStyle w:val="13"/>
        <w:spacing w:before="156" w:beforeLines="50" w:after="156" w:afterLines="50"/>
      </w:pPr>
      <w:r>
        <w:t>表 5</w:t>
      </w:r>
      <w:r>
        <w:rPr>
          <w:rFonts w:hint="eastAsia"/>
        </w:rPr>
        <w:t>-</w:t>
      </w:r>
      <w:r>
        <w:t>2 国家</w:t>
      </w:r>
      <w:r>
        <w:rPr>
          <w:rFonts w:hint="eastAsia"/>
        </w:rPr>
        <w:t>V</w:t>
      </w:r>
      <w:r>
        <w:t>OC</w:t>
      </w:r>
      <w:r>
        <w:rPr>
          <w:rFonts w:hint="eastAsia"/>
        </w:rPr>
        <w:t>s相关排放标准</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1701"/>
        <w:gridCol w:w="1134"/>
        <w:gridCol w:w="992"/>
        <w:gridCol w:w="992"/>
        <w:gridCol w:w="1134"/>
        <w:gridCol w:w="992"/>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421" w:type="dxa"/>
          </w:tcPr>
          <w:p>
            <w:pPr>
              <w:pStyle w:val="68"/>
              <w:spacing w:line="240" w:lineRule="auto"/>
              <w:ind w:firstLine="0" w:firstLineChars="0"/>
              <w:rPr>
                <w:rFonts w:cs="Times New Roman"/>
                <w:sz w:val="18"/>
                <w:szCs w:val="18"/>
              </w:rPr>
            </w:pPr>
            <w:r>
              <w:rPr>
                <w:rFonts w:hint="eastAsia" w:cs="Times New Roman"/>
                <w:sz w:val="18"/>
                <w:szCs w:val="18"/>
              </w:rPr>
              <w:t>序号</w:t>
            </w:r>
          </w:p>
        </w:tc>
        <w:tc>
          <w:tcPr>
            <w:tcW w:w="1701"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标准名称</w:t>
            </w:r>
          </w:p>
        </w:tc>
        <w:tc>
          <w:tcPr>
            <w:tcW w:w="1134"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标准编号</w:t>
            </w:r>
          </w:p>
        </w:tc>
        <w:tc>
          <w:tcPr>
            <w:tcW w:w="992"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标准分级</w:t>
            </w:r>
          </w:p>
        </w:tc>
        <w:tc>
          <w:tcPr>
            <w:tcW w:w="992"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综合情况</w:t>
            </w:r>
          </w:p>
        </w:tc>
        <w:tc>
          <w:tcPr>
            <w:tcW w:w="1134"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污染物项目</w:t>
            </w:r>
          </w:p>
        </w:tc>
        <w:tc>
          <w:tcPr>
            <w:tcW w:w="992"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指标体系</w:t>
            </w:r>
          </w:p>
        </w:tc>
        <w:tc>
          <w:tcPr>
            <w:tcW w:w="930"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1</w:t>
            </w:r>
          </w:p>
        </w:tc>
        <w:tc>
          <w:tcPr>
            <w:tcW w:w="1701" w:type="dxa"/>
            <w:vAlign w:val="center"/>
          </w:tcPr>
          <w:p>
            <w:pPr>
              <w:pStyle w:val="68"/>
              <w:spacing w:line="240" w:lineRule="auto"/>
              <w:ind w:firstLine="0" w:firstLineChars="0"/>
              <w:rPr>
                <w:rFonts w:cs="Times New Roman"/>
                <w:sz w:val="18"/>
                <w:szCs w:val="18"/>
              </w:rPr>
            </w:pPr>
            <w:r>
              <w:rPr>
                <w:rFonts w:hint="eastAsia" w:cs="Times New Roman"/>
                <w:sz w:val="18"/>
                <w:szCs w:val="18"/>
              </w:rPr>
              <w:t>恶臭污染物排放标准</w:t>
            </w:r>
          </w:p>
        </w:tc>
        <w:tc>
          <w:tcPr>
            <w:tcW w:w="1134" w:type="dxa"/>
            <w:vAlign w:val="center"/>
          </w:tcPr>
          <w:p>
            <w:pPr>
              <w:pStyle w:val="68"/>
              <w:spacing w:line="240" w:lineRule="auto"/>
              <w:ind w:firstLine="0" w:firstLineChars="0"/>
              <w:rPr>
                <w:rFonts w:cs="Times New Roman"/>
                <w:sz w:val="18"/>
                <w:szCs w:val="18"/>
              </w:rPr>
            </w:pPr>
            <w:r>
              <w:rPr>
                <w:rFonts w:hint="eastAsia" w:cs="Times New Roman"/>
                <w:sz w:val="18"/>
                <w:szCs w:val="18"/>
              </w:rPr>
              <w:t>G</w:t>
            </w:r>
            <w:r>
              <w:rPr>
                <w:rFonts w:cs="Times New Roman"/>
                <w:sz w:val="18"/>
                <w:szCs w:val="18"/>
              </w:rPr>
              <w:t>B 14554-93</w:t>
            </w:r>
          </w:p>
        </w:tc>
        <w:tc>
          <w:tcPr>
            <w:tcW w:w="992"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一级、二级、三级</w:t>
            </w:r>
          </w:p>
        </w:tc>
        <w:tc>
          <w:tcPr>
            <w:tcW w:w="992"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综合</w:t>
            </w:r>
          </w:p>
        </w:tc>
        <w:tc>
          <w:tcPr>
            <w:tcW w:w="1134"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共9项</w:t>
            </w:r>
          </w:p>
        </w:tc>
        <w:tc>
          <w:tcPr>
            <w:tcW w:w="992" w:type="dxa"/>
            <w:vAlign w:val="center"/>
          </w:tcPr>
          <w:p>
            <w:pPr>
              <w:pStyle w:val="68"/>
              <w:spacing w:line="240" w:lineRule="auto"/>
              <w:ind w:firstLine="0" w:firstLineChars="0"/>
              <w:rPr>
                <w:rFonts w:cs="Times New Roman"/>
                <w:sz w:val="18"/>
                <w:szCs w:val="18"/>
              </w:rPr>
            </w:pPr>
            <w:r>
              <w:rPr>
                <w:rFonts w:hint="eastAsia" w:cs="Times New Roman"/>
                <w:sz w:val="18"/>
                <w:szCs w:val="18"/>
              </w:rPr>
              <w:t>排放速率</w:t>
            </w:r>
          </w:p>
        </w:tc>
        <w:tc>
          <w:tcPr>
            <w:tcW w:w="930" w:type="dxa"/>
            <w:vAlign w:val="center"/>
          </w:tcPr>
          <w:p>
            <w:pPr>
              <w:pStyle w:val="68"/>
              <w:spacing w:line="240" w:lineRule="auto"/>
              <w:ind w:firstLine="0" w:firstLineChars="0"/>
              <w:rPr>
                <w:rFonts w:cs="Times New Roman"/>
                <w:sz w:val="18"/>
                <w:szCs w:val="18"/>
              </w:rPr>
            </w:pPr>
            <w:r>
              <w:rPr>
                <w:rFonts w:hint="eastAsia" w:cs="Times New Roman"/>
                <w:sz w:val="18"/>
                <w:szCs w:val="18"/>
              </w:rPr>
              <w:t>有组织，无组织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2</w:t>
            </w:r>
          </w:p>
        </w:tc>
        <w:tc>
          <w:tcPr>
            <w:tcW w:w="1701" w:type="dxa"/>
            <w:vAlign w:val="center"/>
          </w:tcPr>
          <w:p>
            <w:pPr>
              <w:pStyle w:val="68"/>
              <w:spacing w:line="240" w:lineRule="auto"/>
              <w:ind w:firstLine="0" w:firstLineChars="0"/>
              <w:rPr>
                <w:rFonts w:cs="Times New Roman"/>
                <w:sz w:val="18"/>
                <w:szCs w:val="18"/>
              </w:rPr>
            </w:pPr>
            <w:r>
              <w:rPr>
                <w:rFonts w:hint="eastAsia" w:cs="Times New Roman"/>
                <w:sz w:val="18"/>
                <w:szCs w:val="18"/>
              </w:rPr>
              <w:t>挥发性有机物无组织排放标准</w:t>
            </w:r>
          </w:p>
        </w:tc>
        <w:tc>
          <w:tcPr>
            <w:tcW w:w="1134" w:type="dxa"/>
            <w:vAlign w:val="center"/>
          </w:tcPr>
          <w:p>
            <w:pPr>
              <w:pStyle w:val="68"/>
              <w:spacing w:line="240" w:lineRule="auto"/>
              <w:ind w:firstLine="0" w:firstLineChars="0"/>
              <w:rPr>
                <w:rFonts w:cs="Times New Roman"/>
                <w:sz w:val="18"/>
                <w:szCs w:val="18"/>
              </w:rPr>
            </w:pPr>
            <w:r>
              <w:rPr>
                <w:rFonts w:hint="eastAsia" w:cs="Times New Roman"/>
                <w:sz w:val="18"/>
                <w:szCs w:val="18"/>
              </w:rPr>
              <w:t>G</w:t>
            </w:r>
            <w:r>
              <w:rPr>
                <w:rFonts w:cs="Times New Roman"/>
                <w:sz w:val="18"/>
                <w:szCs w:val="18"/>
              </w:rPr>
              <w:t>B 37822-2019</w:t>
            </w:r>
          </w:p>
        </w:tc>
        <w:tc>
          <w:tcPr>
            <w:tcW w:w="992"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分级</w:t>
            </w:r>
          </w:p>
        </w:tc>
        <w:tc>
          <w:tcPr>
            <w:tcW w:w="992"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综合</w:t>
            </w:r>
          </w:p>
        </w:tc>
        <w:tc>
          <w:tcPr>
            <w:tcW w:w="1134"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w:t>
            </w:r>
          </w:p>
        </w:tc>
        <w:tc>
          <w:tcPr>
            <w:tcW w:w="992" w:type="dxa"/>
            <w:vAlign w:val="center"/>
          </w:tcPr>
          <w:p>
            <w:pPr>
              <w:pStyle w:val="68"/>
              <w:spacing w:line="240" w:lineRule="auto"/>
              <w:ind w:firstLine="0" w:firstLineChars="0"/>
              <w:rPr>
                <w:rFonts w:cs="Times New Roman"/>
                <w:sz w:val="18"/>
                <w:szCs w:val="18"/>
              </w:rPr>
            </w:pPr>
            <w:r>
              <w:rPr>
                <w:rFonts w:hint="eastAsia" w:cs="Times New Roman"/>
                <w:sz w:val="18"/>
                <w:szCs w:val="18"/>
              </w:rPr>
              <w:t>不同工艺过程</w:t>
            </w:r>
          </w:p>
        </w:tc>
        <w:tc>
          <w:tcPr>
            <w:tcW w:w="930" w:type="dxa"/>
            <w:vAlign w:val="center"/>
          </w:tcPr>
          <w:p>
            <w:pPr>
              <w:pStyle w:val="68"/>
              <w:spacing w:line="240" w:lineRule="auto"/>
              <w:ind w:firstLine="0" w:firstLineChars="0"/>
              <w:rPr>
                <w:rFonts w:cs="Times New Roman"/>
                <w:sz w:val="18"/>
                <w:szCs w:val="18"/>
              </w:rPr>
            </w:pPr>
            <w:r>
              <w:rPr>
                <w:rFonts w:hint="eastAsia" w:cs="Times New Roman"/>
                <w:sz w:val="18"/>
                <w:szCs w:val="18"/>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3</w:t>
            </w:r>
          </w:p>
        </w:tc>
        <w:tc>
          <w:tcPr>
            <w:tcW w:w="1701" w:type="dxa"/>
            <w:vAlign w:val="center"/>
          </w:tcPr>
          <w:p>
            <w:pPr>
              <w:pStyle w:val="68"/>
              <w:spacing w:line="240" w:lineRule="auto"/>
              <w:ind w:firstLine="0" w:firstLineChars="0"/>
              <w:rPr>
                <w:rFonts w:cs="Times New Roman"/>
                <w:sz w:val="18"/>
                <w:szCs w:val="18"/>
              </w:rPr>
            </w:pPr>
            <w:r>
              <w:rPr>
                <w:rFonts w:hint="eastAsia" w:cs="Times New Roman"/>
                <w:sz w:val="18"/>
                <w:szCs w:val="18"/>
              </w:rPr>
              <w:t>合成革与人造革工业污染物排放标准</w:t>
            </w:r>
          </w:p>
        </w:tc>
        <w:tc>
          <w:tcPr>
            <w:tcW w:w="1134" w:type="dxa"/>
            <w:vAlign w:val="center"/>
          </w:tcPr>
          <w:p>
            <w:pPr>
              <w:pStyle w:val="68"/>
              <w:spacing w:line="240" w:lineRule="auto"/>
              <w:ind w:firstLine="0" w:firstLineChars="0"/>
              <w:rPr>
                <w:rFonts w:cs="Times New Roman"/>
                <w:sz w:val="18"/>
                <w:szCs w:val="18"/>
              </w:rPr>
            </w:pPr>
            <w:r>
              <w:rPr>
                <w:rFonts w:hint="eastAsia" w:cs="Times New Roman"/>
                <w:sz w:val="18"/>
                <w:szCs w:val="18"/>
              </w:rPr>
              <w:t>G</w:t>
            </w:r>
            <w:r>
              <w:rPr>
                <w:rFonts w:cs="Times New Roman"/>
                <w:sz w:val="18"/>
                <w:szCs w:val="18"/>
              </w:rPr>
              <w:t>B 21902-2008</w:t>
            </w:r>
          </w:p>
        </w:tc>
        <w:tc>
          <w:tcPr>
            <w:tcW w:w="992" w:type="dxa"/>
            <w:vAlign w:val="center"/>
          </w:tcPr>
          <w:p>
            <w:pPr>
              <w:pStyle w:val="68"/>
              <w:tabs>
                <w:tab w:val="left" w:pos="605"/>
              </w:tabs>
              <w:spacing w:line="240" w:lineRule="auto"/>
              <w:ind w:firstLine="0" w:firstLineChars="0"/>
              <w:jc w:val="center"/>
              <w:rPr>
                <w:rFonts w:cs="Times New Roman"/>
                <w:sz w:val="18"/>
                <w:szCs w:val="18"/>
              </w:rPr>
            </w:pPr>
            <w:r>
              <w:rPr>
                <w:rFonts w:hint="eastAsia" w:cs="Times New Roman"/>
                <w:sz w:val="18"/>
                <w:szCs w:val="18"/>
              </w:rPr>
              <w:t>分级</w:t>
            </w:r>
          </w:p>
        </w:tc>
        <w:tc>
          <w:tcPr>
            <w:tcW w:w="992"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行业</w:t>
            </w:r>
          </w:p>
        </w:tc>
        <w:tc>
          <w:tcPr>
            <w:tcW w:w="1134"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共6项</w:t>
            </w:r>
          </w:p>
        </w:tc>
        <w:tc>
          <w:tcPr>
            <w:tcW w:w="992" w:type="dxa"/>
            <w:vAlign w:val="center"/>
          </w:tcPr>
          <w:p>
            <w:pPr>
              <w:pStyle w:val="68"/>
              <w:spacing w:line="240" w:lineRule="auto"/>
              <w:ind w:firstLine="0" w:firstLineChars="0"/>
              <w:rPr>
                <w:rFonts w:cs="Times New Roman"/>
                <w:sz w:val="18"/>
                <w:szCs w:val="18"/>
              </w:rPr>
            </w:pPr>
            <w:r>
              <w:rPr>
                <w:rFonts w:hint="eastAsia" w:cs="Times New Roman"/>
                <w:sz w:val="18"/>
                <w:szCs w:val="18"/>
              </w:rPr>
              <w:t>排放浓度</w:t>
            </w:r>
          </w:p>
        </w:tc>
        <w:tc>
          <w:tcPr>
            <w:tcW w:w="930" w:type="dxa"/>
            <w:vAlign w:val="center"/>
          </w:tcPr>
          <w:p>
            <w:pPr>
              <w:pStyle w:val="68"/>
              <w:spacing w:line="240" w:lineRule="auto"/>
              <w:ind w:firstLine="0" w:firstLineChars="0"/>
              <w:rPr>
                <w:rFonts w:cs="Times New Roman"/>
                <w:sz w:val="18"/>
                <w:szCs w:val="18"/>
              </w:rPr>
            </w:pPr>
            <w:r>
              <w:rPr>
                <w:rFonts w:hint="eastAsia" w:cs="Times New Roman"/>
                <w:sz w:val="18"/>
                <w:szCs w:val="18"/>
              </w:rPr>
              <w:t>有组织，无组织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4</w:t>
            </w:r>
          </w:p>
        </w:tc>
        <w:tc>
          <w:tcPr>
            <w:tcW w:w="1701" w:type="dxa"/>
            <w:vAlign w:val="center"/>
          </w:tcPr>
          <w:p>
            <w:pPr>
              <w:pStyle w:val="68"/>
              <w:spacing w:line="240" w:lineRule="auto"/>
              <w:ind w:firstLine="0" w:firstLineChars="0"/>
              <w:rPr>
                <w:rFonts w:cs="Times New Roman"/>
                <w:sz w:val="18"/>
                <w:szCs w:val="18"/>
              </w:rPr>
            </w:pPr>
            <w:r>
              <w:rPr>
                <w:rFonts w:hint="eastAsia" w:cs="Times New Roman"/>
                <w:sz w:val="18"/>
                <w:szCs w:val="18"/>
              </w:rPr>
              <w:t>石油炼制工业污染物排放标准</w:t>
            </w:r>
          </w:p>
        </w:tc>
        <w:tc>
          <w:tcPr>
            <w:tcW w:w="1134" w:type="dxa"/>
            <w:vAlign w:val="center"/>
          </w:tcPr>
          <w:p>
            <w:pPr>
              <w:pStyle w:val="68"/>
              <w:spacing w:line="240" w:lineRule="auto"/>
              <w:ind w:firstLine="0" w:firstLineChars="0"/>
              <w:rPr>
                <w:rFonts w:cs="Times New Roman"/>
                <w:sz w:val="18"/>
                <w:szCs w:val="18"/>
              </w:rPr>
            </w:pPr>
            <w:r>
              <w:rPr>
                <w:rFonts w:hint="eastAsia" w:cs="Times New Roman"/>
                <w:sz w:val="18"/>
                <w:szCs w:val="18"/>
              </w:rPr>
              <w:t>G</w:t>
            </w:r>
            <w:r>
              <w:rPr>
                <w:rFonts w:cs="Times New Roman"/>
                <w:sz w:val="18"/>
                <w:szCs w:val="18"/>
              </w:rPr>
              <w:t>B 31570-2015</w:t>
            </w:r>
          </w:p>
        </w:tc>
        <w:tc>
          <w:tcPr>
            <w:tcW w:w="992"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分级</w:t>
            </w:r>
          </w:p>
        </w:tc>
        <w:tc>
          <w:tcPr>
            <w:tcW w:w="992"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行业</w:t>
            </w:r>
          </w:p>
        </w:tc>
        <w:tc>
          <w:tcPr>
            <w:tcW w:w="1134"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共</w:t>
            </w:r>
            <w:r>
              <w:rPr>
                <w:rFonts w:cs="Times New Roman"/>
                <w:sz w:val="18"/>
                <w:szCs w:val="18"/>
              </w:rPr>
              <w:t>12</w:t>
            </w:r>
            <w:r>
              <w:rPr>
                <w:rFonts w:hint="eastAsia" w:cs="Times New Roman"/>
                <w:sz w:val="18"/>
                <w:szCs w:val="18"/>
              </w:rPr>
              <w:t>项</w:t>
            </w:r>
          </w:p>
        </w:tc>
        <w:tc>
          <w:tcPr>
            <w:tcW w:w="992" w:type="dxa"/>
            <w:vAlign w:val="center"/>
          </w:tcPr>
          <w:p>
            <w:pPr>
              <w:pStyle w:val="68"/>
              <w:spacing w:line="240" w:lineRule="auto"/>
              <w:ind w:firstLine="0" w:firstLineChars="0"/>
              <w:rPr>
                <w:rFonts w:cs="Times New Roman"/>
                <w:sz w:val="18"/>
                <w:szCs w:val="18"/>
              </w:rPr>
            </w:pPr>
            <w:r>
              <w:rPr>
                <w:rFonts w:hint="eastAsia" w:cs="Times New Roman"/>
                <w:sz w:val="18"/>
                <w:szCs w:val="18"/>
              </w:rPr>
              <w:t>排放浓度</w:t>
            </w:r>
          </w:p>
        </w:tc>
        <w:tc>
          <w:tcPr>
            <w:tcW w:w="930" w:type="dxa"/>
            <w:vAlign w:val="center"/>
          </w:tcPr>
          <w:p>
            <w:pPr>
              <w:pStyle w:val="68"/>
              <w:spacing w:line="240" w:lineRule="auto"/>
              <w:ind w:firstLine="0" w:firstLineChars="0"/>
              <w:rPr>
                <w:rFonts w:cs="Times New Roman"/>
                <w:sz w:val="18"/>
                <w:szCs w:val="18"/>
              </w:rPr>
            </w:pPr>
            <w:r>
              <w:rPr>
                <w:rFonts w:hint="eastAsia" w:cs="Times New Roman"/>
                <w:sz w:val="18"/>
                <w:szCs w:val="18"/>
              </w:rPr>
              <w:t>有组织，无组织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5</w:t>
            </w:r>
          </w:p>
        </w:tc>
        <w:tc>
          <w:tcPr>
            <w:tcW w:w="1701" w:type="dxa"/>
            <w:vAlign w:val="center"/>
          </w:tcPr>
          <w:p>
            <w:pPr>
              <w:pStyle w:val="68"/>
              <w:spacing w:line="240" w:lineRule="auto"/>
              <w:ind w:firstLine="0" w:firstLineChars="0"/>
              <w:rPr>
                <w:rFonts w:cs="Times New Roman"/>
                <w:sz w:val="18"/>
                <w:szCs w:val="18"/>
              </w:rPr>
            </w:pPr>
            <w:r>
              <w:rPr>
                <w:rFonts w:hint="eastAsia" w:cs="Times New Roman"/>
                <w:sz w:val="18"/>
                <w:szCs w:val="18"/>
              </w:rPr>
              <w:t>石油化学工业污染物排放标准</w:t>
            </w:r>
          </w:p>
        </w:tc>
        <w:tc>
          <w:tcPr>
            <w:tcW w:w="1134" w:type="dxa"/>
            <w:vAlign w:val="center"/>
          </w:tcPr>
          <w:p>
            <w:pPr>
              <w:pStyle w:val="68"/>
              <w:spacing w:line="240" w:lineRule="auto"/>
              <w:ind w:firstLine="0" w:firstLineChars="0"/>
              <w:rPr>
                <w:rFonts w:cs="Times New Roman"/>
                <w:sz w:val="18"/>
                <w:szCs w:val="18"/>
              </w:rPr>
            </w:pPr>
            <w:r>
              <w:rPr>
                <w:rFonts w:hint="eastAsia" w:cs="Times New Roman"/>
                <w:sz w:val="18"/>
                <w:szCs w:val="18"/>
              </w:rPr>
              <w:t>G</w:t>
            </w:r>
            <w:r>
              <w:rPr>
                <w:rFonts w:cs="Times New Roman"/>
                <w:sz w:val="18"/>
                <w:szCs w:val="18"/>
              </w:rPr>
              <w:t>B 31571</w:t>
            </w:r>
            <w:r>
              <w:rPr>
                <w:rFonts w:hint="eastAsia" w:cs="Times New Roman"/>
                <w:sz w:val="18"/>
                <w:szCs w:val="18"/>
              </w:rPr>
              <w:t>-</w:t>
            </w:r>
            <w:r>
              <w:rPr>
                <w:rFonts w:cs="Times New Roman"/>
                <w:sz w:val="18"/>
                <w:szCs w:val="18"/>
              </w:rPr>
              <w:t>2015</w:t>
            </w:r>
          </w:p>
        </w:tc>
        <w:tc>
          <w:tcPr>
            <w:tcW w:w="992"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分级</w:t>
            </w:r>
          </w:p>
        </w:tc>
        <w:tc>
          <w:tcPr>
            <w:tcW w:w="992"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行业</w:t>
            </w:r>
          </w:p>
        </w:tc>
        <w:tc>
          <w:tcPr>
            <w:tcW w:w="1134"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共</w:t>
            </w:r>
            <w:r>
              <w:rPr>
                <w:rFonts w:cs="Times New Roman"/>
                <w:sz w:val="18"/>
                <w:szCs w:val="18"/>
              </w:rPr>
              <w:t>9</w:t>
            </w:r>
            <w:r>
              <w:rPr>
                <w:rFonts w:hint="eastAsia" w:cs="Times New Roman"/>
                <w:sz w:val="18"/>
                <w:szCs w:val="18"/>
              </w:rPr>
              <w:t>项</w:t>
            </w:r>
          </w:p>
        </w:tc>
        <w:tc>
          <w:tcPr>
            <w:tcW w:w="992" w:type="dxa"/>
            <w:vAlign w:val="center"/>
          </w:tcPr>
          <w:p>
            <w:pPr>
              <w:pStyle w:val="68"/>
              <w:spacing w:line="240" w:lineRule="auto"/>
              <w:ind w:firstLine="0" w:firstLineChars="0"/>
              <w:rPr>
                <w:rFonts w:cs="Times New Roman"/>
                <w:sz w:val="18"/>
                <w:szCs w:val="18"/>
              </w:rPr>
            </w:pPr>
            <w:r>
              <w:rPr>
                <w:rFonts w:hint="eastAsia" w:cs="Times New Roman"/>
                <w:sz w:val="18"/>
                <w:szCs w:val="18"/>
              </w:rPr>
              <w:t>排放浓度</w:t>
            </w:r>
          </w:p>
        </w:tc>
        <w:tc>
          <w:tcPr>
            <w:tcW w:w="930" w:type="dxa"/>
            <w:vAlign w:val="center"/>
          </w:tcPr>
          <w:p>
            <w:pPr>
              <w:pStyle w:val="68"/>
              <w:spacing w:line="240" w:lineRule="auto"/>
              <w:ind w:firstLine="0" w:firstLineChars="0"/>
              <w:rPr>
                <w:rFonts w:cs="Times New Roman"/>
                <w:sz w:val="18"/>
                <w:szCs w:val="18"/>
              </w:rPr>
            </w:pPr>
            <w:r>
              <w:rPr>
                <w:rFonts w:hint="eastAsia" w:cs="Times New Roman"/>
                <w:sz w:val="18"/>
                <w:szCs w:val="18"/>
              </w:rPr>
              <w:t>有组织，无组织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6</w:t>
            </w:r>
          </w:p>
        </w:tc>
        <w:tc>
          <w:tcPr>
            <w:tcW w:w="1701" w:type="dxa"/>
            <w:vAlign w:val="center"/>
          </w:tcPr>
          <w:p>
            <w:pPr>
              <w:pStyle w:val="68"/>
              <w:spacing w:line="240" w:lineRule="auto"/>
              <w:ind w:firstLine="0" w:firstLineChars="0"/>
              <w:rPr>
                <w:rFonts w:cs="Times New Roman"/>
                <w:sz w:val="18"/>
                <w:szCs w:val="18"/>
              </w:rPr>
            </w:pPr>
            <w:r>
              <w:rPr>
                <w:rFonts w:hint="eastAsia" w:cs="Times New Roman"/>
                <w:sz w:val="18"/>
                <w:szCs w:val="18"/>
              </w:rPr>
              <w:t>合成树脂工业污染物排放标准</w:t>
            </w:r>
          </w:p>
        </w:tc>
        <w:tc>
          <w:tcPr>
            <w:tcW w:w="1134" w:type="dxa"/>
            <w:vAlign w:val="center"/>
          </w:tcPr>
          <w:p>
            <w:pPr>
              <w:pStyle w:val="68"/>
              <w:spacing w:line="240" w:lineRule="auto"/>
              <w:ind w:firstLine="0" w:firstLineChars="0"/>
              <w:rPr>
                <w:rFonts w:cs="Times New Roman"/>
                <w:sz w:val="18"/>
                <w:szCs w:val="18"/>
              </w:rPr>
            </w:pPr>
            <w:r>
              <w:rPr>
                <w:rFonts w:hint="eastAsia" w:cs="Times New Roman"/>
                <w:sz w:val="18"/>
                <w:szCs w:val="18"/>
              </w:rPr>
              <w:t>G</w:t>
            </w:r>
            <w:r>
              <w:rPr>
                <w:rFonts w:cs="Times New Roman"/>
                <w:sz w:val="18"/>
                <w:szCs w:val="18"/>
              </w:rPr>
              <w:t>B 31572</w:t>
            </w:r>
            <w:r>
              <w:rPr>
                <w:rFonts w:hint="eastAsia" w:cs="Times New Roman"/>
                <w:sz w:val="18"/>
                <w:szCs w:val="18"/>
              </w:rPr>
              <w:t>-</w:t>
            </w:r>
            <w:r>
              <w:rPr>
                <w:rFonts w:cs="Times New Roman"/>
                <w:sz w:val="18"/>
                <w:szCs w:val="18"/>
              </w:rPr>
              <w:t>2015</w:t>
            </w:r>
          </w:p>
        </w:tc>
        <w:tc>
          <w:tcPr>
            <w:tcW w:w="992"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分级</w:t>
            </w:r>
          </w:p>
        </w:tc>
        <w:tc>
          <w:tcPr>
            <w:tcW w:w="992"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行业</w:t>
            </w:r>
          </w:p>
        </w:tc>
        <w:tc>
          <w:tcPr>
            <w:tcW w:w="1134"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共</w:t>
            </w:r>
            <w:r>
              <w:rPr>
                <w:rFonts w:cs="Times New Roman"/>
                <w:sz w:val="18"/>
                <w:szCs w:val="18"/>
              </w:rPr>
              <w:t>30</w:t>
            </w:r>
            <w:r>
              <w:rPr>
                <w:rFonts w:hint="eastAsia" w:cs="Times New Roman"/>
                <w:sz w:val="18"/>
                <w:szCs w:val="18"/>
              </w:rPr>
              <w:t>项</w:t>
            </w:r>
          </w:p>
        </w:tc>
        <w:tc>
          <w:tcPr>
            <w:tcW w:w="992" w:type="dxa"/>
            <w:vAlign w:val="center"/>
          </w:tcPr>
          <w:p>
            <w:pPr>
              <w:pStyle w:val="68"/>
              <w:spacing w:line="240" w:lineRule="auto"/>
              <w:ind w:firstLine="0" w:firstLineChars="0"/>
              <w:rPr>
                <w:rFonts w:cs="Times New Roman"/>
                <w:sz w:val="18"/>
                <w:szCs w:val="18"/>
              </w:rPr>
            </w:pPr>
            <w:r>
              <w:rPr>
                <w:rFonts w:hint="eastAsia" w:cs="Times New Roman"/>
                <w:sz w:val="18"/>
                <w:szCs w:val="18"/>
              </w:rPr>
              <w:t>排放浓度</w:t>
            </w:r>
          </w:p>
        </w:tc>
        <w:tc>
          <w:tcPr>
            <w:tcW w:w="930" w:type="dxa"/>
            <w:vAlign w:val="center"/>
          </w:tcPr>
          <w:p>
            <w:pPr>
              <w:pStyle w:val="68"/>
              <w:spacing w:line="240" w:lineRule="auto"/>
              <w:ind w:firstLine="0" w:firstLineChars="0"/>
              <w:rPr>
                <w:rFonts w:cs="Times New Roman"/>
                <w:sz w:val="18"/>
                <w:szCs w:val="18"/>
              </w:rPr>
            </w:pPr>
            <w:r>
              <w:rPr>
                <w:rFonts w:hint="eastAsia" w:cs="Times New Roman"/>
                <w:sz w:val="18"/>
                <w:szCs w:val="18"/>
              </w:rPr>
              <w:t>有组织，无组织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7</w:t>
            </w:r>
          </w:p>
        </w:tc>
        <w:tc>
          <w:tcPr>
            <w:tcW w:w="1701" w:type="dxa"/>
            <w:vAlign w:val="center"/>
          </w:tcPr>
          <w:p>
            <w:pPr>
              <w:pStyle w:val="68"/>
              <w:spacing w:line="240" w:lineRule="auto"/>
              <w:ind w:firstLine="0" w:firstLineChars="0"/>
              <w:rPr>
                <w:rFonts w:cs="Times New Roman"/>
                <w:sz w:val="18"/>
                <w:szCs w:val="18"/>
              </w:rPr>
            </w:pPr>
            <w:r>
              <w:rPr>
                <w:rFonts w:hint="eastAsia" w:cs="Times New Roman"/>
                <w:sz w:val="18"/>
                <w:szCs w:val="18"/>
              </w:rPr>
              <w:t>橡胶制品工业污染物排放标准</w:t>
            </w:r>
          </w:p>
        </w:tc>
        <w:tc>
          <w:tcPr>
            <w:tcW w:w="1134" w:type="dxa"/>
            <w:vAlign w:val="center"/>
          </w:tcPr>
          <w:p>
            <w:pPr>
              <w:pStyle w:val="68"/>
              <w:spacing w:line="240" w:lineRule="auto"/>
              <w:ind w:firstLine="0" w:firstLineChars="0"/>
              <w:rPr>
                <w:rFonts w:cs="Times New Roman"/>
                <w:sz w:val="18"/>
                <w:szCs w:val="18"/>
              </w:rPr>
            </w:pPr>
            <w:r>
              <w:rPr>
                <w:rFonts w:hint="eastAsia" w:cs="Times New Roman"/>
                <w:sz w:val="18"/>
                <w:szCs w:val="18"/>
              </w:rPr>
              <w:t>G</w:t>
            </w:r>
            <w:r>
              <w:rPr>
                <w:rFonts w:cs="Times New Roman"/>
                <w:sz w:val="18"/>
                <w:szCs w:val="18"/>
              </w:rPr>
              <w:t>B 27632</w:t>
            </w:r>
            <w:r>
              <w:rPr>
                <w:rFonts w:hint="eastAsia" w:cs="Times New Roman"/>
                <w:sz w:val="18"/>
                <w:szCs w:val="18"/>
              </w:rPr>
              <w:t>-</w:t>
            </w:r>
            <w:r>
              <w:rPr>
                <w:rFonts w:cs="Times New Roman"/>
                <w:sz w:val="18"/>
                <w:szCs w:val="18"/>
              </w:rPr>
              <w:t>2011</w:t>
            </w:r>
          </w:p>
        </w:tc>
        <w:tc>
          <w:tcPr>
            <w:tcW w:w="992"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分级</w:t>
            </w:r>
          </w:p>
        </w:tc>
        <w:tc>
          <w:tcPr>
            <w:tcW w:w="992"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行业</w:t>
            </w:r>
          </w:p>
        </w:tc>
        <w:tc>
          <w:tcPr>
            <w:tcW w:w="1134"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共</w:t>
            </w:r>
            <w:r>
              <w:rPr>
                <w:rFonts w:cs="Times New Roman"/>
                <w:sz w:val="18"/>
                <w:szCs w:val="18"/>
              </w:rPr>
              <w:t>4</w:t>
            </w:r>
            <w:r>
              <w:rPr>
                <w:rFonts w:hint="eastAsia" w:cs="Times New Roman"/>
                <w:sz w:val="18"/>
                <w:szCs w:val="18"/>
              </w:rPr>
              <w:t>项</w:t>
            </w:r>
          </w:p>
        </w:tc>
        <w:tc>
          <w:tcPr>
            <w:tcW w:w="992" w:type="dxa"/>
            <w:vAlign w:val="center"/>
          </w:tcPr>
          <w:p>
            <w:pPr>
              <w:pStyle w:val="68"/>
              <w:spacing w:line="240" w:lineRule="auto"/>
              <w:ind w:firstLine="0" w:firstLineChars="0"/>
              <w:rPr>
                <w:rFonts w:cs="Times New Roman"/>
                <w:sz w:val="18"/>
                <w:szCs w:val="18"/>
              </w:rPr>
            </w:pPr>
            <w:r>
              <w:rPr>
                <w:rFonts w:hint="eastAsia" w:cs="Times New Roman"/>
                <w:sz w:val="18"/>
                <w:szCs w:val="18"/>
              </w:rPr>
              <w:t>排放浓度</w:t>
            </w:r>
          </w:p>
        </w:tc>
        <w:tc>
          <w:tcPr>
            <w:tcW w:w="930" w:type="dxa"/>
            <w:vAlign w:val="center"/>
          </w:tcPr>
          <w:p>
            <w:pPr>
              <w:pStyle w:val="68"/>
              <w:spacing w:line="240" w:lineRule="auto"/>
              <w:ind w:firstLine="0" w:firstLineChars="0"/>
              <w:rPr>
                <w:rFonts w:cs="Times New Roman"/>
                <w:sz w:val="18"/>
                <w:szCs w:val="18"/>
              </w:rPr>
            </w:pPr>
            <w:r>
              <w:rPr>
                <w:rFonts w:hint="eastAsia" w:cs="Times New Roman"/>
                <w:sz w:val="18"/>
                <w:szCs w:val="18"/>
              </w:rPr>
              <w:t>有组织，无组织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8</w:t>
            </w:r>
          </w:p>
        </w:tc>
        <w:tc>
          <w:tcPr>
            <w:tcW w:w="1701" w:type="dxa"/>
            <w:vAlign w:val="center"/>
          </w:tcPr>
          <w:p>
            <w:pPr>
              <w:pStyle w:val="68"/>
              <w:spacing w:line="240" w:lineRule="auto"/>
              <w:ind w:firstLine="0" w:firstLineChars="0"/>
              <w:rPr>
                <w:rFonts w:cs="Times New Roman"/>
                <w:sz w:val="18"/>
                <w:szCs w:val="18"/>
              </w:rPr>
            </w:pPr>
            <w:r>
              <w:rPr>
                <w:rFonts w:hint="eastAsia" w:cs="Times New Roman"/>
                <w:sz w:val="18"/>
                <w:szCs w:val="18"/>
              </w:rPr>
              <w:t>涂料、油墨及胶粘剂工业大气污染物排放标准</w:t>
            </w:r>
          </w:p>
        </w:tc>
        <w:tc>
          <w:tcPr>
            <w:tcW w:w="1134" w:type="dxa"/>
            <w:vAlign w:val="center"/>
          </w:tcPr>
          <w:p>
            <w:pPr>
              <w:pStyle w:val="68"/>
              <w:spacing w:line="240" w:lineRule="auto"/>
              <w:ind w:firstLine="0" w:firstLineChars="0"/>
              <w:rPr>
                <w:rFonts w:cs="Times New Roman"/>
                <w:sz w:val="18"/>
                <w:szCs w:val="18"/>
              </w:rPr>
            </w:pPr>
            <w:r>
              <w:rPr>
                <w:rFonts w:hint="eastAsia" w:cs="Times New Roman"/>
                <w:sz w:val="18"/>
                <w:szCs w:val="18"/>
              </w:rPr>
              <w:t>G</w:t>
            </w:r>
            <w:r>
              <w:rPr>
                <w:rFonts w:cs="Times New Roman"/>
                <w:sz w:val="18"/>
                <w:szCs w:val="18"/>
              </w:rPr>
              <w:t>B 37824</w:t>
            </w:r>
            <w:r>
              <w:rPr>
                <w:rFonts w:hint="eastAsia" w:cs="Times New Roman"/>
                <w:sz w:val="18"/>
                <w:szCs w:val="18"/>
              </w:rPr>
              <w:t>-</w:t>
            </w:r>
            <w:r>
              <w:rPr>
                <w:rFonts w:cs="Times New Roman"/>
                <w:sz w:val="18"/>
                <w:szCs w:val="18"/>
              </w:rPr>
              <w:t>2019</w:t>
            </w:r>
          </w:p>
        </w:tc>
        <w:tc>
          <w:tcPr>
            <w:tcW w:w="992"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分级</w:t>
            </w:r>
          </w:p>
        </w:tc>
        <w:tc>
          <w:tcPr>
            <w:tcW w:w="992"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行业</w:t>
            </w:r>
          </w:p>
        </w:tc>
        <w:tc>
          <w:tcPr>
            <w:tcW w:w="1134"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共</w:t>
            </w:r>
            <w:r>
              <w:rPr>
                <w:rFonts w:cs="Times New Roman"/>
                <w:sz w:val="18"/>
                <w:szCs w:val="18"/>
              </w:rPr>
              <w:t>8</w:t>
            </w:r>
            <w:r>
              <w:rPr>
                <w:rFonts w:hint="eastAsia" w:cs="Times New Roman"/>
                <w:sz w:val="18"/>
                <w:szCs w:val="18"/>
              </w:rPr>
              <w:t>项</w:t>
            </w:r>
          </w:p>
        </w:tc>
        <w:tc>
          <w:tcPr>
            <w:tcW w:w="992" w:type="dxa"/>
            <w:vAlign w:val="center"/>
          </w:tcPr>
          <w:p>
            <w:pPr>
              <w:pStyle w:val="68"/>
              <w:spacing w:line="240" w:lineRule="auto"/>
              <w:ind w:firstLine="0" w:firstLineChars="0"/>
              <w:rPr>
                <w:rFonts w:cs="Times New Roman"/>
                <w:sz w:val="18"/>
                <w:szCs w:val="18"/>
              </w:rPr>
            </w:pPr>
            <w:r>
              <w:rPr>
                <w:rFonts w:hint="eastAsia" w:cs="Times New Roman"/>
                <w:sz w:val="18"/>
                <w:szCs w:val="18"/>
              </w:rPr>
              <w:t>排放浓度，排放速率</w:t>
            </w:r>
          </w:p>
        </w:tc>
        <w:tc>
          <w:tcPr>
            <w:tcW w:w="930" w:type="dxa"/>
            <w:vAlign w:val="center"/>
          </w:tcPr>
          <w:p>
            <w:pPr>
              <w:pStyle w:val="68"/>
              <w:spacing w:line="240" w:lineRule="auto"/>
              <w:ind w:firstLine="0" w:firstLineChars="0"/>
              <w:rPr>
                <w:rFonts w:cs="Times New Roman"/>
                <w:sz w:val="18"/>
                <w:szCs w:val="18"/>
              </w:rPr>
            </w:pPr>
            <w:r>
              <w:rPr>
                <w:rFonts w:hint="eastAsia" w:cs="Times New Roman"/>
                <w:sz w:val="18"/>
                <w:szCs w:val="18"/>
              </w:rPr>
              <w:t>有组织，无组织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9</w:t>
            </w:r>
          </w:p>
        </w:tc>
        <w:tc>
          <w:tcPr>
            <w:tcW w:w="1701" w:type="dxa"/>
            <w:vAlign w:val="center"/>
          </w:tcPr>
          <w:p>
            <w:pPr>
              <w:pStyle w:val="68"/>
              <w:spacing w:line="240" w:lineRule="auto"/>
              <w:ind w:firstLine="0" w:firstLineChars="0"/>
              <w:rPr>
                <w:rFonts w:cs="Times New Roman"/>
                <w:sz w:val="18"/>
                <w:szCs w:val="18"/>
              </w:rPr>
            </w:pPr>
            <w:r>
              <w:rPr>
                <w:rFonts w:hint="eastAsia" w:cs="Times New Roman"/>
                <w:sz w:val="18"/>
                <w:szCs w:val="18"/>
              </w:rPr>
              <w:t>制药工业大气污染物排放标准</w:t>
            </w:r>
          </w:p>
        </w:tc>
        <w:tc>
          <w:tcPr>
            <w:tcW w:w="1134" w:type="dxa"/>
            <w:vAlign w:val="center"/>
          </w:tcPr>
          <w:p>
            <w:pPr>
              <w:pStyle w:val="68"/>
              <w:spacing w:line="240" w:lineRule="auto"/>
              <w:ind w:firstLine="0" w:firstLineChars="0"/>
              <w:rPr>
                <w:rFonts w:cs="Times New Roman"/>
                <w:sz w:val="18"/>
                <w:szCs w:val="18"/>
              </w:rPr>
            </w:pPr>
            <w:r>
              <w:rPr>
                <w:rFonts w:hint="eastAsia" w:cs="Times New Roman"/>
                <w:sz w:val="18"/>
                <w:szCs w:val="18"/>
              </w:rPr>
              <w:t>G</w:t>
            </w:r>
            <w:r>
              <w:rPr>
                <w:rFonts w:cs="Times New Roman"/>
                <w:sz w:val="18"/>
                <w:szCs w:val="18"/>
              </w:rPr>
              <w:t>B 37823</w:t>
            </w:r>
            <w:r>
              <w:rPr>
                <w:rFonts w:hint="eastAsia" w:cs="Times New Roman"/>
                <w:sz w:val="18"/>
                <w:szCs w:val="18"/>
              </w:rPr>
              <w:t>-</w:t>
            </w:r>
            <w:r>
              <w:rPr>
                <w:rFonts w:cs="Times New Roman"/>
                <w:sz w:val="18"/>
                <w:szCs w:val="18"/>
              </w:rPr>
              <w:t>2019</w:t>
            </w:r>
          </w:p>
        </w:tc>
        <w:tc>
          <w:tcPr>
            <w:tcW w:w="992"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分级</w:t>
            </w:r>
          </w:p>
        </w:tc>
        <w:tc>
          <w:tcPr>
            <w:tcW w:w="992"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行业</w:t>
            </w:r>
          </w:p>
        </w:tc>
        <w:tc>
          <w:tcPr>
            <w:tcW w:w="1134" w:type="dxa"/>
            <w:vAlign w:val="center"/>
          </w:tcPr>
          <w:p>
            <w:pPr>
              <w:pStyle w:val="68"/>
              <w:spacing w:line="240" w:lineRule="auto"/>
              <w:ind w:firstLine="0" w:firstLineChars="0"/>
              <w:jc w:val="center"/>
              <w:rPr>
                <w:rFonts w:cs="Times New Roman"/>
                <w:sz w:val="18"/>
                <w:szCs w:val="18"/>
              </w:rPr>
            </w:pPr>
            <w:r>
              <w:rPr>
                <w:rFonts w:hint="eastAsia" w:cs="Times New Roman"/>
                <w:sz w:val="18"/>
                <w:szCs w:val="18"/>
              </w:rPr>
              <w:t>共</w:t>
            </w:r>
            <w:r>
              <w:rPr>
                <w:rFonts w:cs="Times New Roman"/>
                <w:sz w:val="18"/>
                <w:szCs w:val="18"/>
              </w:rPr>
              <w:t>12</w:t>
            </w:r>
            <w:r>
              <w:rPr>
                <w:rFonts w:hint="eastAsia" w:cs="Times New Roman"/>
                <w:sz w:val="18"/>
                <w:szCs w:val="18"/>
              </w:rPr>
              <w:t>项</w:t>
            </w:r>
          </w:p>
        </w:tc>
        <w:tc>
          <w:tcPr>
            <w:tcW w:w="992" w:type="dxa"/>
            <w:vAlign w:val="center"/>
          </w:tcPr>
          <w:p>
            <w:pPr>
              <w:pStyle w:val="68"/>
              <w:spacing w:line="240" w:lineRule="auto"/>
              <w:ind w:firstLine="0" w:firstLineChars="0"/>
              <w:rPr>
                <w:rFonts w:cs="Times New Roman"/>
                <w:sz w:val="18"/>
                <w:szCs w:val="18"/>
              </w:rPr>
            </w:pPr>
            <w:r>
              <w:rPr>
                <w:rFonts w:hint="eastAsia" w:cs="Times New Roman"/>
                <w:sz w:val="18"/>
                <w:szCs w:val="18"/>
              </w:rPr>
              <w:t>排放浓度，排放速率</w:t>
            </w:r>
          </w:p>
        </w:tc>
        <w:tc>
          <w:tcPr>
            <w:tcW w:w="930" w:type="dxa"/>
            <w:vAlign w:val="center"/>
          </w:tcPr>
          <w:p>
            <w:pPr>
              <w:pStyle w:val="68"/>
              <w:spacing w:line="240" w:lineRule="auto"/>
              <w:ind w:firstLine="0" w:firstLineChars="0"/>
              <w:rPr>
                <w:rFonts w:cs="Times New Roman"/>
                <w:sz w:val="18"/>
                <w:szCs w:val="18"/>
              </w:rPr>
            </w:pPr>
            <w:r>
              <w:rPr>
                <w:rFonts w:hint="eastAsia" w:cs="Times New Roman"/>
                <w:sz w:val="18"/>
                <w:szCs w:val="18"/>
              </w:rPr>
              <w:t>有组织，无组织</w:t>
            </w:r>
          </w:p>
        </w:tc>
      </w:tr>
    </w:tbl>
    <w:p>
      <w:pPr>
        <w:pStyle w:val="4"/>
        <w:ind w:left="0" w:firstLine="0"/>
      </w:pPr>
      <w:r>
        <w:t>广东</w:t>
      </w:r>
      <w:bookmarkEnd w:id="107"/>
    </w:p>
    <w:p>
      <w:pPr>
        <w:pStyle w:val="68"/>
        <w:rPr>
          <w:rFonts w:cs="Times New Roman"/>
        </w:rPr>
      </w:pPr>
      <w:r>
        <w:rPr>
          <w:rFonts w:cs="Times New Roman"/>
        </w:rPr>
        <w:t>广东省目前涉及固定源VOCs排放标准体系如</w:t>
      </w:r>
      <w:r>
        <w:rPr>
          <w:rFonts w:cs="Times New Roman"/>
        </w:rPr>
        <w:fldChar w:fldCharType="begin"/>
      </w:r>
      <w:r>
        <w:rPr>
          <w:rFonts w:cs="Times New Roman"/>
        </w:rPr>
        <w:instrText xml:space="preserve"> REF _Ref26348315 \h  \* MERGEFORMAT </w:instrText>
      </w:r>
      <w:r>
        <w:rPr>
          <w:rFonts w:cs="Times New Roman"/>
        </w:rPr>
        <w:fldChar w:fldCharType="separate"/>
      </w:r>
      <w:r>
        <w:rPr>
          <w:rFonts w:cs="Times New Roman"/>
        </w:rPr>
        <w:t>表 5</w:t>
      </w:r>
      <w:r>
        <w:rPr>
          <w:rFonts w:cs="Times New Roman"/>
        </w:rPr>
        <w:noBreakHyphen/>
      </w:r>
      <w:r>
        <w:rPr>
          <w:rFonts w:cs="Times New Roman"/>
        </w:rPr>
        <w:fldChar w:fldCharType="end"/>
      </w:r>
      <w:r>
        <w:rPr>
          <w:rFonts w:cs="Times New Roman"/>
        </w:rPr>
        <w:t>3所示。</w:t>
      </w:r>
    </w:p>
    <w:p>
      <w:pPr>
        <w:pStyle w:val="13"/>
        <w:spacing w:before="156" w:beforeLines="50" w:after="156" w:afterLines="50"/>
      </w:pPr>
      <w:bookmarkStart w:id="108" w:name="_Ref26348315"/>
      <w:r>
        <w:t xml:space="preserve">表 </w:t>
      </w:r>
      <w:r>
        <w:fldChar w:fldCharType="begin"/>
      </w:r>
      <w:r>
        <w:instrText xml:space="preserve"> STYLEREF 1 \s </w:instrText>
      </w:r>
      <w:r>
        <w:fldChar w:fldCharType="separate"/>
      </w:r>
      <w:r>
        <w:t>5</w:t>
      </w:r>
      <w:r>
        <w:fldChar w:fldCharType="end"/>
      </w:r>
      <w:r>
        <w:noBreakHyphen/>
      </w:r>
      <w:bookmarkEnd w:id="108"/>
      <w:r>
        <w:t>3 广东省固定源VOCs排放标准体系</w:t>
      </w:r>
    </w:p>
    <w:p>
      <w:pPr>
        <w:spacing w:before="6" w:line="70" w:lineRule="exact"/>
        <w:jc w:val="left"/>
        <w:rPr>
          <w:rFonts w:ascii="Times New Roman" w:hAnsi="Times New Roman"/>
          <w:kern w:val="0"/>
          <w:sz w:val="7"/>
          <w:szCs w:val="7"/>
        </w:rPr>
      </w:pPr>
    </w:p>
    <w:tbl>
      <w:tblPr>
        <w:tblStyle w:val="126"/>
        <w:tblW w:w="5000" w:type="pct"/>
        <w:jc w:val="center"/>
        <w:tblLayout w:type="autofit"/>
        <w:tblCellMar>
          <w:top w:w="0" w:type="dxa"/>
          <w:left w:w="0" w:type="dxa"/>
          <w:bottom w:w="0" w:type="dxa"/>
          <w:right w:w="0" w:type="dxa"/>
        </w:tblCellMar>
      </w:tblPr>
      <w:tblGrid>
        <w:gridCol w:w="713"/>
        <w:gridCol w:w="3140"/>
        <w:gridCol w:w="1785"/>
        <w:gridCol w:w="2678"/>
      </w:tblGrid>
      <w:tr>
        <w:tblPrEx>
          <w:tblCellMar>
            <w:top w:w="0" w:type="dxa"/>
            <w:left w:w="0" w:type="dxa"/>
            <w:bottom w:w="0" w:type="dxa"/>
            <w:right w:w="0" w:type="dxa"/>
          </w:tblCellMar>
        </w:tblPrEx>
        <w:trPr>
          <w:trHeight w:val="113" w:hRule="atLeast"/>
          <w:jc w:val="center"/>
        </w:trPr>
        <w:tc>
          <w:tcPr>
            <w:tcW w:w="429" w:type="pct"/>
            <w:tcBorders>
              <w:top w:val="single" w:color="000000" w:sz="4" w:space="0"/>
              <w:left w:val="single" w:color="000000" w:sz="4" w:space="0"/>
              <w:bottom w:val="single" w:color="000000" w:sz="4" w:space="0"/>
              <w:right w:val="single" w:color="000000" w:sz="4" w:space="0"/>
            </w:tcBorders>
            <w:vAlign w:val="center"/>
          </w:tcPr>
          <w:p>
            <w:pPr>
              <w:spacing w:line="207" w:lineRule="exact"/>
              <w:jc w:val="center"/>
              <w:rPr>
                <w:rFonts w:ascii="Times New Roman" w:hAnsi="Times New Roman"/>
                <w:b/>
                <w:kern w:val="0"/>
                <w:sz w:val="18"/>
                <w:szCs w:val="18"/>
                <w:lang w:eastAsia="en-US"/>
              </w:rPr>
            </w:pPr>
            <w:r>
              <w:rPr>
                <w:rFonts w:ascii="Times New Roman" w:hAnsi="Times New Roman"/>
                <w:b/>
                <w:spacing w:val="2"/>
                <w:kern w:val="0"/>
                <w:sz w:val="18"/>
                <w:szCs w:val="18"/>
                <w:lang w:eastAsia="en-US"/>
              </w:rPr>
              <w:t>序号</w:t>
            </w:r>
          </w:p>
        </w:tc>
        <w:tc>
          <w:tcPr>
            <w:tcW w:w="1888" w:type="pct"/>
            <w:tcBorders>
              <w:top w:val="single" w:color="000000" w:sz="4" w:space="0"/>
              <w:left w:val="single" w:color="000000" w:sz="4" w:space="0"/>
              <w:bottom w:val="single" w:color="000000" w:sz="4" w:space="0"/>
              <w:right w:val="single" w:color="000000" w:sz="4" w:space="0"/>
            </w:tcBorders>
            <w:vAlign w:val="center"/>
          </w:tcPr>
          <w:p>
            <w:pPr>
              <w:spacing w:line="207" w:lineRule="exact"/>
              <w:jc w:val="center"/>
              <w:rPr>
                <w:rFonts w:ascii="Times New Roman" w:hAnsi="Times New Roman"/>
                <w:b/>
                <w:kern w:val="0"/>
                <w:sz w:val="18"/>
                <w:szCs w:val="18"/>
                <w:lang w:eastAsia="en-US"/>
              </w:rPr>
            </w:pPr>
            <w:r>
              <w:rPr>
                <w:rFonts w:ascii="Times New Roman" w:hAnsi="Times New Roman"/>
                <w:b/>
                <w:spacing w:val="2"/>
                <w:kern w:val="0"/>
                <w:sz w:val="18"/>
                <w:szCs w:val="18"/>
                <w:lang w:eastAsia="en-US"/>
              </w:rPr>
              <w:t>标</w:t>
            </w:r>
            <w:r>
              <w:rPr>
                <w:rFonts w:ascii="Times New Roman" w:hAnsi="Times New Roman"/>
                <w:b/>
                <w:kern w:val="0"/>
                <w:sz w:val="18"/>
                <w:szCs w:val="18"/>
                <w:lang w:eastAsia="en-US"/>
              </w:rPr>
              <w:t>准名称</w:t>
            </w:r>
          </w:p>
        </w:tc>
        <w:tc>
          <w:tcPr>
            <w:tcW w:w="1073" w:type="pct"/>
            <w:tcBorders>
              <w:top w:val="single" w:color="000000" w:sz="4" w:space="0"/>
              <w:left w:val="single" w:color="000000" w:sz="4" w:space="0"/>
              <w:bottom w:val="single" w:color="000000" w:sz="4" w:space="0"/>
              <w:right w:val="single" w:color="000000" w:sz="4" w:space="0"/>
            </w:tcBorders>
            <w:vAlign w:val="center"/>
          </w:tcPr>
          <w:p>
            <w:pPr>
              <w:spacing w:line="207" w:lineRule="exact"/>
              <w:jc w:val="center"/>
              <w:rPr>
                <w:rFonts w:ascii="Times New Roman" w:hAnsi="Times New Roman"/>
                <w:b/>
                <w:kern w:val="0"/>
                <w:sz w:val="18"/>
                <w:szCs w:val="18"/>
                <w:lang w:eastAsia="en-US"/>
              </w:rPr>
            </w:pPr>
            <w:r>
              <w:rPr>
                <w:rFonts w:ascii="Times New Roman" w:hAnsi="Times New Roman"/>
                <w:b/>
                <w:spacing w:val="2"/>
                <w:kern w:val="0"/>
                <w:sz w:val="18"/>
                <w:szCs w:val="18"/>
                <w:lang w:eastAsia="en-US"/>
              </w:rPr>
              <w:t>标</w:t>
            </w:r>
            <w:r>
              <w:rPr>
                <w:rFonts w:ascii="Times New Roman" w:hAnsi="Times New Roman"/>
                <w:b/>
                <w:kern w:val="0"/>
                <w:sz w:val="18"/>
                <w:szCs w:val="18"/>
                <w:lang w:eastAsia="en-US"/>
              </w:rPr>
              <w:t>准编号</w:t>
            </w:r>
          </w:p>
        </w:tc>
        <w:tc>
          <w:tcPr>
            <w:tcW w:w="1610" w:type="pct"/>
            <w:tcBorders>
              <w:top w:val="single" w:color="000000" w:sz="4" w:space="0"/>
              <w:left w:val="single" w:color="000000" w:sz="4" w:space="0"/>
              <w:bottom w:val="single" w:color="000000" w:sz="4" w:space="0"/>
              <w:right w:val="single" w:color="000000" w:sz="4" w:space="0"/>
            </w:tcBorders>
            <w:vAlign w:val="center"/>
          </w:tcPr>
          <w:p>
            <w:pPr>
              <w:spacing w:line="207" w:lineRule="exact"/>
              <w:jc w:val="center"/>
              <w:rPr>
                <w:rFonts w:ascii="Times New Roman" w:hAnsi="Times New Roman"/>
                <w:b/>
                <w:kern w:val="0"/>
                <w:sz w:val="18"/>
                <w:szCs w:val="18"/>
                <w:lang w:eastAsia="en-US"/>
              </w:rPr>
            </w:pPr>
            <w:r>
              <w:rPr>
                <w:rFonts w:ascii="Times New Roman" w:hAnsi="Times New Roman"/>
                <w:b/>
                <w:spacing w:val="2"/>
                <w:kern w:val="0"/>
                <w:sz w:val="18"/>
                <w:szCs w:val="18"/>
                <w:lang w:eastAsia="en-US"/>
              </w:rPr>
              <w:t>所</w:t>
            </w:r>
            <w:r>
              <w:rPr>
                <w:rFonts w:ascii="Times New Roman" w:hAnsi="Times New Roman"/>
                <w:b/>
                <w:kern w:val="0"/>
                <w:sz w:val="18"/>
                <w:szCs w:val="18"/>
                <w:lang w:eastAsia="en-US"/>
              </w:rPr>
              <w:t>属行业</w:t>
            </w:r>
          </w:p>
        </w:tc>
      </w:tr>
      <w:tr>
        <w:tblPrEx>
          <w:tblCellMar>
            <w:top w:w="0" w:type="dxa"/>
            <w:left w:w="0" w:type="dxa"/>
            <w:bottom w:w="0" w:type="dxa"/>
            <w:right w:w="0" w:type="dxa"/>
          </w:tblCellMar>
        </w:tblPrEx>
        <w:trPr>
          <w:trHeight w:val="303" w:hRule="atLeast"/>
          <w:jc w:val="center"/>
        </w:trPr>
        <w:tc>
          <w:tcPr>
            <w:tcW w:w="429" w:type="pct"/>
            <w:tcBorders>
              <w:top w:val="single" w:color="000000" w:sz="4" w:space="0"/>
              <w:left w:val="single" w:color="000000" w:sz="4" w:space="0"/>
              <w:bottom w:val="single" w:color="000000" w:sz="4" w:space="0"/>
              <w:right w:val="single" w:color="000000" w:sz="4" w:space="0"/>
            </w:tcBorders>
            <w:vAlign w:val="center"/>
          </w:tcPr>
          <w:p>
            <w:pPr>
              <w:spacing w:line="207" w:lineRule="exact"/>
              <w:jc w:val="center"/>
              <w:rPr>
                <w:rFonts w:ascii="Times New Roman" w:hAnsi="Times New Roman"/>
                <w:spacing w:val="2"/>
                <w:kern w:val="0"/>
                <w:sz w:val="18"/>
                <w:szCs w:val="18"/>
                <w:lang w:eastAsia="en-US"/>
              </w:rPr>
            </w:pPr>
            <w:r>
              <w:rPr>
                <w:rFonts w:ascii="Times New Roman" w:hAnsi="Times New Roman"/>
                <w:spacing w:val="2"/>
                <w:kern w:val="0"/>
                <w:sz w:val="18"/>
                <w:szCs w:val="18"/>
                <w:lang w:eastAsia="en-US"/>
              </w:rPr>
              <w:t>1</w:t>
            </w:r>
          </w:p>
        </w:tc>
        <w:tc>
          <w:tcPr>
            <w:tcW w:w="1888" w:type="pct"/>
            <w:tcBorders>
              <w:top w:val="single" w:color="000000" w:sz="4" w:space="0"/>
              <w:left w:val="single" w:color="000000" w:sz="4" w:space="0"/>
              <w:bottom w:val="single" w:color="000000" w:sz="4" w:space="0"/>
              <w:right w:val="single" w:color="000000" w:sz="4" w:space="0"/>
            </w:tcBorders>
            <w:vAlign w:val="center"/>
          </w:tcPr>
          <w:p>
            <w:pPr>
              <w:spacing w:line="207" w:lineRule="exact"/>
              <w:jc w:val="left"/>
              <w:rPr>
                <w:rFonts w:ascii="Times New Roman" w:hAnsi="Times New Roman"/>
                <w:spacing w:val="2"/>
                <w:kern w:val="0"/>
                <w:sz w:val="18"/>
                <w:szCs w:val="18"/>
                <w:lang w:eastAsia="zh-CN"/>
              </w:rPr>
            </w:pPr>
            <w:r>
              <w:rPr>
                <w:rFonts w:ascii="Times New Roman" w:hAnsi="Times New Roman"/>
                <w:spacing w:val="2"/>
                <w:kern w:val="0"/>
                <w:sz w:val="18"/>
                <w:szCs w:val="18"/>
                <w:lang w:eastAsia="zh-CN"/>
              </w:rPr>
              <w:t>广东省大气污染物综合排放</w:t>
            </w:r>
            <w:r>
              <w:rPr>
                <w:rFonts w:ascii="Times New Roman" w:hAnsi="Times New Roman"/>
                <w:kern w:val="0"/>
                <w:sz w:val="18"/>
                <w:szCs w:val="18"/>
                <w:lang w:eastAsia="zh-CN"/>
              </w:rPr>
              <w:t>限值</w:t>
            </w:r>
          </w:p>
        </w:tc>
        <w:tc>
          <w:tcPr>
            <w:tcW w:w="1073" w:type="pct"/>
            <w:tcBorders>
              <w:top w:val="single" w:color="000000" w:sz="4" w:space="0"/>
              <w:left w:val="single" w:color="000000" w:sz="4" w:space="0"/>
              <w:bottom w:val="single" w:color="000000" w:sz="4" w:space="0"/>
              <w:right w:val="single" w:color="000000" w:sz="4" w:space="0"/>
            </w:tcBorders>
            <w:vAlign w:val="center"/>
          </w:tcPr>
          <w:p>
            <w:pPr>
              <w:spacing w:line="207" w:lineRule="exact"/>
              <w:jc w:val="left"/>
              <w:rPr>
                <w:rFonts w:ascii="Times New Roman" w:hAnsi="Times New Roman"/>
                <w:spacing w:val="2"/>
                <w:kern w:val="0"/>
                <w:sz w:val="18"/>
                <w:szCs w:val="18"/>
                <w:lang w:eastAsia="en-US"/>
              </w:rPr>
            </w:pPr>
            <w:r>
              <w:rPr>
                <w:rFonts w:ascii="Times New Roman" w:hAnsi="Times New Roman"/>
                <w:spacing w:val="2"/>
                <w:kern w:val="0"/>
                <w:sz w:val="18"/>
                <w:szCs w:val="18"/>
                <w:lang w:eastAsia="en-US"/>
              </w:rPr>
              <w:t>DB44/27-2001</w:t>
            </w:r>
          </w:p>
        </w:tc>
        <w:tc>
          <w:tcPr>
            <w:tcW w:w="1610" w:type="pct"/>
            <w:tcBorders>
              <w:top w:val="single" w:color="000000" w:sz="4" w:space="0"/>
              <w:left w:val="single" w:color="000000" w:sz="4" w:space="0"/>
              <w:bottom w:val="single" w:color="000000" w:sz="4" w:space="0"/>
              <w:right w:val="single" w:color="000000" w:sz="4" w:space="0"/>
            </w:tcBorders>
            <w:vAlign w:val="center"/>
          </w:tcPr>
          <w:p>
            <w:pPr>
              <w:spacing w:line="207" w:lineRule="exact"/>
              <w:jc w:val="left"/>
              <w:rPr>
                <w:rFonts w:ascii="Times New Roman" w:hAnsi="Times New Roman"/>
                <w:spacing w:val="2"/>
                <w:kern w:val="0"/>
                <w:sz w:val="18"/>
                <w:szCs w:val="18"/>
                <w:lang w:eastAsia="en-US"/>
              </w:rPr>
            </w:pPr>
            <w:r>
              <w:rPr>
                <w:rFonts w:ascii="Times New Roman" w:hAnsi="Times New Roman"/>
                <w:spacing w:val="2"/>
                <w:kern w:val="0"/>
                <w:sz w:val="18"/>
                <w:szCs w:val="18"/>
                <w:lang w:eastAsia="en-US"/>
              </w:rPr>
              <w:t>综合</w:t>
            </w:r>
          </w:p>
        </w:tc>
      </w:tr>
      <w:tr>
        <w:tblPrEx>
          <w:tblCellMar>
            <w:top w:w="0" w:type="dxa"/>
            <w:left w:w="0" w:type="dxa"/>
            <w:bottom w:w="0" w:type="dxa"/>
            <w:right w:w="0" w:type="dxa"/>
          </w:tblCellMar>
        </w:tblPrEx>
        <w:trPr>
          <w:trHeight w:val="283" w:hRule="atLeast"/>
          <w:jc w:val="center"/>
        </w:trPr>
        <w:tc>
          <w:tcPr>
            <w:tcW w:w="429" w:type="pct"/>
            <w:tcBorders>
              <w:top w:val="single" w:color="000000" w:sz="4" w:space="0"/>
              <w:left w:val="single" w:color="000000" w:sz="4" w:space="0"/>
              <w:bottom w:val="single" w:color="000000" w:sz="4" w:space="0"/>
              <w:right w:val="single" w:color="000000" w:sz="4" w:space="0"/>
            </w:tcBorders>
            <w:vAlign w:val="center"/>
          </w:tcPr>
          <w:p>
            <w:pPr>
              <w:spacing w:line="207" w:lineRule="exact"/>
              <w:jc w:val="center"/>
              <w:rPr>
                <w:rFonts w:ascii="Times New Roman" w:hAnsi="Times New Roman"/>
                <w:spacing w:val="2"/>
                <w:kern w:val="0"/>
                <w:sz w:val="18"/>
                <w:szCs w:val="18"/>
                <w:lang w:eastAsia="en-US"/>
              </w:rPr>
            </w:pPr>
            <w:r>
              <w:rPr>
                <w:rFonts w:ascii="Times New Roman" w:hAnsi="Times New Roman"/>
                <w:spacing w:val="2"/>
                <w:kern w:val="0"/>
                <w:sz w:val="18"/>
                <w:szCs w:val="18"/>
                <w:lang w:eastAsia="en-US"/>
              </w:rPr>
              <w:t>2</w:t>
            </w:r>
          </w:p>
        </w:tc>
        <w:tc>
          <w:tcPr>
            <w:tcW w:w="1888" w:type="pct"/>
            <w:tcBorders>
              <w:top w:val="single" w:color="000000" w:sz="4" w:space="0"/>
              <w:left w:val="single" w:color="000000" w:sz="4" w:space="0"/>
              <w:bottom w:val="single" w:color="000000" w:sz="4" w:space="0"/>
              <w:right w:val="single" w:color="000000" w:sz="4" w:space="0"/>
            </w:tcBorders>
            <w:vAlign w:val="center"/>
          </w:tcPr>
          <w:p>
            <w:pPr>
              <w:spacing w:line="207" w:lineRule="exact"/>
              <w:jc w:val="left"/>
              <w:rPr>
                <w:rFonts w:ascii="Times New Roman" w:hAnsi="Times New Roman"/>
                <w:spacing w:val="2"/>
                <w:kern w:val="0"/>
                <w:sz w:val="18"/>
                <w:szCs w:val="18"/>
                <w:lang w:eastAsia="zh-CN"/>
              </w:rPr>
            </w:pPr>
            <w:r>
              <w:rPr>
                <w:rFonts w:ascii="Times New Roman" w:hAnsi="Times New Roman"/>
                <w:spacing w:val="2"/>
                <w:kern w:val="0"/>
                <w:sz w:val="18"/>
                <w:szCs w:val="18"/>
                <w:lang w:eastAsia="zh-CN"/>
              </w:rPr>
              <w:t>广东省印刷行业VOCs排放标准</w:t>
            </w:r>
          </w:p>
        </w:tc>
        <w:tc>
          <w:tcPr>
            <w:tcW w:w="1073" w:type="pct"/>
            <w:tcBorders>
              <w:top w:val="single" w:color="000000" w:sz="4" w:space="0"/>
              <w:left w:val="single" w:color="000000" w:sz="4" w:space="0"/>
              <w:bottom w:val="single" w:color="000000" w:sz="4" w:space="0"/>
              <w:right w:val="single" w:color="000000" w:sz="4" w:space="0"/>
            </w:tcBorders>
            <w:vAlign w:val="center"/>
          </w:tcPr>
          <w:p>
            <w:pPr>
              <w:spacing w:line="207" w:lineRule="exact"/>
              <w:jc w:val="left"/>
              <w:rPr>
                <w:rFonts w:ascii="Times New Roman" w:hAnsi="Times New Roman"/>
                <w:spacing w:val="2"/>
                <w:kern w:val="0"/>
                <w:sz w:val="18"/>
                <w:szCs w:val="18"/>
                <w:lang w:eastAsia="en-US"/>
              </w:rPr>
            </w:pPr>
            <w:r>
              <w:rPr>
                <w:rFonts w:ascii="Times New Roman" w:hAnsi="Times New Roman"/>
                <w:spacing w:val="2"/>
                <w:kern w:val="0"/>
                <w:sz w:val="18"/>
                <w:szCs w:val="18"/>
                <w:lang w:eastAsia="en-US"/>
              </w:rPr>
              <w:t>DB 44 815-2010</w:t>
            </w:r>
          </w:p>
        </w:tc>
        <w:tc>
          <w:tcPr>
            <w:tcW w:w="1610" w:type="pct"/>
            <w:tcBorders>
              <w:top w:val="single" w:color="000000" w:sz="4" w:space="0"/>
              <w:left w:val="single" w:color="000000" w:sz="4" w:space="0"/>
              <w:bottom w:val="single" w:color="000000" w:sz="4" w:space="0"/>
              <w:right w:val="single" w:color="000000" w:sz="4" w:space="0"/>
            </w:tcBorders>
            <w:vAlign w:val="center"/>
          </w:tcPr>
          <w:p>
            <w:pPr>
              <w:spacing w:line="207" w:lineRule="exact"/>
              <w:jc w:val="left"/>
              <w:rPr>
                <w:rFonts w:ascii="Times New Roman" w:hAnsi="Times New Roman"/>
                <w:spacing w:val="2"/>
                <w:kern w:val="0"/>
                <w:sz w:val="18"/>
                <w:szCs w:val="18"/>
                <w:lang w:eastAsia="en-US"/>
              </w:rPr>
            </w:pPr>
            <w:r>
              <w:rPr>
                <w:rFonts w:ascii="Times New Roman" w:hAnsi="Times New Roman"/>
                <w:spacing w:val="2"/>
                <w:kern w:val="0"/>
                <w:sz w:val="18"/>
                <w:szCs w:val="18"/>
                <w:lang w:eastAsia="en-US"/>
              </w:rPr>
              <w:t>印刷行业</w:t>
            </w:r>
          </w:p>
        </w:tc>
      </w:tr>
      <w:tr>
        <w:tblPrEx>
          <w:tblCellMar>
            <w:top w:w="0" w:type="dxa"/>
            <w:left w:w="0" w:type="dxa"/>
            <w:bottom w:w="0" w:type="dxa"/>
            <w:right w:w="0" w:type="dxa"/>
          </w:tblCellMar>
        </w:tblPrEx>
        <w:trPr>
          <w:trHeight w:val="283" w:hRule="atLeast"/>
          <w:jc w:val="center"/>
        </w:trPr>
        <w:tc>
          <w:tcPr>
            <w:tcW w:w="429" w:type="pct"/>
            <w:tcBorders>
              <w:top w:val="single" w:color="000000" w:sz="4" w:space="0"/>
              <w:left w:val="single" w:color="000000" w:sz="4" w:space="0"/>
              <w:bottom w:val="single" w:color="000000" w:sz="4" w:space="0"/>
              <w:right w:val="single" w:color="000000" w:sz="4" w:space="0"/>
            </w:tcBorders>
            <w:vAlign w:val="center"/>
          </w:tcPr>
          <w:p>
            <w:pPr>
              <w:spacing w:line="207" w:lineRule="exact"/>
              <w:jc w:val="center"/>
              <w:rPr>
                <w:rFonts w:ascii="Times New Roman" w:hAnsi="Times New Roman"/>
                <w:spacing w:val="2"/>
                <w:kern w:val="0"/>
                <w:sz w:val="18"/>
                <w:szCs w:val="18"/>
                <w:lang w:eastAsia="en-US"/>
              </w:rPr>
            </w:pPr>
            <w:r>
              <w:rPr>
                <w:rFonts w:ascii="Times New Roman" w:hAnsi="Times New Roman"/>
                <w:spacing w:val="2"/>
                <w:kern w:val="0"/>
                <w:sz w:val="18"/>
                <w:szCs w:val="18"/>
                <w:lang w:eastAsia="en-US"/>
              </w:rPr>
              <w:t>3</w:t>
            </w:r>
          </w:p>
        </w:tc>
        <w:tc>
          <w:tcPr>
            <w:tcW w:w="1888" w:type="pct"/>
            <w:tcBorders>
              <w:top w:val="single" w:color="000000" w:sz="4" w:space="0"/>
              <w:left w:val="single" w:color="000000" w:sz="4" w:space="0"/>
              <w:bottom w:val="single" w:color="000000" w:sz="4" w:space="0"/>
              <w:right w:val="single" w:color="000000" w:sz="4" w:space="0"/>
            </w:tcBorders>
            <w:vAlign w:val="center"/>
          </w:tcPr>
          <w:p>
            <w:pPr>
              <w:spacing w:line="207" w:lineRule="exact"/>
              <w:jc w:val="left"/>
              <w:rPr>
                <w:rFonts w:ascii="Times New Roman" w:hAnsi="Times New Roman"/>
                <w:spacing w:val="2"/>
                <w:kern w:val="0"/>
                <w:sz w:val="18"/>
                <w:szCs w:val="18"/>
                <w:lang w:eastAsia="zh-CN"/>
              </w:rPr>
            </w:pPr>
            <w:r>
              <w:rPr>
                <w:rFonts w:ascii="Times New Roman" w:hAnsi="Times New Roman"/>
                <w:spacing w:val="2"/>
                <w:kern w:val="0"/>
                <w:sz w:val="18"/>
                <w:szCs w:val="18"/>
                <w:lang w:eastAsia="zh-CN"/>
              </w:rPr>
              <w:t>广东省家具制造行业VOCs排放标准</w:t>
            </w:r>
          </w:p>
        </w:tc>
        <w:tc>
          <w:tcPr>
            <w:tcW w:w="1073" w:type="pct"/>
            <w:tcBorders>
              <w:top w:val="single" w:color="000000" w:sz="4" w:space="0"/>
              <w:left w:val="single" w:color="000000" w:sz="4" w:space="0"/>
              <w:bottom w:val="single" w:color="000000" w:sz="4" w:space="0"/>
              <w:right w:val="single" w:color="000000" w:sz="4" w:space="0"/>
            </w:tcBorders>
            <w:vAlign w:val="center"/>
          </w:tcPr>
          <w:p>
            <w:pPr>
              <w:spacing w:line="207" w:lineRule="exact"/>
              <w:jc w:val="left"/>
              <w:rPr>
                <w:rFonts w:ascii="Times New Roman" w:hAnsi="Times New Roman"/>
                <w:spacing w:val="2"/>
                <w:kern w:val="0"/>
                <w:sz w:val="18"/>
                <w:szCs w:val="18"/>
                <w:lang w:eastAsia="en-US"/>
              </w:rPr>
            </w:pPr>
            <w:r>
              <w:rPr>
                <w:rFonts w:ascii="Times New Roman" w:hAnsi="Times New Roman"/>
                <w:spacing w:val="2"/>
                <w:kern w:val="0"/>
                <w:sz w:val="18"/>
                <w:szCs w:val="18"/>
                <w:lang w:eastAsia="en-US"/>
              </w:rPr>
              <w:t>DB 44 814-2010</w:t>
            </w:r>
          </w:p>
        </w:tc>
        <w:tc>
          <w:tcPr>
            <w:tcW w:w="1610" w:type="pct"/>
            <w:tcBorders>
              <w:top w:val="single" w:color="000000" w:sz="4" w:space="0"/>
              <w:left w:val="single" w:color="000000" w:sz="4" w:space="0"/>
              <w:bottom w:val="single" w:color="000000" w:sz="4" w:space="0"/>
              <w:right w:val="single" w:color="000000" w:sz="4" w:space="0"/>
            </w:tcBorders>
            <w:vAlign w:val="center"/>
          </w:tcPr>
          <w:p>
            <w:pPr>
              <w:spacing w:line="207" w:lineRule="exact"/>
              <w:jc w:val="left"/>
              <w:rPr>
                <w:rFonts w:ascii="Times New Roman" w:hAnsi="Times New Roman"/>
                <w:spacing w:val="2"/>
                <w:kern w:val="0"/>
                <w:sz w:val="18"/>
                <w:szCs w:val="18"/>
                <w:lang w:eastAsia="en-US"/>
              </w:rPr>
            </w:pPr>
            <w:r>
              <w:rPr>
                <w:rFonts w:ascii="Times New Roman" w:hAnsi="Times New Roman"/>
                <w:spacing w:val="2"/>
                <w:kern w:val="0"/>
                <w:sz w:val="18"/>
                <w:szCs w:val="18"/>
                <w:lang w:eastAsia="en-US"/>
              </w:rPr>
              <w:t>家具制造行业</w:t>
            </w:r>
          </w:p>
        </w:tc>
      </w:tr>
      <w:tr>
        <w:tblPrEx>
          <w:tblCellMar>
            <w:top w:w="0" w:type="dxa"/>
            <w:left w:w="0" w:type="dxa"/>
            <w:bottom w:w="0" w:type="dxa"/>
            <w:right w:w="0" w:type="dxa"/>
          </w:tblCellMar>
        </w:tblPrEx>
        <w:trPr>
          <w:trHeight w:val="283" w:hRule="atLeast"/>
          <w:jc w:val="center"/>
        </w:trPr>
        <w:tc>
          <w:tcPr>
            <w:tcW w:w="429" w:type="pct"/>
            <w:tcBorders>
              <w:top w:val="single" w:color="000000" w:sz="4" w:space="0"/>
              <w:left w:val="single" w:color="000000" w:sz="4" w:space="0"/>
              <w:bottom w:val="single" w:color="000000" w:sz="4" w:space="0"/>
              <w:right w:val="single" w:color="000000" w:sz="4" w:space="0"/>
            </w:tcBorders>
            <w:vAlign w:val="center"/>
          </w:tcPr>
          <w:p>
            <w:pPr>
              <w:spacing w:line="207" w:lineRule="exact"/>
              <w:jc w:val="center"/>
              <w:rPr>
                <w:rFonts w:ascii="Times New Roman" w:hAnsi="Times New Roman"/>
                <w:spacing w:val="2"/>
                <w:kern w:val="0"/>
                <w:sz w:val="18"/>
                <w:szCs w:val="18"/>
                <w:lang w:eastAsia="en-US"/>
              </w:rPr>
            </w:pPr>
            <w:r>
              <w:rPr>
                <w:rFonts w:ascii="Times New Roman" w:hAnsi="Times New Roman"/>
                <w:spacing w:val="2"/>
                <w:kern w:val="0"/>
                <w:sz w:val="18"/>
                <w:szCs w:val="18"/>
                <w:lang w:eastAsia="en-US"/>
              </w:rPr>
              <w:t>4</w:t>
            </w:r>
          </w:p>
        </w:tc>
        <w:tc>
          <w:tcPr>
            <w:tcW w:w="1888" w:type="pct"/>
            <w:tcBorders>
              <w:top w:val="single" w:color="000000" w:sz="4" w:space="0"/>
              <w:left w:val="single" w:color="000000" w:sz="4" w:space="0"/>
              <w:bottom w:val="single" w:color="000000" w:sz="4" w:space="0"/>
              <w:right w:val="single" w:color="000000" w:sz="4" w:space="0"/>
            </w:tcBorders>
            <w:vAlign w:val="center"/>
          </w:tcPr>
          <w:p>
            <w:pPr>
              <w:spacing w:line="207" w:lineRule="exact"/>
              <w:jc w:val="left"/>
              <w:rPr>
                <w:rFonts w:ascii="Times New Roman" w:hAnsi="Times New Roman"/>
                <w:spacing w:val="2"/>
                <w:kern w:val="0"/>
                <w:sz w:val="18"/>
                <w:szCs w:val="18"/>
                <w:lang w:eastAsia="zh-CN"/>
              </w:rPr>
            </w:pPr>
            <w:r>
              <w:rPr>
                <w:rFonts w:ascii="Times New Roman" w:hAnsi="Times New Roman"/>
                <w:spacing w:val="2"/>
                <w:kern w:val="0"/>
                <w:sz w:val="18"/>
                <w:szCs w:val="18"/>
                <w:lang w:eastAsia="zh-CN"/>
              </w:rPr>
              <w:t>表面涂装（汽车制造业）VOCs排放标准</w:t>
            </w:r>
          </w:p>
        </w:tc>
        <w:tc>
          <w:tcPr>
            <w:tcW w:w="1073" w:type="pct"/>
            <w:tcBorders>
              <w:top w:val="single" w:color="000000" w:sz="4" w:space="0"/>
              <w:left w:val="single" w:color="000000" w:sz="4" w:space="0"/>
              <w:bottom w:val="single" w:color="000000" w:sz="4" w:space="0"/>
              <w:right w:val="single" w:color="000000" w:sz="4" w:space="0"/>
            </w:tcBorders>
            <w:vAlign w:val="center"/>
          </w:tcPr>
          <w:p>
            <w:pPr>
              <w:spacing w:line="207" w:lineRule="exact"/>
              <w:jc w:val="left"/>
              <w:rPr>
                <w:rFonts w:ascii="Times New Roman" w:hAnsi="Times New Roman"/>
                <w:spacing w:val="2"/>
                <w:kern w:val="0"/>
                <w:sz w:val="18"/>
                <w:szCs w:val="18"/>
                <w:lang w:eastAsia="en-US"/>
              </w:rPr>
            </w:pPr>
            <w:r>
              <w:rPr>
                <w:rFonts w:ascii="Times New Roman" w:hAnsi="Times New Roman"/>
                <w:spacing w:val="2"/>
                <w:kern w:val="0"/>
                <w:sz w:val="18"/>
                <w:szCs w:val="18"/>
                <w:lang w:eastAsia="en-US"/>
              </w:rPr>
              <w:t>DB 44 816-2010</w:t>
            </w:r>
          </w:p>
        </w:tc>
        <w:tc>
          <w:tcPr>
            <w:tcW w:w="1610" w:type="pct"/>
            <w:tcBorders>
              <w:top w:val="single" w:color="000000" w:sz="4" w:space="0"/>
              <w:left w:val="single" w:color="000000" w:sz="4" w:space="0"/>
              <w:bottom w:val="single" w:color="000000" w:sz="4" w:space="0"/>
              <w:right w:val="single" w:color="000000" w:sz="4" w:space="0"/>
            </w:tcBorders>
            <w:vAlign w:val="center"/>
          </w:tcPr>
          <w:p>
            <w:pPr>
              <w:spacing w:line="207" w:lineRule="exact"/>
              <w:jc w:val="left"/>
              <w:rPr>
                <w:rFonts w:ascii="Times New Roman" w:hAnsi="Times New Roman"/>
                <w:spacing w:val="2"/>
                <w:kern w:val="0"/>
                <w:sz w:val="18"/>
                <w:szCs w:val="18"/>
                <w:lang w:eastAsia="en-US"/>
              </w:rPr>
            </w:pPr>
            <w:r>
              <w:rPr>
                <w:rFonts w:ascii="Times New Roman" w:hAnsi="Times New Roman"/>
                <w:spacing w:val="2"/>
                <w:kern w:val="0"/>
                <w:sz w:val="18"/>
                <w:szCs w:val="18"/>
                <w:lang w:eastAsia="en-US"/>
              </w:rPr>
              <w:t>汽车制造业</w:t>
            </w:r>
          </w:p>
        </w:tc>
      </w:tr>
      <w:tr>
        <w:tblPrEx>
          <w:tblCellMar>
            <w:top w:w="0" w:type="dxa"/>
            <w:left w:w="0" w:type="dxa"/>
            <w:bottom w:w="0" w:type="dxa"/>
            <w:right w:w="0" w:type="dxa"/>
          </w:tblCellMar>
        </w:tblPrEx>
        <w:trPr>
          <w:trHeight w:val="283" w:hRule="atLeast"/>
          <w:jc w:val="center"/>
        </w:trPr>
        <w:tc>
          <w:tcPr>
            <w:tcW w:w="429" w:type="pct"/>
            <w:tcBorders>
              <w:top w:val="single" w:color="000000" w:sz="4" w:space="0"/>
              <w:left w:val="single" w:color="000000" w:sz="4" w:space="0"/>
              <w:bottom w:val="single" w:color="000000" w:sz="4" w:space="0"/>
              <w:right w:val="single" w:color="000000" w:sz="4" w:space="0"/>
            </w:tcBorders>
            <w:vAlign w:val="center"/>
          </w:tcPr>
          <w:p>
            <w:pPr>
              <w:spacing w:line="207" w:lineRule="exact"/>
              <w:jc w:val="center"/>
              <w:rPr>
                <w:rFonts w:ascii="Times New Roman" w:hAnsi="Times New Roman"/>
                <w:spacing w:val="2"/>
                <w:kern w:val="0"/>
                <w:sz w:val="18"/>
                <w:szCs w:val="18"/>
                <w:lang w:eastAsia="en-US"/>
              </w:rPr>
            </w:pPr>
            <w:r>
              <w:rPr>
                <w:rFonts w:ascii="Times New Roman" w:hAnsi="Times New Roman"/>
                <w:spacing w:val="2"/>
                <w:kern w:val="0"/>
                <w:sz w:val="18"/>
                <w:szCs w:val="18"/>
                <w:lang w:eastAsia="en-US"/>
              </w:rPr>
              <w:t>5</w:t>
            </w:r>
          </w:p>
        </w:tc>
        <w:tc>
          <w:tcPr>
            <w:tcW w:w="1888" w:type="pct"/>
            <w:tcBorders>
              <w:top w:val="single" w:color="000000" w:sz="4" w:space="0"/>
              <w:left w:val="single" w:color="000000" w:sz="4" w:space="0"/>
              <w:bottom w:val="single" w:color="000000" w:sz="4" w:space="0"/>
              <w:right w:val="single" w:color="000000" w:sz="4" w:space="0"/>
            </w:tcBorders>
            <w:vAlign w:val="center"/>
          </w:tcPr>
          <w:p>
            <w:pPr>
              <w:spacing w:line="207" w:lineRule="exact"/>
              <w:jc w:val="left"/>
              <w:rPr>
                <w:rFonts w:ascii="Times New Roman" w:hAnsi="Times New Roman"/>
                <w:spacing w:val="2"/>
                <w:kern w:val="0"/>
                <w:sz w:val="18"/>
                <w:szCs w:val="18"/>
                <w:lang w:eastAsia="zh-CN"/>
              </w:rPr>
            </w:pPr>
            <w:r>
              <w:rPr>
                <w:rFonts w:ascii="Times New Roman" w:hAnsi="Times New Roman"/>
                <w:spacing w:val="2"/>
                <w:kern w:val="0"/>
                <w:sz w:val="18"/>
                <w:szCs w:val="18"/>
                <w:lang w:eastAsia="zh-CN"/>
              </w:rPr>
              <w:t>广东省集装箱制造业VOCs排放标准</w:t>
            </w:r>
          </w:p>
        </w:tc>
        <w:tc>
          <w:tcPr>
            <w:tcW w:w="1073" w:type="pct"/>
            <w:tcBorders>
              <w:top w:val="single" w:color="000000" w:sz="4" w:space="0"/>
              <w:left w:val="single" w:color="000000" w:sz="4" w:space="0"/>
              <w:bottom w:val="single" w:color="000000" w:sz="4" w:space="0"/>
              <w:right w:val="single" w:color="000000" w:sz="4" w:space="0"/>
            </w:tcBorders>
            <w:vAlign w:val="center"/>
          </w:tcPr>
          <w:p>
            <w:pPr>
              <w:spacing w:line="207" w:lineRule="exact"/>
              <w:jc w:val="left"/>
              <w:rPr>
                <w:rFonts w:ascii="Times New Roman" w:hAnsi="Times New Roman"/>
                <w:spacing w:val="2"/>
                <w:kern w:val="0"/>
                <w:sz w:val="18"/>
                <w:szCs w:val="18"/>
                <w:lang w:eastAsia="en-US"/>
              </w:rPr>
            </w:pPr>
            <w:r>
              <w:rPr>
                <w:rFonts w:ascii="Times New Roman" w:hAnsi="Times New Roman"/>
                <w:spacing w:val="2"/>
                <w:kern w:val="0"/>
                <w:sz w:val="18"/>
                <w:szCs w:val="18"/>
                <w:lang w:eastAsia="en-US"/>
              </w:rPr>
              <w:t>DB 44 1837-2016</w:t>
            </w:r>
          </w:p>
        </w:tc>
        <w:tc>
          <w:tcPr>
            <w:tcW w:w="1610" w:type="pct"/>
            <w:tcBorders>
              <w:top w:val="single" w:color="000000" w:sz="4" w:space="0"/>
              <w:left w:val="single" w:color="000000" w:sz="4" w:space="0"/>
              <w:bottom w:val="single" w:color="000000" w:sz="4" w:space="0"/>
              <w:right w:val="single" w:color="000000" w:sz="4" w:space="0"/>
            </w:tcBorders>
            <w:vAlign w:val="center"/>
          </w:tcPr>
          <w:p>
            <w:pPr>
              <w:spacing w:line="207" w:lineRule="exact"/>
              <w:jc w:val="left"/>
              <w:rPr>
                <w:rFonts w:ascii="Times New Roman" w:hAnsi="Times New Roman"/>
                <w:spacing w:val="2"/>
                <w:kern w:val="0"/>
                <w:sz w:val="18"/>
                <w:szCs w:val="18"/>
                <w:lang w:eastAsia="en-US"/>
              </w:rPr>
            </w:pPr>
            <w:r>
              <w:rPr>
                <w:rFonts w:ascii="Times New Roman" w:hAnsi="Times New Roman"/>
                <w:spacing w:val="2"/>
                <w:kern w:val="0"/>
                <w:sz w:val="18"/>
                <w:szCs w:val="18"/>
                <w:lang w:eastAsia="en-US"/>
              </w:rPr>
              <w:t>集装箱制造业</w:t>
            </w:r>
          </w:p>
        </w:tc>
      </w:tr>
      <w:tr>
        <w:tblPrEx>
          <w:tblCellMar>
            <w:top w:w="0" w:type="dxa"/>
            <w:left w:w="0" w:type="dxa"/>
            <w:bottom w:w="0" w:type="dxa"/>
            <w:right w:w="0" w:type="dxa"/>
          </w:tblCellMar>
        </w:tblPrEx>
        <w:trPr>
          <w:trHeight w:val="283" w:hRule="atLeast"/>
          <w:jc w:val="center"/>
        </w:trPr>
        <w:tc>
          <w:tcPr>
            <w:tcW w:w="429" w:type="pct"/>
            <w:tcBorders>
              <w:top w:val="single" w:color="000000" w:sz="4" w:space="0"/>
              <w:left w:val="single" w:color="000000" w:sz="4" w:space="0"/>
              <w:bottom w:val="single" w:color="000000" w:sz="4" w:space="0"/>
              <w:right w:val="single" w:color="000000" w:sz="4" w:space="0"/>
            </w:tcBorders>
            <w:vAlign w:val="center"/>
          </w:tcPr>
          <w:p>
            <w:pPr>
              <w:spacing w:line="207" w:lineRule="exact"/>
              <w:jc w:val="center"/>
              <w:rPr>
                <w:rFonts w:ascii="Times New Roman" w:hAnsi="Times New Roman"/>
                <w:spacing w:val="2"/>
                <w:kern w:val="0"/>
                <w:sz w:val="18"/>
                <w:szCs w:val="18"/>
                <w:lang w:eastAsia="en-US"/>
              </w:rPr>
            </w:pPr>
            <w:r>
              <w:rPr>
                <w:rFonts w:ascii="Times New Roman" w:hAnsi="Times New Roman"/>
                <w:spacing w:val="2"/>
                <w:kern w:val="0"/>
                <w:sz w:val="18"/>
                <w:szCs w:val="18"/>
                <w:lang w:eastAsia="en-US"/>
              </w:rPr>
              <w:t>6</w:t>
            </w:r>
          </w:p>
        </w:tc>
        <w:tc>
          <w:tcPr>
            <w:tcW w:w="1888" w:type="pct"/>
            <w:tcBorders>
              <w:top w:val="single" w:color="000000" w:sz="4" w:space="0"/>
              <w:left w:val="single" w:color="000000" w:sz="4" w:space="0"/>
              <w:bottom w:val="single" w:color="000000" w:sz="4" w:space="0"/>
              <w:right w:val="single" w:color="000000" w:sz="4" w:space="0"/>
            </w:tcBorders>
            <w:vAlign w:val="center"/>
          </w:tcPr>
          <w:p>
            <w:pPr>
              <w:spacing w:line="207" w:lineRule="exact"/>
              <w:jc w:val="left"/>
              <w:rPr>
                <w:rFonts w:ascii="Times New Roman" w:hAnsi="Times New Roman"/>
                <w:spacing w:val="2"/>
                <w:kern w:val="0"/>
                <w:sz w:val="18"/>
                <w:szCs w:val="18"/>
                <w:lang w:eastAsia="zh-CN"/>
              </w:rPr>
            </w:pPr>
            <w:r>
              <w:rPr>
                <w:rFonts w:ascii="Times New Roman" w:hAnsi="Times New Roman"/>
                <w:spacing w:val="2"/>
                <w:kern w:val="0"/>
                <w:sz w:val="18"/>
                <w:szCs w:val="18"/>
                <w:lang w:eastAsia="zh-CN"/>
              </w:rPr>
              <w:t>广东省制鞋行业VOCs排放标准</w:t>
            </w:r>
          </w:p>
        </w:tc>
        <w:tc>
          <w:tcPr>
            <w:tcW w:w="1073" w:type="pct"/>
            <w:tcBorders>
              <w:top w:val="single" w:color="000000" w:sz="4" w:space="0"/>
              <w:left w:val="single" w:color="000000" w:sz="4" w:space="0"/>
              <w:bottom w:val="single" w:color="000000" w:sz="4" w:space="0"/>
              <w:right w:val="single" w:color="000000" w:sz="4" w:space="0"/>
            </w:tcBorders>
            <w:vAlign w:val="center"/>
          </w:tcPr>
          <w:p>
            <w:pPr>
              <w:spacing w:line="207" w:lineRule="exact"/>
              <w:jc w:val="left"/>
              <w:rPr>
                <w:rFonts w:ascii="Times New Roman" w:hAnsi="Times New Roman"/>
                <w:spacing w:val="2"/>
                <w:kern w:val="0"/>
                <w:sz w:val="18"/>
                <w:szCs w:val="18"/>
                <w:lang w:eastAsia="en-US"/>
              </w:rPr>
            </w:pPr>
            <w:r>
              <w:rPr>
                <w:rFonts w:ascii="Times New Roman" w:hAnsi="Times New Roman"/>
                <w:spacing w:val="2"/>
                <w:kern w:val="0"/>
                <w:sz w:val="18"/>
                <w:szCs w:val="18"/>
                <w:lang w:eastAsia="en-US"/>
              </w:rPr>
              <w:t>DB 44 817-2010</w:t>
            </w:r>
          </w:p>
        </w:tc>
        <w:tc>
          <w:tcPr>
            <w:tcW w:w="1610" w:type="pct"/>
            <w:tcBorders>
              <w:top w:val="single" w:color="000000" w:sz="4" w:space="0"/>
              <w:left w:val="single" w:color="000000" w:sz="4" w:space="0"/>
              <w:bottom w:val="single" w:color="000000" w:sz="4" w:space="0"/>
              <w:right w:val="single" w:color="000000" w:sz="4" w:space="0"/>
            </w:tcBorders>
            <w:vAlign w:val="center"/>
          </w:tcPr>
          <w:p>
            <w:pPr>
              <w:spacing w:line="207" w:lineRule="exact"/>
              <w:jc w:val="left"/>
              <w:rPr>
                <w:rFonts w:ascii="Times New Roman" w:hAnsi="Times New Roman"/>
                <w:spacing w:val="2"/>
                <w:kern w:val="0"/>
                <w:sz w:val="18"/>
                <w:szCs w:val="18"/>
                <w:lang w:eastAsia="en-US"/>
              </w:rPr>
            </w:pPr>
            <w:r>
              <w:rPr>
                <w:rFonts w:ascii="Times New Roman" w:hAnsi="Times New Roman"/>
                <w:spacing w:val="2"/>
                <w:kern w:val="0"/>
                <w:sz w:val="18"/>
                <w:szCs w:val="18"/>
                <w:lang w:eastAsia="en-US"/>
              </w:rPr>
              <w:t>制鞋行业</w:t>
            </w:r>
          </w:p>
        </w:tc>
      </w:tr>
      <w:tr>
        <w:tblPrEx>
          <w:tblCellMar>
            <w:top w:w="0" w:type="dxa"/>
            <w:left w:w="0" w:type="dxa"/>
            <w:bottom w:w="0" w:type="dxa"/>
            <w:right w:w="0" w:type="dxa"/>
          </w:tblCellMar>
        </w:tblPrEx>
        <w:trPr>
          <w:trHeight w:val="283" w:hRule="atLeast"/>
          <w:jc w:val="center"/>
        </w:trPr>
        <w:tc>
          <w:tcPr>
            <w:tcW w:w="429" w:type="pct"/>
            <w:tcBorders>
              <w:top w:val="single" w:color="000000" w:sz="4" w:space="0"/>
              <w:left w:val="single" w:color="000000" w:sz="4" w:space="0"/>
              <w:bottom w:val="single" w:color="000000" w:sz="4" w:space="0"/>
              <w:right w:val="single" w:color="000000" w:sz="4" w:space="0"/>
            </w:tcBorders>
            <w:vAlign w:val="center"/>
          </w:tcPr>
          <w:p>
            <w:pPr>
              <w:spacing w:line="207" w:lineRule="exact"/>
              <w:jc w:val="center"/>
              <w:rPr>
                <w:rFonts w:ascii="Times New Roman" w:hAnsi="Times New Roman"/>
                <w:spacing w:val="2"/>
                <w:kern w:val="0"/>
                <w:sz w:val="18"/>
                <w:szCs w:val="18"/>
                <w:lang w:eastAsia="en-US"/>
              </w:rPr>
            </w:pPr>
            <w:r>
              <w:rPr>
                <w:rFonts w:ascii="Times New Roman" w:hAnsi="Times New Roman"/>
                <w:spacing w:val="2"/>
                <w:kern w:val="0"/>
                <w:sz w:val="18"/>
                <w:szCs w:val="18"/>
                <w:lang w:eastAsia="en-US"/>
              </w:rPr>
              <w:t>7</w:t>
            </w:r>
          </w:p>
        </w:tc>
        <w:tc>
          <w:tcPr>
            <w:tcW w:w="1888" w:type="pct"/>
            <w:tcBorders>
              <w:top w:val="single" w:color="000000" w:sz="4" w:space="0"/>
              <w:left w:val="single" w:color="000000" w:sz="4" w:space="0"/>
              <w:bottom w:val="single" w:color="000000" w:sz="4" w:space="0"/>
              <w:right w:val="single" w:color="000000" w:sz="4" w:space="0"/>
            </w:tcBorders>
            <w:vAlign w:val="center"/>
          </w:tcPr>
          <w:p>
            <w:pPr>
              <w:spacing w:line="207" w:lineRule="exact"/>
              <w:jc w:val="left"/>
              <w:rPr>
                <w:rFonts w:ascii="Times New Roman" w:hAnsi="Times New Roman"/>
                <w:spacing w:val="2"/>
                <w:kern w:val="0"/>
                <w:sz w:val="18"/>
                <w:szCs w:val="18"/>
                <w:lang w:eastAsia="zh-CN"/>
              </w:rPr>
            </w:pPr>
            <w:r>
              <w:rPr>
                <w:rFonts w:ascii="Times New Roman" w:hAnsi="Times New Roman"/>
                <w:spacing w:val="2"/>
                <w:kern w:val="0"/>
                <w:sz w:val="18"/>
                <w:szCs w:val="18"/>
                <w:lang w:eastAsia="zh-CN"/>
              </w:rPr>
              <w:t>广东省电子工业挥发性有机物排放标准</w:t>
            </w:r>
          </w:p>
        </w:tc>
        <w:tc>
          <w:tcPr>
            <w:tcW w:w="1073" w:type="pct"/>
            <w:tcBorders>
              <w:top w:val="single" w:color="000000" w:sz="4" w:space="0"/>
              <w:left w:val="single" w:color="000000" w:sz="4" w:space="0"/>
              <w:bottom w:val="single" w:color="000000" w:sz="4" w:space="0"/>
              <w:right w:val="single" w:color="000000" w:sz="4" w:space="0"/>
            </w:tcBorders>
            <w:vAlign w:val="center"/>
          </w:tcPr>
          <w:p>
            <w:pPr>
              <w:spacing w:line="207" w:lineRule="exact"/>
              <w:jc w:val="left"/>
              <w:rPr>
                <w:rFonts w:ascii="Times New Roman" w:hAnsi="Times New Roman"/>
                <w:spacing w:val="2"/>
                <w:kern w:val="0"/>
                <w:sz w:val="18"/>
                <w:szCs w:val="18"/>
                <w:lang w:eastAsia="en-US"/>
              </w:rPr>
            </w:pPr>
            <w:r>
              <w:rPr>
                <w:rFonts w:ascii="Times New Roman" w:hAnsi="Times New Roman"/>
                <w:spacing w:val="2"/>
                <w:kern w:val="0"/>
                <w:sz w:val="18"/>
                <w:szCs w:val="18"/>
                <w:lang w:eastAsia="en-US"/>
              </w:rPr>
              <w:t>征求意见稿</w:t>
            </w:r>
          </w:p>
        </w:tc>
        <w:tc>
          <w:tcPr>
            <w:tcW w:w="1610" w:type="pct"/>
            <w:tcBorders>
              <w:top w:val="single" w:color="000000" w:sz="4" w:space="0"/>
              <w:left w:val="single" w:color="000000" w:sz="4" w:space="0"/>
              <w:bottom w:val="single" w:color="000000" w:sz="4" w:space="0"/>
              <w:right w:val="single" w:color="000000" w:sz="4" w:space="0"/>
            </w:tcBorders>
            <w:vAlign w:val="center"/>
          </w:tcPr>
          <w:p>
            <w:pPr>
              <w:spacing w:line="207" w:lineRule="exact"/>
              <w:jc w:val="left"/>
              <w:rPr>
                <w:rFonts w:ascii="Times New Roman" w:hAnsi="Times New Roman"/>
                <w:spacing w:val="2"/>
                <w:kern w:val="0"/>
                <w:sz w:val="18"/>
                <w:szCs w:val="18"/>
                <w:lang w:eastAsia="en-US"/>
              </w:rPr>
            </w:pPr>
            <w:r>
              <w:rPr>
                <w:rFonts w:ascii="Times New Roman" w:hAnsi="Times New Roman"/>
                <w:spacing w:val="2"/>
                <w:kern w:val="0"/>
                <w:sz w:val="18"/>
                <w:szCs w:val="18"/>
                <w:lang w:eastAsia="en-US"/>
              </w:rPr>
              <w:t>电子行业</w:t>
            </w:r>
          </w:p>
        </w:tc>
      </w:tr>
    </w:tbl>
    <w:p>
      <w:pPr>
        <w:pStyle w:val="68"/>
        <w:rPr>
          <w:rFonts w:cs="Times New Roman"/>
        </w:rPr>
      </w:pPr>
      <w:r>
        <w:rPr>
          <w:rFonts w:cs="Times New Roman"/>
        </w:rPr>
        <w:t>当前广东省</w:t>
      </w:r>
      <w:r>
        <w:rPr>
          <w:rFonts w:hint="eastAsia" w:cs="Times New Roman"/>
        </w:rPr>
        <w:t>涉V</w:t>
      </w:r>
      <w:r>
        <w:rPr>
          <w:rFonts w:cs="Times New Roman"/>
        </w:rPr>
        <w:t>OC</w:t>
      </w:r>
      <w:r>
        <w:rPr>
          <w:rFonts w:hint="eastAsia" w:cs="Times New Roman"/>
        </w:rPr>
        <w:t>s工业行业</w:t>
      </w:r>
      <w:r>
        <w:rPr>
          <w:rFonts w:cs="Times New Roman"/>
        </w:rPr>
        <w:t>大气排放标准的执行现状如</w:t>
      </w:r>
      <w:r>
        <w:rPr>
          <w:rFonts w:cs="Times New Roman"/>
        </w:rPr>
        <w:fldChar w:fldCharType="begin"/>
      </w:r>
      <w:r>
        <w:rPr>
          <w:rFonts w:cs="Times New Roman"/>
        </w:rPr>
        <w:instrText xml:space="preserve"> REF _Ref26348324 \h  \* MERGEFORMAT </w:instrText>
      </w:r>
      <w:r>
        <w:rPr>
          <w:rFonts w:cs="Times New Roman"/>
        </w:rPr>
        <w:fldChar w:fldCharType="separate"/>
      </w:r>
      <w:r>
        <w:rPr>
          <w:rFonts w:cs="Times New Roman"/>
        </w:rPr>
        <w:t>表 5</w:t>
      </w:r>
      <w:r>
        <w:rPr>
          <w:rFonts w:cs="Times New Roman"/>
        </w:rPr>
        <w:noBreakHyphen/>
      </w:r>
      <w:r>
        <w:rPr>
          <w:rFonts w:cs="Times New Roman"/>
        </w:rPr>
        <w:fldChar w:fldCharType="end"/>
      </w:r>
      <w:r>
        <w:rPr>
          <w:rFonts w:cs="Times New Roman"/>
        </w:rPr>
        <w:t>4所示。</w:t>
      </w:r>
    </w:p>
    <w:p>
      <w:pPr>
        <w:pStyle w:val="13"/>
        <w:spacing w:before="156" w:beforeLines="50" w:after="156" w:afterLines="50"/>
      </w:pPr>
      <w:bookmarkStart w:id="109" w:name="_Ref26348324"/>
      <w:r>
        <w:t xml:space="preserve">表 </w:t>
      </w:r>
      <w:r>
        <w:fldChar w:fldCharType="begin"/>
      </w:r>
      <w:r>
        <w:instrText xml:space="preserve"> STYLEREF 1 \s </w:instrText>
      </w:r>
      <w:r>
        <w:fldChar w:fldCharType="separate"/>
      </w:r>
      <w:r>
        <w:t>5</w:t>
      </w:r>
      <w:r>
        <w:fldChar w:fldCharType="end"/>
      </w:r>
      <w:r>
        <w:noBreakHyphen/>
      </w:r>
      <w:bookmarkEnd w:id="109"/>
      <w:r>
        <w:t>4广东省</w:t>
      </w:r>
      <w:r>
        <w:rPr>
          <w:rFonts w:hint="eastAsia"/>
        </w:rPr>
        <w:t>涉V</w:t>
      </w:r>
      <w:r>
        <w:t>OC</w:t>
      </w:r>
      <w:r>
        <w:rPr>
          <w:rFonts w:hint="eastAsia"/>
        </w:rPr>
        <w:t>s排放行业</w:t>
      </w:r>
      <w:r>
        <w:t>大气污染物执行标准现状</w:t>
      </w:r>
    </w:p>
    <w:p>
      <w:pPr>
        <w:spacing w:before="3" w:line="70" w:lineRule="exact"/>
        <w:jc w:val="left"/>
        <w:rPr>
          <w:rFonts w:ascii="Times New Roman" w:hAnsi="Times New Roman"/>
          <w:kern w:val="0"/>
          <w:sz w:val="7"/>
          <w:szCs w:val="7"/>
        </w:rPr>
      </w:pPr>
    </w:p>
    <w:tbl>
      <w:tblPr>
        <w:tblStyle w:val="127"/>
        <w:tblW w:w="5000" w:type="pct"/>
        <w:jc w:val="center"/>
        <w:tblLayout w:type="autofit"/>
        <w:tblCellMar>
          <w:top w:w="0" w:type="dxa"/>
          <w:left w:w="0" w:type="dxa"/>
          <w:bottom w:w="0" w:type="dxa"/>
          <w:right w:w="0" w:type="dxa"/>
        </w:tblCellMar>
      </w:tblPr>
      <w:tblGrid>
        <w:gridCol w:w="3489"/>
        <w:gridCol w:w="2678"/>
        <w:gridCol w:w="2149"/>
      </w:tblGrid>
      <w:tr>
        <w:tblPrEx>
          <w:tblCellMar>
            <w:top w:w="0" w:type="dxa"/>
            <w:left w:w="0" w:type="dxa"/>
            <w:bottom w:w="0" w:type="dxa"/>
            <w:right w:w="0" w:type="dxa"/>
          </w:tblCellMar>
        </w:tblPrEx>
        <w:trPr>
          <w:trHeight w:val="20" w:hRule="atLeast"/>
          <w:tblHeader/>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b/>
                <w:kern w:val="0"/>
                <w:sz w:val="18"/>
                <w:szCs w:val="18"/>
                <w:lang w:eastAsia="en-US"/>
              </w:rPr>
            </w:pPr>
            <w:r>
              <w:rPr>
                <w:rFonts w:ascii="Times New Roman" w:hAnsi="Times New Roman"/>
                <w:b/>
                <w:kern w:val="0"/>
                <w:sz w:val="18"/>
                <w:szCs w:val="18"/>
                <w:lang w:eastAsia="en-US"/>
              </w:rPr>
              <w:t>行业分类</w:t>
            </w:r>
          </w:p>
        </w:tc>
        <w:tc>
          <w:tcPr>
            <w:tcW w:w="1610"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b/>
                <w:kern w:val="0"/>
                <w:sz w:val="18"/>
                <w:szCs w:val="18"/>
                <w:lang w:eastAsia="en-US"/>
              </w:rPr>
            </w:pPr>
            <w:r>
              <w:rPr>
                <w:rFonts w:ascii="Times New Roman" w:hAnsi="Times New Roman"/>
                <w:b/>
                <w:kern w:val="0"/>
                <w:sz w:val="18"/>
                <w:szCs w:val="18"/>
                <w:lang w:eastAsia="zh-CN"/>
              </w:rPr>
              <w:t>广东省</w:t>
            </w:r>
            <w:r>
              <w:rPr>
                <w:rFonts w:ascii="Times New Roman" w:hAnsi="Times New Roman"/>
                <w:b/>
                <w:kern w:val="0"/>
                <w:sz w:val="18"/>
                <w:szCs w:val="18"/>
                <w:lang w:eastAsia="en-US"/>
              </w:rPr>
              <w:t>现状</w:t>
            </w:r>
          </w:p>
        </w:tc>
        <w:tc>
          <w:tcPr>
            <w:tcW w:w="1292"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b/>
                <w:kern w:val="0"/>
                <w:sz w:val="18"/>
                <w:szCs w:val="18"/>
                <w:lang w:eastAsia="en-US"/>
              </w:rPr>
            </w:pPr>
            <w:r>
              <w:rPr>
                <w:rFonts w:ascii="Times New Roman" w:hAnsi="Times New Roman"/>
                <w:b/>
                <w:kern w:val="0"/>
                <w:sz w:val="18"/>
                <w:szCs w:val="18"/>
                <w:lang w:eastAsia="en-US"/>
              </w:rPr>
              <w:t>国家现状</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zh-CN"/>
              </w:rPr>
            </w:pPr>
            <w:r>
              <w:rPr>
                <w:rFonts w:hint="eastAsia"/>
                <w:color w:val="000000"/>
                <w:sz w:val="18"/>
                <w:szCs w:val="18"/>
                <w:lang w:eastAsia="en-US"/>
              </w:rPr>
              <w:t>农副食品加工业</w:t>
            </w:r>
          </w:p>
        </w:tc>
        <w:tc>
          <w:tcPr>
            <w:tcW w:w="16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c>
          <w:tcPr>
            <w:tcW w:w="12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食品制造业</w:t>
            </w:r>
          </w:p>
        </w:tc>
        <w:tc>
          <w:tcPr>
            <w:tcW w:w="16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c>
          <w:tcPr>
            <w:tcW w:w="12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zh-CN"/>
              </w:rPr>
            </w:pPr>
            <w:r>
              <w:rPr>
                <w:rFonts w:hint="eastAsia"/>
                <w:color w:val="000000"/>
                <w:sz w:val="18"/>
                <w:szCs w:val="18"/>
                <w:lang w:eastAsia="zh-CN"/>
              </w:rPr>
              <w:t>酒、饮料和精制茶制造业</w:t>
            </w:r>
          </w:p>
        </w:tc>
        <w:tc>
          <w:tcPr>
            <w:tcW w:w="16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c>
          <w:tcPr>
            <w:tcW w:w="12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烟草制品业</w:t>
            </w:r>
          </w:p>
        </w:tc>
        <w:tc>
          <w:tcPr>
            <w:tcW w:w="16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c>
          <w:tcPr>
            <w:tcW w:w="12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纺织业</w:t>
            </w:r>
          </w:p>
        </w:tc>
        <w:tc>
          <w:tcPr>
            <w:tcW w:w="16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c>
          <w:tcPr>
            <w:tcW w:w="12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纺织服装、服饰业</w:t>
            </w:r>
          </w:p>
        </w:tc>
        <w:tc>
          <w:tcPr>
            <w:tcW w:w="16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c>
          <w:tcPr>
            <w:tcW w:w="12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zh-CN"/>
              </w:rPr>
            </w:pPr>
            <w:r>
              <w:rPr>
                <w:rFonts w:hint="eastAsia"/>
                <w:color w:val="000000"/>
                <w:sz w:val="18"/>
                <w:szCs w:val="18"/>
                <w:lang w:eastAsia="zh-CN"/>
              </w:rPr>
              <w:t>皮革、毛皮、羽毛及其制品和制鞋业</w:t>
            </w:r>
          </w:p>
        </w:tc>
        <w:tc>
          <w:tcPr>
            <w:tcW w:w="16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c>
          <w:tcPr>
            <w:tcW w:w="12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zh-CN"/>
              </w:rPr>
            </w:pPr>
            <w:r>
              <w:rPr>
                <w:rFonts w:hint="eastAsia"/>
                <w:color w:val="000000"/>
                <w:sz w:val="18"/>
                <w:szCs w:val="18"/>
                <w:lang w:eastAsia="zh-CN"/>
              </w:rPr>
              <w:t>木材加工和木、竹、藤、棕、草制品业</w:t>
            </w:r>
          </w:p>
        </w:tc>
        <w:tc>
          <w:tcPr>
            <w:tcW w:w="16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c>
          <w:tcPr>
            <w:tcW w:w="12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家具制造业</w:t>
            </w:r>
          </w:p>
        </w:tc>
        <w:tc>
          <w:tcPr>
            <w:tcW w:w="16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zh-CN"/>
              </w:rPr>
            </w:pPr>
            <w:r>
              <w:rPr>
                <w:rFonts w:hint="eastAsia"/>
                <w:color w:val="000000"/>
                <w:sz w:val="18"/>
                <w:szCs w:val="18"/>
                <w:lang w:eastAsia="en-US"/>
              </w:rPr>
              <w:t>地标</w:t>
            </w:r>
            <w:r>
              <w:rPr>
                <w:rFonts w:ascii="Times New Roman" w:hAnsi="Times New Roman"/>
                <w:color w:val="000000"/>
                <w:sz w:val="18"/>
                <w:szCs w:val="18"/>
                <w:lang w:eastAsia="en-US"/>
              </w:rPr>
              <w:t>+</w:t>
            </w:r>
            <w:r>
              <w:rPr>
                <w:rFonts w:hint="eastAsia"/>
                <w:color w:val="000000"/>
                <w:sz w:val="18"/>
                <w:szCs w:val="18"/>
                <w:lang w:eastAsia="en-US"/>
              </w:rPr>
              <w:t>综合排放标准</w:t>
            </w:r>
          </w:p>
        </w:tc>
        <w:tc>
          <w:tcPr>
            <w:tcW w:w="12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造纸和纸制品业</w:t>
            </w:r>
          </w:p>
        </w:tc>
        <w:tc>
          <w:tcPr>
            <w:tcW w:w="16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c>
          <w:tcPr>
            <w:tcW w:w="12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zh-CN"/>
              </w:rPr>
            </w:pPr>
            <w:r>
              <w:rPr>
                <w:rFonts w:hint="eastAsia"/>
                <w:color w:val="000000"/>
                <w:sz w:val="18"/>
                <w:szCs w:val="18"/>
                <w:lang w:eastAsia="zh-CN"/>
              </w:rPr>
              <w:t>印刷和记录媒介复制业</w:t>
            </w:r>
          </w:p>
        </w:tc>
        <w:tc>
          <w:tcPr>
            <w:tcW w:w="16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地标</w:t>
            </w:r>
            <w:r>
              <w:rPr>
                <w:rFonts w:ascii="Times New Roman" w:hAnsi="Times New Roman"/>
                <w:color w:val="000000"/>
                <w:sz w:val="18"/>
                <w:szCs w:val="18"/>
                <w:lang w:eastAsia="en-US"/>
              </w:rPr>
              <w:t>+</w:t>
            </w:r>
            <w:r>
              <w:rPr>
                <w:rFonts w:hint="eastAsia"/>
                <w:color w:val="000000"/>
                <w:sz w:val="18"/>
                <w:szCs w:val="18"/>
                <w:lang w:eastAsia="en-US"/>
              </w:rPr>
              <w:t>综合排放标准</w:t>
            </w:r>
          </w:p>
        </w:tc>
        <w:tc>
          <w:tcPr>
            <w:tcW w:w="12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zh-CN"/>
              </w:rPr>
            </w:pPr>
            <w:r>
              <w:rPr>
                <w:rFonts w:hint="eastAsia"/>
                <w:color w:val="000000"/>
                <w:sz w:val="18"/>
                <w:szCs w:val="18"/>
                <w:lang w:eastAsia="zh-CN"/>
              </w:rPr>
              <w:t>文教、工美、体育和娱乐用品制造业</w:t>
            </w:r>
          </w:p>
        </w:tc>
        <w:tc>
          <w:tcPr>
            <w:tcW w:w="16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c>
          <w:tcPr>
            <w:tcW w:w="12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zh-CN"/>
              </w:rPr>
            </w:pPr>
            <w:r>
              <w:rPr>
                <w:rFonts w:hint="eastAsia"/>
                <w:color w:val="000000"/>
                <w:sz w:val="18"/>
                <w:szCs w:val="18"/>
                <w:lang w:eastAsia="zh-CN"/>
              </w:rPr>
              <w:t>石油加工、炼焦和核燃料加工业</w:t>
            </w:r>
          </w:p>
        </w:tc>
        <w:tc>
          <w:tcPr>
            <w:tcW w:w="2902" w:type="pct"/>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zh-CN"/>
              </w:rPr>
            </w:pPr>
            <w:r>
              <w:rPr>
                <w:rFonts w:hint="eastAsia"/>
                <w:color w:val="000000"/>
                <w:sz w:val="18"/>
                <w:szCs w:val="18"/>
                <w:lang w:eastAsia="zh-CN"/>
              </w:rPr>
              <w:t>部分国家行业排放标准、其余综合排放标准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zh-CN"/>
              </w:rPr>
            </w:pPr>
            <w:r>
              <w:rPr>
                <w:rFonts w:hint="eastAsia"/>
                <w:color w:val="000000"/>
                <w:sz w:val="18"/>
                <w:szCs w:val="18"/>
                <w:lang w:eastAsia="zh-CN"/>
              </w:rPr>
              <w:t>化学原料和化学制品制造业</w:t>
            </w:r>
          </w:p>
        </w:tc>
        <w:tc>
          <w:tcPr>
            <w:tcW w:w="16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zh-CN"/>
              </w:rPr>
            </w:pPr>
            <w:r>
              <w:rPr>
                <w:rFonts w:hint="eastAsia"/>
                <w:color w:val="000000"/>
                <w:sz w:val="18"/>
                <w:szCs w:val="18"/>
                <w:lang w:eastAsia="zh-CN"/>
              </w:rPr>
              <w:t>部分行业标准</w:t>
            </w:r>
            <w:r>
              <w:rPr>
                <w:rFonts w:ascii="Times New Roman" w:hAnsi="Times New Roman"/>
                <w:color w:val="000000"/>
                <w:sz w:val="18"/>
                <w:szCs w:val="18"/>
                <w:lang w:eastAsia="zh-CN"/>
              </w:rPr>
              <w:t>+</w:t>
            </w:r>
            <w:r>
              <w:rPr>
                <w:rFonts w:hint="eastAsia"/>
                <w:color w:val="000000"/>
                <w:sz w:val="18"/>
                <w:szCs w:val="18"/>
                <w:lang w:eastAsia="zh-CN"/>
              </w:rPr>
              <w:t>综合排放</w:t>
            </w:r>
          </w:p>
        </w:tc>
        <w:tc>
          <w:tcPr>
            <w:tcW w:w="12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zh-CN"/>
              </w:rPr>
            </w:pPr>
            <w:r>
              <w:rPr>
                <w:rFonts w:hint="eastAsia"/>
                <w:color w:val="000000"/>
                <w:sz w:val="18"/>
                <w:szCs w:val="18"/>
                <w:lang w:eastAsia="zh-CN"/>
              </w:rPr>
              <w:t>部分行业标准</w:t>
            </w:r>
            <w:r>
              <w:rPr>
                <w:rFonts w:ascii="Times New Roman" w:hAnsi="Times New Roman"/>
                <w:color w:val="000000"/>
                <w:sz w:val="18"/>
                <w:szCs w:val="18"/>
                <w:lang w:eastAsia="zh-CN"/>
              </w:rPr>
              <w:t>+</w:t>
            </w:r>
            <w:r>
              <w:rPr>
                <w:rFonts w:hint="eastAsia"/>
                <w:color w:val="000000"/>
                <w:sz w:val="18"/>
                <w:szCs w:val="18"/>
                <w:lang w:eastAsia="zh-CN"/>
              </w:rPr>
              <w:t>综合排放</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医药制造业</w:t>
            </w:r>
          </w:p>
        </w:tc>
        <w:tc>
          <w:tcPr>
            <w:tcW w:w="16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国家行业标准</w:t>
            </w:r>
          </w:p>
        </w:tc>
        <w:tc>
          <w:tcPr>
            <w:tcW w:w="12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行业标准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化学纤维制造业</w:t>
            </w:r>
          </w:p>
        </w:tc>
        <w:tc>
          <w:tcPr>
            <w:tcW w:w="16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c>
          <w:tcPr>
            <w:tcW w:w="12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橡胶和塑料制品业</w:t>
            </w:r>
          </w:p>
        </w:tc>
        <w:tc>
          <w:tcPr>
            <w:tcW w:w="2902" w:type="pct"/>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zh-CN"/>
              </w:rPr>
            </w:pPr>
            <w:r>
              <w:rPr>
                <w:rFonts w:hint="eastAsia"/>
                <w:color w:val="000000"/>
                <w:sz w:val="18"/>
                <w:szCs w:val="18"/>
                <w:lang w:eastAsia="zh-CN"/>
              </w:rPr>
              <w:t>橡胶工业执行国家行业标准，其余综合排放标准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非金属矿物制品业</w:t>
            </w:r>
          </w:p>
        </w:tc>
        <w:tc>
          <w:tcPr>
            <w:tcW w:w="2902" w:type="pct"/>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zh-CN"/>
              </w:rPr>
            </w:pPr>
            <w:r>
              <w:rPr>
                <w:rFonts w:hint="eastAsia"/>
                <w:color w:val="000000"/>
                <w:sz w:val="18"/>
                <w:szCs w:val="18"/>
                <w:lang w:eastAsia="zh-CN"/>
              </w:rPr>
              <w:t>部分国家行业排放标准、其余综合排放标准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zh-CN"/>
              </w:rPr>
            </w:pPr>
            <w:r>
              <w:rPr>
                <w:rFonts w:hint="eastAsia"/>
                <w:color w:val="000000"/>
                <w:sz w:val="18"/>
                <w:szCs w:val="18"/>
                <w:lang w:eastAsia="zh-CN"/>
              </w:rPr>
              <w:t>黑色金属冶炼和压延加工业</w:t>
            </w:r>
          </w:p>
        </w:tc>
        <w:tc>
          <w:tcPr>
            <w:tcW w:w="2902" w:type="pct"/>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zh-CN"/>
              </w:rPr>
            </w:pPr>
            <w:r>
              <w:rPr>
                <w:rFonts w:hint="eastAsia"/>
                <w:color w:val="000000"/>
                <w:sz w:val="18"/>
                <w:szCs w:val="18"/>
                <w:lang w:eastAsia="zh-CN"/>
              </w:rPr>
              <w:t>部分国家行业排放标准、其余综合排放标准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zh-CN"/>
              </w:rPr>
            </w:pPr>
            <w:r>
              <w:rPr>
                <w:rFonts w:hint="eastAsia"/>
                <w:color w:val="000000"/>
                <w:sz w:val="18"/>
                <w:szCs w:val="18"/>
                <w:lang w:eastAsia="zh-CN"/>
              </w:rPr>
              <w:t>有色金属冶炼和压延加工业</w:t>
            </w:r>
          </w:p>
        </w:tc>
        <w:tc>
          <w:tcPr>
            <w:tcW w:w="2902" w:type="pct"/>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zh-CN"/>
              </w:rPr>
            </w:pPr>
            <w:r>
              <w:rPr>
                <w:rFonts w:hint="eastAsia"/>
                <w:color w:val="000000"/>
                <w:sz w:val="18"/>
                <w:szCs w:val="18"/>
                <w:lang w:eastAsia="zh-CN"/>
              </w:rPr>
              <w:t>部分国家行业排放标准、其余综合排放标准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金属制品业</w:t>
            </w:r>
          </w:p>
        </w:tc>
        <w:tc>
          <w:tcPr>
            <w:tcW w:w="2902" w:type="pct"/>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zh-CN"/>
              </w:rPr>
            </w:pPr>
            <w:r>
              <w:rPr>
                <w:rFonts w:hint="eastAsia"/>
                <w:color w:val="000000"/>
                <w:sz w:val="18"/>
                <w:szCs w:val="18"/>
                <w:lang w:eastAsia="zh-CN"/>
              </w:rPr>
              <w:t>部分国家行业排放标准、其余综合排放标准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通用设备制造业</w:t>
            </w:r>
          </w:p>
        </w:tc>
        <w:tc>
          <w:tcPr>
            <w:tcW w:w="16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c>
          <w:tcPr>
            <w:tcW w:w="12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专用设备制造业</w:t>
            </w:r>
          </w:p>
        </w:tc>
        <w:tc>
          <w:tcPr>
            <w:tcW w:w="16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c>
          <w:tcPr>
            <w:tcW w:w="12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汽车制造业</w:t>
            </w:r>
          </w:p>
        </w:tc>
        <w:tc>
          <w:tcPr>
            <w:tcW w:w="16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zh-CN"/>
              </w:rPr>
            </w:pPr>
            <w:r>
              <w:rPr>
                <w:rFonts w:hint="eastAsia"/>
                <w:color w:val="000000"/>
                <w:sz w:val="18"/>
                <w:szCs w:val="18"/>
                <w:lang w:eastAsia="zh-CN"/>
              </w:rPr>
              <w:t>地方标准</w:t>
            </w:r>
          </w:p>
        </w:tc>
        <w:tc>
          <w:tcPr>
            <w:tcW w:w="12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zh-CN"/>
              </w:rPr>
            </w:pPr>
            <w:r>
              <w:rPr>
                <w:rFonts w:hint="eastAsia"/>
                <w:color w:val="000000"/>
                <w:sz w:val="18"/>
                <w:szCs w:val="18"/>
                <w:lang w:eastAsia="zh-CN"/>
              </w:rPr>
              <w:t>铁路、船舶、航空航天和其他运输设备制造业</w:t>
            </w:r>
          </w:p>
        </w:tc>
        <w:tc>
          <w:tcPr>
            <w:tcW w:w="16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c>
          <w:tcPr>
            <w:tcW w:w="12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zh-CN"/>
              </w:rPr>
            </w:pPr>
            <w:r>
              <w:rPr>
                <w:rFonts w:hint="eastAsia"/>
                <w:color w:val="000000"/>
                <w:sz w:val="18"/>
                <w:szCs w:val="18"/>
                <w:lang w:eastAsia="zh-CN"/>
              </w:rPr>
              <w:t>电气机械和器材制造业</w:t>
            </w:r>
          </w:p>
        </w:tc>
        <w:tc>
          <w:tcPr>
            <w:tcW w:w="16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c>
          <w:tcPr>
            <w:tcW w:w="12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zh-CN"/>
              </w:rPr>
            </w:pPr>
            <w:r>
              <w:rPr>
                <w:rFonts w:hint="eastAsia"/>
                <w:color w:val="000000"/>
                <w:sz w:val="18"/>
                <w:szCs w:val="18"/>
                <w:lang w:eastAsia="zh-CN"/>
              </w:rPr>
              <w:t>计算机、通信和其他电子设备制造业</w:t>
            </w:r>
          </w:p>
        </w:tc>
        <w:tc>
          <w:tcPr>
            <w:tcW w:w="16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c>
          <w:tcPr>
            <w:tcW w:w="12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仪器仪表制造业</w:t>
            </w:r>
          </w:p>
        </w:tc>
        <w:tc>
          <w:tcPr>
            <w:tcW w:w="16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c>
          <w:tcPr>
            <w:tcW w:w="12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其他制造业</w:t>
            </w:r>
          </w:p>
        </w:tc>
        <w:tc>
          <w:tcPr>
            <w:tcW w:w="16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c>
          <w:tcPr>
            <w:tcW w:w="12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kern w:val="0"/>
                <w:sz w:val="18"/>
                <w:szCs w:val="18"/>
                <w:lang w:eastAsia="en-US"/>
              </w:rPr>
            </w:pPr>
            <w:r>
              <w:rPr>
                <w:rFonts w:hint="eastAsia"/>
                <w:color w:val="000000"/>
                <w:sz w:val="18"/>
                <w:szCs w:val="18"/>
                <w:lang w:eastAsia="en-US"/>
              </w:rPr>
              <w:t>国家综合排放标准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sz w:val="18"/>
                <w:szCs w:val="18"/>
                <w:lang w:eastAsia="en-US"/>
              </w:rPr>
            </w:pPr>
            <w:r>
              <w:rPr>
                <w:rFonts w:hint="eastAsia"/>
                <w:color w:val="000000"/>
                <w:sz w:val="18"/>
                <w:szCs w:val="18"/>
                <w:lang w:eastAsia="en-US"/>
              </w:rPr>
              <w:t>废弃资源综合利用业</w:t>
            </w:r>
          </w:p>
        </w:tc>
        <w:tc>
          <w:tcPr>
            <w:tcW w:w="16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sz w:val="18"/>
                <w:szCs w:val="18"/>
                <w:lang w:eastAsia="en-US"/>
              </w:rPr>
            </w:pPr>
            <w:r>
              <w:rPr>
                <w:rFonts w:hint="eastAsia"/>
                <w:color w:val="000000"/>
                <w:sz w:val="18"/>
                <w:szCs w:val="18"/>
                <w:lang w:eastAsia="en-US"/>
              </w:rPr>
              <w:t>国家综合排放标准</w:t>
            </w:r>
          </w:p>
        </w:tc>
        <w:tc>
          <w:tcPr>
            <w:tcW w:w="12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sz w:val="18"/>
                <w:szCs w:val="18"/>
                <w:lang w:eastAsia="en-US"/>
              </w:rPr>
            </w:pPr>
            <w:r>
              <w:rPr>
                <w:rFonts w:hint="eastAsia"/>
                <w:color w:val="000000"/>
                <w:sz w:val="18"/>
                <w:szCs w:val="18"/>
                <w:lang w:eastAsia="en-US"/>
              </w:rPr>
              <w:t>国家综合排放标准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sz w:val="18"/>
                <w:szCs w:val="18"/>
                <w:lang w:eastAsia="zh-CN"/>
              </w:rPr>
            </w:pPr>
            <w:r>
              <w:rPr>
                <w:rFonts w:hint="eastAsia"/>
                <w:color w:val="000000"/>
                <w:sz w:val="18"/>
                <w:szCs w:val="18"/>
                <w:lang w:eastAsia="zh-CN"/>
              </w:rPr>
              <w:t>金属制品、机械和设备修理业</w:t>
            </w:r>
          </w:p>
        </w:tc>
        <w:tc>
          <w:tcPr>
            <w:tcW w:w="16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sz w:val="18"/>
                <w:szCs w:val="18"/>
                <w:lang w:eastAsia="en-US"/>
              </w:rPr>
            </w:pPr>
            <w:r>
              <w:rPr>
                <w:rFonts w:hint="eastAsia"/>
                <w:color w:val="000000"/>
                <w:sz w:val="18"/>
                <w:szCs w:val="18"/>
                <w:lang w:eastAsia="en-US"/>
              </w:rPr>
              <w:t>国家综合排放标准</w:t>
            </w:r>
          </w:p>
        </w:tc>
        <w:tc>
          <w:tcPr>
            <w:tcW w:w="12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sz w:val="18"/>
                <w:szCs w:val="18"/>
                <w:lang w:eastAsia="en-US"/>
              </w:rPr>
            </w:pPr>
            <w:r>
              <w:rPr>
                <w:rFonts w:hint="eastAsia"/>
                <w:color w:val="000000"/>
                <w:sz w:val="18"/>
                <w:szCs w:val="18"/>
                <w:lang w:eastAsia="en-US"/>
              </w:rPr>
              <w:t>国家综合排放标准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sz w:val="18"/>
                <w:szCs w:val="18"/>
                <w:lang w:eastAsia="zh-CN"/>
              </w:rPr>
            </w:pPr>
            <w:r>
              <w:rPr>
                <w:rFonts w:hint="eastAsia"/>
                <w:color w:val="000000"/>
                <w:sz w:val="18"/>
                <w:szCs w:val="18"/>
                <w:lang w:eastAsia="zh-CN"/>
              </w:rPr>
              <w:t>电力、热力生产和供应业</w:t>
            </w:r>
          </w:p>
        </w:tc>
        <w:tc>
          <w:tcPr>
            <w:tcW w:w="16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sz w:val="18"/>
                <w:szCs w:val="18"/>
                <w:lang w:eastAsia="en-US"/>
              </w:rPr>
            </w:pPr>
            <w:r>
              <w:rPr>
                <w:rFonts w:hint="eastAsia"/>
                <w:color w:val="000000"/>
                <w:sz w:val="18"/>
                <w:szCs w:val="18"/>
                <w:lang w:eastAsia="en-US"/>
              </w:rPr>
              <w:t>国家综合排放标准</w:t>
            </w:r>
          </w:p>
        </w:tc>
        <w:tc>
          <w:tcPr>
            <w:tcW w:w="12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sz w:val="18"/>
                <w:szCs w:val="18"/>
                <w:lang w:eastAsia="en-US"/>
              </w:rPr>
            </w:pPr>
            <w:r>
              <w:rPr>
                <w:rFonts w:hint="eastAsia"/>
                <w:color w:val="000000"/>
                <w:sz w:val="18"/>
                <w:szCs w:val="18"/>
                <w:lang w:eastAsia="en-US"/>
              </w:rPr>
              <w:t>国家综合排放标准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sz w:val="18"/>
                <w:szCs w:val="18"/>
                <w:lang w:eastAsia="en-US"/>
              </w:rPr>
            </w:pPr>
            <w:r>
              <w:rPr>
                <w:rFonts w:hint="eastAsia"/>
                <w:color w:val="000000"/>
                <w:sz w:val="18"/>
                <w:szCs w:val="18"/>
                <w:lang w:eastAsia="en-US"/>
              </w:rPr>
              <w:t>燃气生产和供应业</w:t>
            </w:r>
          </w:p>
        </w:tc>
        <w:tc>
          <w:tcPr>
            <w:tcW w:w="16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sz w:val="18"/>
                <w:szCs w:val="18"/>
                <w:lang w:eastAsia="en-US"/>
              </w:rPr>
            </w:pPr>
            <w:r>
              <w:rPr>
                <w:rFonts w:hint="eastAsia"/>
                <w:color w:val="000000"/>
                <w:sz w:val="18"/>
                <w:szCs w:val="18"/>
                <w:lang w:eastAsia="en-US"/>
              </w:rPr>
              <w:t>国家综合排放标准</w:t>
            </w:r>
          </w:p>
        </w:tc>
        <w:tc>
          <w:tcPr>
            <w:tcW w:w="12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sz w:val="18"/>
                <w:szCs w:val="18"/>
                <w:lang w:eastAsia="en-US"/>
              </w:rPr>
            </w:pPr>
            <w:r>
              <w:rPr>
                <w:rFonts w:hint="eastAsia"/>
                <w:color w:val="000000"/>
                <w:sz w:val="18"/>
                <w:szCs w:val="18"/>
                <w:lang w:eastAsia="en-US"/>
              </w:rPr>
              <w:t>国家综合排放标准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sz w:val="18"/>
                <w:szCs w:val="18"/>
                <w:lang w:eastAsia="en-US"/>
              </w:rPr>
            </w:pPr>
            <w:r>
              <w:rPr>
                <w:rFonts w:hint="eastAsia"/>
                <w:color w:val="000000"/>
                <w:sz w:val="18"/>
                <w:szCs w:val="18"/>
                <w:lang w:eastAsia="en-US"/>
              </w:rPr>
              <w:t>水的生产和供应业</w:t>
            </w:r>
          </w:p>
        </w:tc>
        <w:tc>
          <w:tcPr>
            <w:tcW w:w="16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sz w:val="18"/>
                <w:szCs w:val="18"/>
                <w:lang w:eastAsia="en-US"/>
              </w:rPr>
            </w:pPr>
            <w:r>
              <w:rPr>
                <w:rFonts w:hint="eastAsia"/>
                <w:color w:val="000000"/>
                <w:sz w:val="18"/>
                <w:szCs w:val="18"/>
                <w:lang w:eastAsia="en-US"/>
              </w:rPr>
              <w:t>国家综合排放标准</w:t>
            </w:r>
          </w:p>
        </w:tc>
        <w:tc>
          <w:tcPr>
            <w:tcW w:w="12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sz w:val="18"/>
                <w:szCs w:val="18"/>
                <w:lang w:eastAsia="en-US"/>
              </w:rPr>
            </w:pPr>
            <w:r>
              <w:rPr>
                <w:rFonts w:hint="eastAsia"/>
                <w:color w:val="000000"/>
                <w:sz w:val="18"/>
                <w:szCs w:val="18"/>
                <w:lang w:eastAsia="en-US"/>
              </w:rPr>
              <w:t>国家综合排放标准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sz w:val="18"/>
                <w:szCs w:val="18"/>
                <w:lang w:eastAsia="en-US"/>
              </w:rPr>
            </w:pPr>
            <w:r>
              <w:rPr>
                <w:rFonts w:hint="eastAsia"/>
                <w:color w:val="000000"/>
                <w:sz w:val="18"/>
                <w:szCs w:val="18"/>
                <w:lang w:eastAsia="en-US"/>
              </w:rPr>
              <w:t>有色金属矿采选业</w:t>
            </w:r>
          </w:p>
        </w:tc>
        <w:tc>
          <w:tcPr>
            <w:tcW w:w="16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sz w:val="18"/>
                <w:szCs w:val="18"/>
                <w:lang w:eastAsia="en-US"/>
              </w:rPr>
            </w:pPr>
            <w:r>
              <w:rPr>
                <w:rFonts w:hint="eastAsia"/>
                <w:color w:val="000000"/>
                <w:sz w:val="18"/>
                <w:szCs w:val="18"/>
                <w:lang w:eastAsia="en-US"/>
              </w:rPr>
              <w:t>国家综合排放标准</w:t>
            </w:r>
          </w:p>
        </w:tc>
        <w:tc>
          <w:tcPr>
            <w:tcW w:w="12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sz w:val="18"/>
                <w:szCs w:val="18"/>
                <w:lang w:eastAsia="en-US"/>
              </w:rPr>
            </w:pPr>
            <w:r>
              <w:rPr>
                <w:rFonts w:hint="eastAsia"/>
                <w:color w:val="000000"/>
                <w:sz w:val="18"/>
                <w:szCs w:val="18"/>
                <w:lang w:eastAsia="en-US"/>
              </w:rPr>
              <w:t>国家综合排放标准</w:t>
            </w:r>
          </w:p>
        </w:tc>
      </w:tr>
      <w:tr>
        <w:tblPrEx>
          <w:tblCellMar>
            <w:top w:w="0" w:type="dxa"/>
            <w:left w:w="0" w:type="dxa"/>
            <w:bottom w:w="0" w:type="dxa"/>
            <w:right w:w="0" w:type="dxa"/>
          </w:tblCellMar>
        </w:tblPrEx>
        <w:trPr>
          <w:trHeight w:val="20" w:hRule="atLeast"/>
          <w:jc w:val="center"/>
        </w:trPr>
        <w:tc>
          <w:tcPr>
            <w:tcW w:w="20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sz w:val="18"/>
                <w:szCs w:val="18"/>
                <w:lang w:eastAsia="en-US"/>
              </w:rPr>
            </w:pPr>
            <w:r>
              <w:rPr>
                <w:rFonts w:hint="eastAsia"/>
                <w:color w:val="000000"/>
                <w:sz w:val="18"/>
                <w:szCs w:val="18"/>
                <w:lang w:eastAsia="en-US"/>
              </w:rPr>
              <w:t>黑色金属矿采选业</w:t>
            </w:r>
          </w:p>
        </w:tc>
        <w:tc>
          <w:tcPr>
            <w:tcW w:w="16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sz w:val="18"/>
                <w:szCs w:val="18"/>
                <w:lang w:eastAsia="en-US"/>
              </w:rPr>
            </w:pPr>
            <w:r>
              <w:rPr>
                <w:rFonts w:hint="eastAsia"/>
                <w:color w:val="000000"/>
                <w:sz w:val="18"/>
                <w:szCs w:val="18"/>
                <w:lang w:eastAsia="en-US"/>
              </w:rPr>
              <w:t>国家综合排放标准</w:t>
            </w:r>
          </w:p>
        </w:tc>
        <w:tc>
          <w:tcPr>
            <w:tcW w:w="12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sz w:val="18"/>
                <w:szCs w:val="18"/>
                <w:lang w:eastAsia="en-US"/>
              </w:rPr>
            </w:pPr>
            <w:r>
              <w:rPr>
                <w:rFonts w:hint="eastAsia"/>
                <w:color w:val="000000"/>
                <w:sz w:val="18"/>
                <w:szCs w:val="18"/>
                <w:lang w:eastAsia="en-US"/>
              </w:rPr>
              <w:t>国家综合排放标准</w:t>
            </w:r>
          </w:p>
        </w:tc>
      </w:tr>
    </w:tbl>
    <w:p>
      <w:pPr>
        <w:pStyle w:val="4"/>
        <w:ind w:left="0" w:firstLine="0"/>
      </w:pPr>
      <w:bookmarkStart w:id="110" w:name="_Toc26350772"/>
      <w:r>
        <w:t>其它省市</w:t>
      </w:r>
      <w:bookmarkEnd w:id="110"/>
    </w:p>
    <w:p>
      <w:pPr>
        <w:pStyle w:val="68"/>
        <w:rPr>
          <w:rFonts w:cs="Times New Roman"/>
        </w:rPr>
      </w:pPr>
      <w:r>
        <w:rPr>
          <w:rFonts w:cs="Times New Roman"/>
        </w:rPr>
        <w:t>当前各省市的地方大气污染物综合排放标准的制定情况及比较如</w:t>
      </w:r>
      <w:r>
        <w:rPr>
          <w:rFonts w:cs="Times New Roman"/>
        </w:rPr>
        <w:fldChar w:fldCharType="begin"/>
      </w:r>
      <w:r>
        <w:rPr>
          <w:rFonts w:cs="Times New Roman"/>
        </w:rPr>
        <w:instrText xml:space="preserve"> REF _Ref26348337 \h  \* MERGEFORMAT </w:instrText>
      </w:r>
      <w:r>
        <w:rPr>
          <w:rFonts w:cs="Times New Roman"/>
        </w:rPr>
        <w:fldChar w:fldCharType="separate"/>
      </w:r>
      <w:r>
        <w:rPr>
          <w:rFonts w:cs="Times New Roman"/>
        </w:rPr>
        <w:t>表 5</w:t>
      </w:r>
      <w:r>
        <w:rPr>
          <w:rFonts w:cs="Times New Roman"/>
        </w:rPr>
        <w:noBreakHyphen/>
      </w:r>
      <w:r>
        <w:rPr>
          <w:rFonts w:cs="Times New Roman"/>
        </w:rPr>
        <w:fldChar w:fldCharType="end"/>
      </w:r>
      <w:r>
        <w:rPr>
          <w:rFonts w:cs="Times New Roman"/>
        </w:rPr>
        <w:t>5所示。</w:t>
      </w:r>
    </w:p>
    <w:p>
      <w:pPr>
        <w:pStyle w:val="13"/>
        <w:spacing w:before="156" w:beforeLines="50" w:after="156" w:afterLines="50"/>
      </w:pPr>
      <w:bookmarkStart w:id="111" w:name="_Ref26348337"/>
      <w:r>
        <w:t xml:space="preserve">表 </w:t>
      </w:r>
      <w:r>
        <w:fldChar w:fldCharType="begin"/>
      </w:r>
      <w:r>
        <w:instrText xml:space="preserve"> STYLEREF 1 \s </w:instrText>
      </w:r>
      <w:r>
        <w:fldChar w:fldCharType="separate"/>
      </w:r>
      <w:r>
        <w:t>5</w:t>
      </w:r>
      <w:r>
        <w:fldChar w:fldCharType="end"/>
      </w:r>
      <w:r>
        <w:noBreakHyphen/>
      </w:r>
      <w:bookmarkEnd w:id="111"/>
      <w:r>
        <w:t>5地方大气污染物综合排放标准</w:t>
      </w:r>
    </w:p>
    <w:p>
      <w:pPr>
        <w:spacing w:before="9" w:line="10" w:lineRule="exact"/>
        <w:jc w:val="left"/>
        <w:rPr>
          <w:rFonts w:ascii="Times New Roman" w:hAnsi="Times New Roman"/>
          <w:kern w:val="0"/>
          <w:sz w:val="4"/>
          <w:szCs w:val="4"/>
        </w:rPr>
      </w:pPr>
    </w:p>
    <w:tbl>
      <w:tblPr>
        <w:tblStyle w:val="124"/>
        <w:tblW w:w="5000" w:type="pct"/>
        <w:tblInd w:w="0" w:type="dxa"/>
        <w:tblLayout w:type="autofit"/>
        <w:tblCellMar>
          <w:top w:w="0" w:type="dxa"/>
          <w:left w:w="0" w:type="dxa"/>
          <w:bottom w:w="0" w:type="dxa"/>
          <w:right w:w="0" w:type="dxa"/>
        </w:tblCellMar>
      </w:tblPr>
      <w:tblGrid>
        <w:gridCol w:w="537"/>
        <w:gridCol w:w="1069"/>
        <w:gridCol w:w="1415"/>
        <w:gridCol w:w="1109"/>
        <w:gridCol w:w="985"/>
        <w:gridCol w:w="1362"/>
        <w:gridCol w:w="1113"/>
        <w:gridCol w:w="726"/>
      </w:tblGrid>
      <w:tr>
        <w:tblPrEx>
          <w:tblCellMar>
            <w:top w:w="0" w:type="dxa"/>
            <w:left w:w="0" w:type="dxa"/>
            <w:bottom w:w="0" w:type="dxa"/>
            <w:right w:w="0" w:type="dxa"/>
          </w:tblCellMar>
        </w:tblPrEx>
        <w:trPr>
          <w:trHeight w:val="281" w:hRule="exact"/>
          <w:tblHeader/>
        </w:trPr>
        <w:tc>
          <w:tcPr>
            <w:tcW w:w="323"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b/>
                <w:kern w:val="0"/>
                <w:sz w:val="18"/>
                <w:szCs w:val="18"/>
                <w:lang w:eastAsia="en-US"/>
              </w:rPr>
            </w:pPr>
            <w:r>
              <w:rPr>
                <w:rFonts w:ascii="Times New Roman" w:hAnsi="Times New Roman"/>
                <w:b/>
                <w:kern w:val="0"/>
                <w:sz w:val="18"/>
                <w:szCs w:val="18"/>
                <w:lang w:eastAsia="en-US"/>
              </w:rPr>
              <w:t>序号</w:t>
            </w:r>
          </w:p>
        </w:tc>
        <w:tc>
          <w:tcPr>
            <w:tcW w:w="643"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b/>
                <w:kern w:val="0"/>
                <w:sz w:val="18"/>
                <w:szCs w:val="18"/>
                <w:lang w:eastAsia="en-US"/>
              </w:rPr>
            </w:pPr>
            <w:r>
              <w:rPr>
                <w:rFonts w:ascii="Times New Roman" w:hAnsi="Times New Roman"/>
                <w:b/>
                <w:kern w:val="0"/>
                <w:sz w:val="18"/>
                <w:szCs w:val="18"/>
                <w:lang w:eastAsia="en-US"/>
              </w:rPr>
              <w:t>标准名称</w:t>
            </w:r>
          </w:p>
        </w:tc>
        <w:tc>
          <w:tcPr>
            <w:tcW w:w="851"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b/>
                <w:kern w:val="0"/>
                <w:sz w:val="18"/>
                <w:szCs w:val="18"/>
                <w:lang w:eastAsia="en-US"/>
              </w:rPr>
            </w:pPr>
            <w:r>
              <w:rPr>
                <w:rFonts w:ascii="Times New Roman" w:hAnsi="Times New Roman"/>
                <w:b/>
                <w:kern w:val="0"/>
                <w:sz w:val="18"/>
                <w:szCs w:val="18"/>
                <w:lang w:eastAsia="en-US"/>
              </w:rPr>
              <w:t>标准编号</w:t>
            </w:r>
          </w:p>
        </w:tc>
        <w:tc>
          <w:tcPr>
            <w:tcW w:w="667"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b/>
                <w:kern w:val="0"/>
                <w:sz w:val="18"/>
                <w:szCs w:val="18"/>
                <w:lang w:eastAsia="en-US"/>
              </w:rPr>
            </w:pPr>
            <w:r>
              <w:rPr>
                <w:rFonts w:ascii="Times New Roman" w:hAnsi="Times New Roman"/>
                <w:b/>
                <w:kern w:val="0"/>
                <w:sz w:val="18"/>
                <w:szCs w:val="18"/>
                <w:lang w:eastAsia="en-US"/>
              </w:rPr>
              <w:t>标准分级</w:t>
            </w:r>
          </w:p>
        </w:tc>
        <w:tc>
          <w:tcPr>
            <w:tcW w:w="592"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b/>
                <w:kern w:val="0"/>
                <w:sz w:val="18"/>
                <w:szCs w:val="18"/>
                <w:lang w:eastAsia="en-US"/>
              </w:rPr>
            </w:pPr>
            <w:r>
              <w:rPr>
                <w:rFonts w:ascii="Times New Roman" w:hAnsi="Times New Roman"/>
                <w:b/>
                <w:kern w:val="0"/>
                <w:sz w:val="18"/>
                <w:szCs w:val="18"/>
                <w:lang w:eastAsia="en-US"/>
              </w:rPr>
              <w:t>综合情况</w:t>
            </w:r>
          </w:p>
        </w:tc>
        <w:tc>
          <w:tcPr>
            <w:tcW w:w="819"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b/>
                <w:kern w:val="0"/>
                <w:sz w:val="18"/>
                <w:szCs w:val="18"/>
                <w:lang w:eastAsia="en-US"/>
              </w:rPr>
            </w:pPr>
            <w:r>
              <w:rPr>
                <w:rFonts w:ascii="Times New Roman" w:hAnsi="Times New Roman"/>
                <w:b/>
                <w:kern w:val="0"/>
                <w:sz w:val="18"/>
                <w:szCs w:val="18"/>
                <w:lang w:eastAsia="en-US"/>
              </w:rPr>
              <w:t>污染物项目</w:t>
            </w:r>
          </w:p>
        </w:tc>
        <w:tc>
          <w:tcPr>
            <w:tcW w:w="669"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b/>
                <w:kern w:val="0"/>
                <w:sz w:val="18"/>
                <w:szCs w:val="18"/>
                <w:lang w:eastAsia="en-US"/>
              </w:rPr>
            </w:pPr>
            <w:r>
              <w:rPr>
                <w:rFonts w:ascii="Times New Roman" w:hAnsi="Times New Roman"/>
                <w:b/>
                <w:kern w:val="0"/>
                <w:sz w:val="18"/>
                <w:szCs w:val="18"/>
                <w:lang w:eastAsia="en-US"/>
              </w:rPr>
              <w:t>指标体系</w:t>
            </w:r>
          </w:p>
        </w:tc>
        <w:tc>
          <w:tcPr>
            <w:tcW w:w="436"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b/>
                <w:kern w:val="0"/>
                <w:sz w:val="18"/>
                <w:szCs w:val="18"/>
                <w:lang w:eastAsia="en-US"/>
              </w:rPr>
            </w:pPr>
            <w:r>
              <w:rPr>
                <w:rFonts w:ascii="Times New Roman" w:hAnsi="Times New Roman"/>
                <w:b/>
                <w:kern w:val="0"/>
                <w:sz w:val="18"/>
                <w:szCs w:val="18"/>
                <w:lang w:eastAsia="en-US"/>
              </w:rPr>
              <w:t>限值</w:t>
            </w:r>
          </w:p>
        </w:tc>
      </w:tr>
      <w:tr>
        <w:tblPrEx>
          <w:tblCellMar>
            <w:top w:w="0" w:type="dxa"/>
            <w:left w:w="0" w:type="dxa"/>
            <w:bottom w:w="0" w:type="dxa"/>
            <w:right w:w="0" w:type="dxa"/>
          </w:tblCellMar>
        </w:tblPrEx>
        <w:trPr>
          <w:trHeight w:val="922" w:hRule="exact"/>
        </w:trPr>
        <w:tc>
          <w:tcPr>
            <w:tcW w:w="323"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1</w:t>
            </w:r>
          </w:p>
        </w:tc>
        <w:tc>
          <w:tcPr>
            <w:tcW w:w="643" w:type="pct"/>
            <w:tcBorders>
              <w:top w:val="single" w:color="000000" w:sz="4" w:space="0"/>
              <w:left w:val="single" w:color="000000" w:sz="4" w:space="0"/>
              <w:bottom w:val="single" w:color="000000" w:sz="4" w:space="0"/>
              <w:right w:val="single" w:color="000000" w:sz="4" w:space="0"/>
            </w:tcBorders>
            <w:vAlign w:val="center"/>
          </w:tcPr>
          <w:p>
            <w:pPr>
              <w:snapToGrid w:val="0"/>
              <w:rPr>
                <w:rFonts w:ascii="Times New Roman" w:hAnsi="Times New Roman"/>
                <w:kern w:val="0"/>
                <w:sz w:val="18"/>
                <w:szCs w:val="18"/>
                <w:lang w:eastAsia="zh-CN"/>
              </w:rPr>
            </w:pPr>
            <w:r>
              <w:rPr>
                <w:rFonts w:ascii="Times New Roman" w:hAnsi="Times New Roman"/>
                <w:kern w:val="0"/>
                <w:sz w:val="18"/>
                <w:szCs w:val="18"/>
                <w:lang w:eastAsia="zh-CN"/>
              </w:rPr>
              <w:t>北京市大气污染物综合排放标准</w:t>
            </w:r>
          </w:p>
        </w:tc>
        <w:tc>
          <w:tcPr>
            <w:tcW w:w="851"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DB</w:t>
            </w:r>
            <w:r>
              <w:rPr>
                <w:rFonts w:ascii="Times New Roman" w:hAnsi="Times New Roman"/>
                <w:spacing w:val="-10"/>
                <w:kern w:val="0"/>
                <w:sz w:val="18"/>
                <w:szCs w:val="18"/>
                <w:lang w:eastAsia="en-US"/>
              </w:rPr>
              <w:t xml:space="preserve"> </w:t>
            </w:r>
            <w:r>
              <w:rPr>
                <w:rFonts w:ascii="Times New Roman" w:hAnsi="Times New Roman"/>
                <w:kern w:val="0"/>
                <w:sz w:val="18"/>
                <w:szCs w:val="18"/>
                <w:lang w:eastAsia="en-US"/>
              </w:rPr>
              <w:t>11/501-</w:t>
            </w:r>
            <w:r>
              <w:rPr>
                <w:rFonts w:ascii="Times New Roman" w:hAnsi="Times New Roman"/>
                <w:spacing w:val="-1"/>
                <w:kern w:val="0"/>
                <w:sz w:val="18"/>
                <w:szCs w:val="18"/>
                <w:lang w:eastAsia="en-US"/>
              </w:rPr>
              <w:t>2017</w:t>
            </w:r>
          </w:p>
        </w:tc>
        <w:tc>
          <w:tcPr>
            <w:tcW w:w="667"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未分区分级</w:t>
            </w:r>
          </w:p>
        </w:tc>
        <w:tc>
          <w:tcPr>
            <w:tcW w:w="592"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综合</w:t>
            </w:r>
          </w:p>
        </w:tc>
        <w:tc>
          <w:tcPr>
            <w:tcW w:w="819"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zh-CN"/>
              </w:rPr>
            </w:pPr>
            <w:r>
              <w:rPr>
                <w:rFonts w:ascii="Times New Roman" w:hAnsi="Times New Roman"/>
                <w:kern w:val="0"/>
                <w:sz w:val="18"/>
                <w:szCs w:val="18"/>
                <w:lang w:eastAsia="zh-CN"/>
              </w:rPr>
              <w:t>共</w:t>
            </w:r>
            <w:r>
              <w:rPr>
                <w:rFonts w:ascii="Times New Roman" w:hAnsi="Times New Roman"/>
                <w:spacing w:val="-46"/>
                <w:kern w:val="0"/>
                <w:sz w:val="18"/>
                <w:szCs w:val="18"/>
                <w:lang w:eastAsia="zh-CN"/>
              </w:rPr>
              <w:t xml:space="preserve"> </w:t>
            </w:r>
            <w:r>
              <w:rPr>
                <w:rFonts w:ascii="Times New Roman" w:hAnsi="Times New Roman"/>
                <w:spacing w:val="-1"/>
                <w:kern w:val="0"/>
                <w:sz w:val="18"/>
                <w:szCs w:val="18"/>
                <w:lang w:eastAsia="zh-CN"/>
              </w:rPr>
              <w:t>51</w:t>
            </w:r>
            <w:r>
              <w:rPr>
                <w:rFonts w:ascii="Times New Roman" w:hAnsi="Times New Roman"/>
                <w:kern w:val="0"/>
                <w:sz w:val="18"/>
                <w:szCs w:val="18"/>
                <w:lang w:eastAsia="zh-CN"/>
              </w:rPr>
              <w:t>项</w:t>
            </w:r>
          </w:p>
        </w:tc>
        <w:tc>
          <w:tcPr>
            <w:tcW w:w="669"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zh-CN"/>
              </w:rPr>
            </w:pPr>
            <w:r>
              <w:rPr>
                <w:rFonts w:ascii="Times New Roman" w:hAnsi="Times New Roman"/>
                <w:kern w:val="0"/>
                <w:sz w:val="18"/>
                <w:szCs w:val="18"/>
                <w:lang w:eastAsia="zh-CN"/>
              </w:rPr>
              <w:t>排放浓度；排放速率；排放量；净化效率。</w:t>
            </w:r>
          </w:p>
        </w:tc>
        <w:tc>
          <w:tcPr>
            <w:tcW w:w="436"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有组织；无组织。</w:t>
            </w:r>
          </w:p>
        </w:tc>
      </w:tr>
      <w:tr>
        <w:trPr>
          <w:trHeight w:val="922" w:hRule="exact"/>
        </w:trPr>
        <w:tc>
          <w:tcPr>
            <w:tcW w:w="323"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zh-CN"/>
              </w:rPr>
            </w:pPr>
            <w:r>
              <w:rPr>
                <w:rFonts w:ascii="Times New Roman" w:hAnsi="Times New Roman"/>
                <w:kern w:val="0"/>
                <w:sz w:val="18"/>
                <w:szCs w:val="18"/>
                <w:lang w:eastAsia="zh-CN"/>
              </w:rPr>
              <w:t>2</w:t>
            </w:r>
          </w:p>
        </w:tc>
        <w:tc>
          <w:tcPr>
            <w:tcW w:w="643" w:type="pct"/>
            <w:tcBorders>
              <w:top w:val="single" w:color="000000" w:sz="4" w:space="0"/>
              <w:left w:val="single" w:color="000000" w:sz="4" w:space="0"/>
              <w:bottom w:val="single" w:color="000000" w:sz="4" w:space="0"/>
              <w:right w:val="single" w:color="000000" w:sz="4" w:space="0"/>
            </w:tcBorders>
            <w:vAlign w:val="center"/>
          </w:tcPr>
          <w:p>
            <w:pPr>
              <w:snapToGrid w:val="0"/>
              <w:rPr>
                <w:rFonts w:ascii="Times New Roman" w:hAnsi="Times New Roman"/>
                <w:kern w:val="0"/>
                <w:sz w:val="18"/>
                <w:szCs w:val="18"/>
                <w:lang w:eastAsia="zh-CN"/>
              </w:rPr>
            </w:pPr>
            <w:r>
              <w:rPr>
                <w:rFonts w:ascii="Times New Roman" w:hAnsi="Times New Roman"/>
                <w:kern w:val="0"/>
                <w:sz w:val="18"/>
                <w:szCs w:val="18"/>
                <w:lang w:eastAsia="zh-CN"/>
              </w:rPr>
              <w:t>上海市大气污染物综合排放标准</w:t>
            </w:r>
          </w:p>
        </w:tc>
        <w:tc>
          <w:tcPr>
            <w:tcW w:w="851"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DB31/933-2015</w:t>
            </w:r>
          </w:p>
        </w:tc>
        <w:tc>
          <w:tcPr>
            <w:tcW w:w="667"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不分级</w:t>
            </w:r>
          </w:p>
        </w:tc>
        <w:tc>
          <w:tcPr>
            <w:tcW w:w="592"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综合</w:t>
            </w:r>
          </w:p>
        </w:tc>
        <w:tc>
          <w:tcPr>
            <w:tcW w:w="819"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共</w:t>
            </w:r>
            <w:r>
              <w:rPr>
                <w:rFonts w:ascii="Times New Roman" w:hAnsi="Times New Roman"/>
                <w:spacing w:val="-46"/>
                <w:kern w:val="0"/>
                <w:sz w:val="18"/>
                <w:szCs w:val="18"/>
                <w:lang w:eastAsia="en-US"/>
              </w:rPr>
              <w:t xml:space="preserve"> </w:t>
            </w:r>
            <w:r>
              <w:rPr>
                <w:rFonts w:ascii="Times New Roman" w:hAnsi="Times New Roman"/>
                <w:spacing w:val="-1"/>
                <w:kern w:val="0"/>
                <w:sz w:val="18"/>
                <w:szCs w:val="18"/>
                <w:lang w:eastAsia="en-US"/>
              </w:rPr>
              <w:t>71</w:t>
            </w:r>
            <w:r>
              <w:rPr>
                <w:rFonts w:ascii="Times New Roman" w:hAnsi="Times New Roman"/>
                <w:kern w:val="0"/>
                <w:sz w:val="18"/>
                <w:szCs w:val="18"/>
                <w:lang w:eastAsia="en-US"/>
              </w:rPr>
              <w:t>项</w:t>
            </w:r>
          </w:p>
        </w:tc>
        <w:tc>
          <w:tcPr>
            <w:tcW w:w="669"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zh-CN"/>
              </w:rPr>
            </w:pPr>
            <w:r>
              <w:rPr>
                <w:rFonts w:ascii="Times New Roman" w:hAnsi="Times New Roman"/>
                <w:kern w:val="0"/>
                <w:sz w:val="18"/>
                <w:szCs w:val="18"/>
                <w:lang w:eastAsia="zh-CN"/>
              </w:rPr>
              <w:t>排放浓度；排放速率。</w:t>
            </w:r>
          </w:p>
        </w:tc>
        <w:tc>
          <w:tcPr>
            <w:tcW w:w="436"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有组织；无组织。</w:t>
            </w:r>
          </w:p>
        </w:tc>
      </w:tr>
      <w:tr>
        <w:tblPrEx>
          <w:tblCellMar>
            <w:top w:w="0" w:type="dxa"/>
            <w:left w:w="0" w:type="dxa"/>
            <w:bottom w:w="0" w:type="dxa"/>
            <w:right w:w="0" w:type="dxa"/>
          </w:tblCellMar>
        </w:tblPrEx>
        <w:trPr>
          <w:trHeight w:val="711" w:hRule="exact"/>
        </w:trPr>
        <w:tc>
          <w:tcPr>
            <w:tcW w:w="323"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3</w:t>
            </w:r>
          </w:p>
        </w:tc>
        <w:tc>
          <w:tcPr>
            <w:tcW w:w="643" w:type="pct"/>
            <w:tcBorders>
              <w:top w:val="single" w:color="000000" w:sz="4" w:space="0"/>
              <w:left w:val="single" w:color="000000" w:sz="4" w:space="0"/>
              <w:bottom w:val="single" w:color="000000" w:sz="4" w:space="0"/>
              <w:right w:val="single" w:color="000000" w:sz="4" w:space="0"/>
            </w:tcBorders>
            <w:vAlign w:val="center"/>
          </w:tcPr>
          <w:p>
            <w:pPr>
              <w:snapToGrid w:val="0"/>
              <w:rPr>
                <w:rFonts w:ascii="Times New Roman" w:hAnsi="Times New Roman"/>
                <w:kern w:val="0"/>
                <w:sz w:val="18"/>
                <w:szCs w:val="18"/>
                <w:lang w:eastAsia="zh-CN"/>
              </w:rPr>
            </w:pPr>
            <w:r>
              <w:rPr>
                <w:rFonts w:ascii="Times New Roman" w:hAnsi="Times New Roman"/>
                <w:kern w:val="0"/>
                <w:sz w:val="18"/>
                <w:szCs w:val="18"/>
                <w:lang w:eastAsia="zh-CN"/>
              </w:rPr>
              <w:t>贵州省环境污染物排放 标准</w:t>
            </w:r>
          </w:p>
        </w:tc>
        <w:tc>
          <w:tcPr>
            <w:tcW w:w="851"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DB52/864-</w:t>
            </w:r>
            <w:r>
              <w:rPr>
                <w:rFonts w:ascii="Times New Roman" w:hAnsi="Times New Roman"/>
                <w:spacing w:val="-1"/>
                <w:kern w:val="0"/>
                <w:sz w:val="18"/>
                <w:szCs w:val="18"/>
                <w:lang w:eastAsia="en-US"/>
              </w:rPr>
              <w:t>2013</w:t>
            </w:r>
          </w:p>
        </w:tc>
        <w:tc>
          <w:tcPr>
            <w:tcW w:w="667"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二类区二级</w:t>
            </w:r>
          </w:p>
        </w:tc>
        <w:tc>
          <w:tcPr>
            <w:tcW w:w="592"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综合</w:t>
            </w:r>
          </w:p>
        </w:tc>
        <w:tc>
          <w:tcPr>
            <w:tcW w:w="819"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共</w:t>
            </w:r>
            <w:r>
              <w:rPr>
                <w:rFonts w:ascii="Times New Roman" w:hAnsi="Times New Roman"/>
                <w:spacing w:val="-46"/>
                <w:kern w:val="0"/>
                <w:sz w:val="18"/>
                <w:szCs w:val="18"/>
                <w:lang w:eastAsia="en-US"/>
              </w:rPr>
              <w:t xml:space="preserve"> </w:t>
            </w:r>
            <w:r>
              <w:rPr>
                <w:rFonts w:ascii="Times New Roman" w:hAnsi="Times New Roman"/>
                <w:kern w:val="0"/>
                <w:sz w:val="18"/>
                <w:szCs w:val="18"/>
                <w:lang w:eastAsia="en-US"/>
              </w:rPr>
              <w:t>7项</w:t>
            </w:r>
          </w:p>
        </w:tc>
        <w:tc>
          <w:tcPr>
            <w:tcW w:w="669"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zh-CN"/>
              </w:rPr>
            </w:pPr>
            <w:r>
              <w:rPr>
                <w:rFonts w:ascii="Times New Roman" w:hAnsi="Times New Roman"/>
                <w:kern w:val="0"/>
                <w:sz w:val="18"/>
                <w:szCs w:val="18"/>
                <w:lang w:eastAsia="zh-CN"/>
              </w:rPr>
              <w:t>排放浓度；排放速率。</w:t>
            </w:r>
          </w:p>
        </w:tc>
        <w:tc>
          <w:tcPr>
            <w:tcW w:w="436"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有组织；无 组织</w:t>
            </w:r>
          </w:p>
        </w:tc>
      </w:tr>
      <w:tr>
        <w:tblPrEx>
          <w:tblCellMar>
            <w:top w:w="0" w:type="dxa"/>
            <w:left w:w="0" w:type="dxa"/>
            <w:bottom w:w="0" w:type="dxa"/>
            <w:right w:w="0" w:type="dxa"/>
          </w:tblCellMar>
        </w:tblPrEx>
        <w:trPr>
          <w:trHeight w:val="943" w:hRule="exact"/>
        </w:trPr>
        <w:tc>
          <w:tcPr>
            <w:tcW w:w="323"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4</w:t>
            </w:r>
          </w:p>
        </w:tc>
        <w:tc>
          <w:tcPr>
            <w:tcW w:w="643" w:type="pct"/>
            <w:tcBorders>
              <w:top w:val="single" w:color="000000" w:sz="4" w:space="0"/>
              <w:left w:val="single" w:color="000000" w:sz="4" w:space="0"/>
              <w:bottom w:val="single" w:color="000000" w:sz="4" w:space="0"/>
              <w:right w:val="single" w:color="000000" w:sz="4" w:space="0"/>
            </w:tcBorders>
            <w:vAlign w:val="center"/>
          </w:tcPr>
          <w:p>
            <w:pPr>
              <w:snapToGrid w:val="0"/>
              <w:rPr>
                <w:rFonts w:ascii="Times New Roman" w:hAnsi="Times New Roman"/>
                <w:kern w:val="0"/>
                <w:sz w:val="18"/>
                <w:szCs w:val="18"/>
                <w:lang w:eastAsia="zh-CN"/>
              </w:rPr>
            </w:pPr>
            <w:r>
              <w:rPr>
                <w:rFonts w:ascii="Times New Roman" w:hAnsi="Times New Roman"/>
                <w:kern w:val="0"/>
                <w:sz w:val="18"/>
                <w:szCs w:val="18"/>
                <w:lang w:eastAsia="zh-CN"/>
              </w:rPr>
              <w:t>山东省区域性大气污染 物综合排放标准</w:t>
            </w:r>
          </w:p>
        </w:tc>
        <w:tc>
          <w:tcPr>
            <w:tcW w:w="851"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DB37/2376-</w:t>
            </w:r>
            <w:r>
              <w:rPr>
                <w:rFonts w:ascii="Times New Roman" w:hAnsi="Times New Roman"/>
                <w:spacing w:val="-1"/>
                <w:kern w:val="0"/>
                <w:sz w:val="18"/>
                <w:szCs w:val="18"/>
                <w:lang w:eastAsia="en-US"/>
              </w:rPr>
              <w:t>2013</w:t>
            </w:r>
          </w:p>
        </w:tc>
        <w:tc>
          <w:tcPr>
            <w:tcW w:w="667"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核心、重点</w:t>
            </w:r>
          </w:p>
        </w:tc>
        <w:tc>
          <w:tcPr>
            <w:tcW w:w="592"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行业</w:t>
            </w:r>
            <w:r>
              <w:rPr>
                <w:rFonts w:ascii="Times New Roman" w:hAnsi="Times New Roman"/>
                <w:spacing w:val="-1"/>
                <w:kern w:val="0"/>
                <w:sz w:val="18"/>
                <w:szCs w:val="18"/>
                <w:lang w:eastAsia="en-US"/>
              </w:rPr>
              <w:t>+</w:t>
            </w:r>
            <w:r>
              <w:rPr>
                <w:rFonts w:ascii="Times New Roman" w:hAnsi="Times New Roman"/>
                <w:kern w:val="0"/>
                <w:sz w:val="18"/>
                <w:szCs w:val="18"/>
                <w:lang w:eastAsia="en-US"/>
              </w:rPr>
              <w:t>综合</w:t>
            </w:r>
          </w:p>
        </w:tc>
        <w:tc>
          <w:tcPr>
            <w:tcW w:w="819"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spacing w:val="-2"/>
                <w:kern w:val="0"/>
                <w:sz w:val="18"/>
                <w:szCs w:val="18"/>
                <w:lang w:eastAsia="zh-CN"/>
              </w:rPr>
              <w:t>共</w:t>
            </w:r>
            <w:r>
              <w:rPr>
                <w:rFonts w:ascii="Times New Roman" w:hAnsi="Times New Roman"/>
                <w:kern w:val="0"/>
                <w:sz w:val="18"/>
                <w:szCs w:val="18"/>
                <w:lang w:eastAsia="en-US"/>
              </w:rPr>
              <w:t>3项</w:t>
            </w:r>
          </w:p>
        </w:tc>
        <w:tc>
          <w:tcPr>
            <w:tcW w:w="669"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排放浓度。</w:t>
            </w:r>
          </w:p>
        </w:tc>
        <w:tc>
          <w:tcPr>
            <w:tcW w:w="436"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有组织</w:t>
            </w:r>
          </w:p>
        </w:tc>
      </w:tr>
      <w:tr>
        <w:tblPrEx>
          <w:tblCellMar>
            <w:top w:w="0" w:type="dxa"/>
            <w:left w:w="0" w:type="dxa"/>
            <w:bottom w:w="0" w:type="dxa"/>
            <w:right w:w="0" w:type="dxa"/>
          </w:tblCellMar>
        </w:tblPrEx>
        <w:trPr>
          <w:trHeight w:val="710" w:hRule="exact"/>
        </w:trPr>
        <w:tc>
          <w:tcPr>
            <w:tcW w:w="323"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zh-CN"/>
              </w:rPr>
            </w:pPr>
            <w:r>
              <w:rPr>
                <w:rFonts w:ascii="Times New Roman" w:hAnsi="Times New Roman"/>
                <w:kern w:val="0"/>
                <w:sz w:val="18"/>
                <w:szCs w:val="18"/>
                <w:lang w:eastAsia="zh-CN"/>
              </w:rPr>
              <w:t>5</w:t>
            </w:r>
          </w:p>
        </w:tc>
        <w:tc>
          <w:tcPr>
            <w:tcW w:w="643" w:type="pct"/>
            <w:tcBorders>
              <w:top w:val="single" w:color="000000" w:sz="4" w:space="0"/>
              <w:left w:val="single" w:color="000000" w:sz="4" w:space="0"/>
              <w:bottom w:val="single" w:color="000000" w:sz="4" w:space="0"/>
              <w:right w:val="single" w:color="000000" w:sz="4" w:space="0"/>
            </w:tcBorders>
            <w:vAlign w:val="center"/>
          </w:tcPr>
          <w:p>
            <w:pPr>
              <w:snapToGrid w:val="0"/>
              <w:rPr>
                <w:rFonts w:ascii="Times New Roman" w:hAnsi="Times New Roman"/>
                <w:kern w:val="0"/>
                <w:sz w:val="18"/>
                <w:szCs w:val="18"/>
                <w:lang w:eastAsia="zh-CN"/>
              </w:rPr>
            </w:pPr>
            <w:r>
              <w:rPr>
                <w:rFonts w:ascii="Times New Roman" w:hAnsi="Times New Roman"/>
                <w:kern w:val="0"/>
                <w:sz w:val="18"/>
                <w:szCs w:val="18"/>
                <w:lang w:eastAsia="zh-CN"/>
              </w:rPr>
              <w:t>重庆市大气污染物综合 排放标准</w:t>
            </w:r>
          </w:p>
        </w:tc>
        <w:tc>
          <w:tcPr>
            <w:tcW w:w="851"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DB</w:t>
            </w:r>
            <w:r>
              <w:rPr>
                <w:rFonts w:ascii="Times New Roman" w:hAnsi="Times New Roman"/>
                <w:spacing w:val="-10"/>
                <w:kern w:val="0"/>
                <w:sz w:val="18"/>
                <w:szCs w:val="18"/>
                <w:lang w:eastAsia="en-US"/>
              </w:rPr>
              <w:t xml:space="preserve"> </w:t>
            </w:r>
            <w:r>
              <w:rPr>
                <w:rFonts w:ascii="Times New Roman" w:hAnsi="Times New Roman"/>
                <w:kern w:val="0"/>
                <w:sz w:val="18"/>
                <w:szCs w:val="18"/>
                <w:lang w:eastAsia="en-US"/>
              </w:rPr>
              <w:t>50/418-</w:t>
            </w:r>
            <w:r>
              <w:rPr>
                <w:rFonts w:ascii="Times New Roman" w:hAnsi="Times New Roman"/>
                <w:spacing w:val="-1"/>
                <w:kern w:val="0"/>
                <w:sz w:val="18"/>
                <w:szCs w:val="18"/>
                <w:lang w:eastAsia="en-US"/>
              </w:rPr>
              <w:t>20</w:t>
            </w:r>
            <w:r>
              <w:rPr>
                <w:rFonts w:ascii="Times New Roman" w:hAnsi="Times New Roman"/>
                <w:kern w:val="0"/>
                <w:sz w:val="18"/>
                <w:szCs w:val="18"/>
                <w:lang w:eastAsia="en-US"/>
              </w:rPr>
              <w:t>12</w:t>
            </w:r>
          </w:p>
        </w:tc>
        <w:tc>
          <w:tcPr>
            <w:tcW w:w="667"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zh-CN"/>
              </w:rPr>
            </w:pPr>
            <w:r>
              <w:rPr>
                <w:rFonts w:ascii="Times New Roman" w:hAnsi="Times New Roman"/>
                <w:kern w:val="0"/>
                <w:sz w:val="18"/>
                <w:szCs w:val="18"/>
                <w:lang w:eastAsia="zh-CN"/>
              </w:rPr>
              <w:t>主城区、影响区、其他</w:t>
            </w:r>
          </w:p>
        </w:tc>
        <w:tc>
          <w:tcPr>
            <w:tcW w:w="592"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行业</w:t>
            </w:r>
            <w:r>
              <w:rPr>
                <w:rFonts w:ascii="Times New Roman" w:hAnsi="Times New Roman"/>
                <w:spacing w:val="-1"/>
                <w:kern w:val="0"/>
                <w:sz w:val="18"/>
                <w:szCs w:val="18"/>
                <w:lang w:eastAsia="en-US"/>
              </w:rPr>
              <w:t>+</w:t>
            </w:r>
            <w:r>
              <w:rPr>
                <w:rFonts w:ascii="Times New Roman" w:hAnsi="Times New Roman"/>
                <w:kern w:val="0"/>
                <w:sz w:val="18"/>
                <w:szCs w:val="18"/>
                <w:lang w:eastAsia="en-US"/>
              </w:rPr>
              <w:t>综合</w:t>
            </w:r>
          </w:p>
        </w:tc>
        <w:tc>
          <w:tcPr>
            <w:tcW w:w="819"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spacing w:val="-2"/>
                <w:kern w:val="0"/>
                <w:sz w:val="18"/>
                <w:szCs w:val="18"/>
                <w:lang w:eastAsia="zh-CN"/>
              </w:rPr>
              <w:t>共</w:t>
            </w:r>
            <w:r>
              <w:rPr>
                <w:rFonts w:ascii="Times New Roman" w:hAnsi="Times New Roman"/>
                <w:kern w:val="0"/>
                <w:sz w:val="18"/>
                <w:szCs w:val="18"/>
                <w:lang w:eastAsia="en-US"/>
              </w:rPr>
              <w:t>3项</w:t>
            </w:r>
          </w:p>
        </w:tc>
        <w:tc>
          <w:tcPr>
            <w:tcW w:w="669"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zh-CN"/>
              </w:rPr>
            </w:pPr>
            <w:r>
              <w:rPr>
                <w:rFonts w:ascii="Times New Roman" w:hAnsi="Times New Roman"/>
                <w:kern w:val="0"/>
                <w:sz w:val="18"/>
                <w:szCs w:val="18"/>
                <w:lang w:eastAsia="zh-CN"/>
              </w:rPr>
              <w:t>排放浓度；排放速率。</w:t>
            </w:r>
          </w:p>
        </w:tc>
        <w:tc>
          <w:tcPr>
            <w:tcW w:w="436"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有组织</w:t>
            </w:r>
          </w:p>
        </w:tc>
      </w:tr>
      <w:tr>
        <w:trPr>
          <w:trHeight w:val="710" w:hRule="exact"/>
        </w:trPr>
        <w:tc>
          <w:tcPr>
            <w:tcW w:w="323"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6</w:t>
            </w:r>
          </w:p>
        </w:tc>
        <w:tc>
          <w:tcPr>
            <w:tcW w:w="643" w:type="pct"/>
            <w:tcBorders>
              <w:top w:val="single" w:color="000000" w:sz="4" w:space="0"/>
              <w:left w:val="single" w:color="000000" w:sz="4" w:space="0"/>
              <w:bottom w:val="single" w:color="000000" w:sz="4" w:space="0"/>
              <w:right w:val="single" w:color="000000" w:sz="4" w:space="0"/>
            </w:tcBorders>
            <w:vAlign w:val="center"/>
          </w:tcPr>
          <w:p>
            <w:pPr>
              <w:snapToGrid w:val="0"/>
              <w:rPr>
                <w:rFonts w:ascii="Times New Roman" w:hAnsi="Times New Roman"/>
                <w:kern w:val="0"/>
                <w:sz w:val="18"/>
                <w:szCs w:val="18"/>
                <w:lang w:eastAsia="zh-CN"/>
              </w:rPr>
            </w:pPr>
            <w:r>
              <w:rPr>
                <w:rFonts w:ascii="Times New Roman" w:hAnsi="Times New Roman"/>
                <w:kern w:val="0"/>
                <w:sz w:val="18"/>
                <w:szCs w:val="18"/>
                <w:lang w:eastAsia="zh-CN"/>
              </w:rPr>
              <w:t>厦门市大气污染物排放 标准</w:t>
            </w:r>
          </w:p>
        </w:tc>
        <w:tc>
          <w:tcPr>
            <w:tcW w:w="851"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DB</w:t>
            </w:r>
            <w:r>
              <w:rPr>
                <w:rFonts w:ascii="Times New Roman" w:hAnsi="Times New Roman"/>
                <w:spacing w:val="-10"/>
                <w:kern w:val="0"/>
                <w:sz w:val="18"/>
                <w:szCs w:val="18"/>
                <w:lang w:eastAsia="en-US"/>
              </w:rPr>
              <w:t xml:space="preserve"> </w:t>
            </w:r>
            <w:r>
              <w:rPr>
                <w:rFonts w:ascii="Times New Roman" w:hAnsi="Times New Roman"/>
                <w:kern w:val="0"/>
                <w:sz w:val="18"/>
                <w:szCs w:val="18"/>
                <w:lang w:eastAsia="en-US"/>
              </w:rPr>
              <w:t>35/323-</w:t>
            </w:r>
            <w:r>
              <w:rPr>
                <w:rFonts w:ascii="Times New Roman" w:hAnsi="Times New Roman"/>
                <w:spacing w:val="-1"/>
                <w:kern w:val="0"/>
                <w:sz w:val="18"/>
                <w:szCs w:val="18"/>
                <w:lang w:eastAsia="en-US"/>
              </w:rPr>
              <w:t>2011</w:t>
            </w:r>
          </w:p>
        </w:tc>
        <w:tc>
          <w:tcPr>
            <w:tcW w:w="667"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二类区二级</w:t>
            </w:r>
          </w:p>
        </w:tc>
        <w:tc>
          <w:tcPr>
            <w:tcW w:w="592"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综合</w:t>
            </w:r>
            <w:r>
              <w:rPr>
                <w:rFonts w:ascii="Times New Roman" w:hAnsi="Times New Roman"/>
                <w:spacing w:val="-1"/>
                <w:kern w:val="0"/>
                <w:sz w:val="18"/>
                <w:szCs w:val="18"/>
                <w:lang w:eastAsia="en-US"/>
              </w:rPr>
              <w:t>+</w:t>
            </w:r>
            <w:r>
              <w:rPr>
                <w:rFonts w:ascii="Times New Roman" w:hAnsi="Times New Roman"/>
                <w:kern w:val="0"/>
                <w:sz w:val="18"/>
                <w:szCs w:val="18"/>
                <w:lang w:eastAsia="en-US"/>
              </w:rPr>
              <w:t>行业</w:t>
            </w:r>
          </w:p>
        </w:tc>
        <w:tc>
          <w:tcPr>
            <w:tcW w:w="819" w:type="pct"/>
            <w:tcBorders>
              <w:top w:val="single" w:color="000000" w:sz="4" w:space="0"/>
              <w:left w:val="single" w:color="000000" w:sz="4" w:space="0"/>
              <w:bottom w:val="single" w:color="000000" w:sz="4" w:space="0"/>
              <w:right w:val="single" w:color="000000" w:sz="4" w:space="0"/>
            </w:tcBorders>
            <w:vAlign w:val="center"/>
          </w:tcPr>
          <w:p>
            <w:pPr>
              <w:snapToGrid w:val="0"/>
              <w:spacing w:before="56"/>
              <w:jc w:val="center"/>
              <w:rPr>
                <w:rFonts w:ascii="Times New Roman" w:hAnsi="Times New Roman"/>
                <w:kern w:val="0"/>
                <w:sz w:val="18"/>
                <w:szCs w:val="18"/>
                <w:lang w:eastAsia="en-US"/>
              </w:rPr>
            </w:pPr>
            <w:r>
              <w:rPr>
                <w:rFonts w:ascii="Times New Roman" w:hAnsi="Times New Roman"/>
                <w:kern w:val="0"/>
                <w:sz w:val="18"/>
                <w:szCs w:val="18"/>
                <w:lang w:eastAsia="en-US"/>
              </w:rPr>
              <w:t>共</w:t>
            </w:r>
            <w:r>
              <w:rPr>
                <w:rFonts w:ascii="Times New Roman" w:hAnsi="Times New Roman"/>
                <w:spacing w:val="-46"/>
                <w:kern w:val="0"/>
                <w:sz w:val="18"/>
                <w:szCs w:val="18"/>
                <w:lang w:eastAsia="en-US"/>
              </w:rPr>
              <w:t xml:space="preserve"> </w:t>
            </w:r>
            <w:r>
              <w:rPr>
                <w:rFonts w:ascii="Times New Roman" w:hAnsi="Times New Roman"/>
                <w:spacing w:val="-1"/>
                <w:kern w:val="0"/>
                <w:sz w:val="18"/>
                <w:szCs w:val="18"/>
                <w:lang w:eastAsia="en-US"/>
              </w:rPr>
              <w:t>1</w:t>
            </w:r>
            <w:r>
              <w:rPr>
                <w:rFonts w:ascii="Times New Roman" w:hAnsi="Times New Roman"/>
                <w:kern w:val="0"/>
                <w:sz w:val="18"/>
                <w:szCs w:val="18"/>
                <w:lang w:eastAsia="en-US"/>
              </w:rPr>
              <w:t>7项</w:t>
            </w:r>
          </w:p>
        </w:tc>
        <w:tc>
          <w:tcPr>
            <w:tcW w:w="669"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zh-CN"/>
              </w:rPr>
            </w:pPr>
            <w:r>
              <w:rPr>
                <w:rFonts w:ascii="Times New Roman" w:hAnsi="Times New Roman"/>
                <w:kern w:val="0"/>
                <w:sz w:val="18"/>
                <w:szCs w:val="18"/>
                <w:lang w:eastAsia="zh-CN"/>
              </w:rPr>
              <w:t>排放浓度；排放速率。</w:t>
            </w:r>
          </w:p>
        </w:tc>
        <w:tc>
          <w:tcPr>
            <w:tcW w:w="436"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有组织；无组织。</w:t>
            </w:r>
          </w:p>
        </w:tc>
      </w:tr>
      <w:tr>
        <w:trPr>
          <w:trHeight w:val="710" w:hRule="exact"/>
        </w:trPr>
        <w:tc>
          <w:tcPr>
            <w:tcW w:w="323"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7</w:t>
            </w:r>
          </w:p>
        </w:tc>
        <w:tc>
          <w:tcPr>
            <w:tcW w:w="643" w:type="pct"/>
            <w:tcBorders>
              <w:top w:val="single" w:color="000000" w:sz="4" w:space="0"/>
              <w:left w:val="single" w:color="000000" w:sz="4" w:space="0"/>
              <w:bottom w:val="single" w:color="000000" w:sz="4" w:space="0"/>
              <w:right w:val="single" w:color="000000" w:sz="4" w:space="0"/>
            </w:tcBorders>
            <w:vAlign w:val="center"/>
          </w:tcPr>
          <w:p>
            <w:pPr>
              <w:snapToGrid w:val="0"/>
              <w:rPr>
                <w:rFonts w:ascii="Times New Roman" w:hAnsi="Times New Roman"/>
                <w:kern w:val="0"/>
                <w:sz w:val="18"/>
                <w:szCs w:val="18"/>
                <w:lang w:eastAsia="zh-CN"/>
              </w:rPr>
            </w:pPr>
            <w:r>
              <w:rPr>
                <w:rFonts w:ascii="Times New Roman" w:hAnsi="Times New Roman"/>
                <w:kern w:val="0"/>
                <w:sz w:val="18"/>
                <w:szCs w:val="18"/>
                <w:lang w:eastAsia="zh-CN"/>
              </w:rPr>
              <w:t>广东省大气污染物排放 限值</w:t>
            </w:r>
          </w:p>
        </w:tc>
        <w:tc>
          <w:tcPr>
            <w:tcW w:w="851"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DB</w:t>
            </w:r>
            <w:r>
              <w:rPr>
                <w:rFonts w:ascii="Times New Roman" w:hAnsi="Times New Roman"/>
                <w:spacing w:val="-9"/>
                <w:kern w:val="0"/>
                <w:sz w:val="18"/>
                <w:szCs w:val="18"/>
                <w:lang w:eastAsia="en-US"/>
              </w:rPr>
              <w:t xml:space="preserve"> </w:t>
            </w:r>
            <w:r>
              <w:rPr>
                <w:rFonts w:ascii="Times New Roman" w:hAnsi="Times New Roman"/>
                <w:kern w:val="0"/>
                <w:sz w:val="18"/>
                <w:szCs w:val="18"/>
                <w:lang w:eastAsia="en-US"/>
              </w:rPr>
              <w:t>44/27-</w:t>
            </w:r>
            <w:r>
              <w:rPr>
                <w:rFonts w:ascii="Times New Roman" w:hAnsi="Times New Roman"/>
                <w:spacing w:val="-1"/>
                <w:kern w:val="0"/>
                <w:sz w:val="18"/>
                <w:szCs w:val="18"/>
                <w:lang w:eastAsia="en-US"/>
              </w:rPr>
              <w:t>2001</w:t>
            </w:r>
          </w:p>
        </w:tc>
        <w:tc>
          <w:tcPr>
            <w:tcW w:w="667"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三类区三级</w:t>
            </w:r>
          </w:p>
        </w:tc>
        <w:tc>
          <w:tcPr>
            <w:tcW w:w="592"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综合</w:t>
            </w:r>
          </w:p>
        </w:tc>
        <w:tc>
          <w:tcPr>
            <w:tcW w:w="819" w:type="pct"/>
            <w:tcBorders>
              <w:top w:val="single" w:color="000000" w:sz="4" w:space="0"/>
              <w:left w:val="single" w:color="000000" w:sz="4" w:space="0"/>
              <w:bottom w:val="single" w:color="000000" w:sz="4" w:space="0"/>
              <w:right w:val="single" w:color="000000" w:sz="4" w:space="0"/>
            </w:tcBorders>
            <w:vAlign w:val="center"/>
          </w:tcPr>
          <w:p>
            <w:pPr>
              <w:snapToGrid w:val="0"/>
              <w:spacing w:before="56"/>
              <w:jc w:val="center"/>
              <w:rPr>
                <w:rFonts w:ascii="Times New Roman" w:hAnsi="Times New Roman"/>
                <w:kern w:val="0"/>
                <w:sz w:val="18"/>
                <w:szCs w:val="18"/>
                <w:lang w:eastAsia="en-US"/>
              </w:rPr>
            </w:pPr>
            <w:r>
              <w:rPr>
                <w:rFonts w:ascii="Times New Roman" w:hAnsi="Times New Roman"/>
                <w:kern w:val="0"/>
                <w:sz w:val="18"/>
                <w:szCs w:val="18"/>
                <w:lang w:eastAsia="en-US"/>
              </w:rPr>
              <w:t>共</w:t>
            </w:r>
            <w:r>
              <w:rPr>
                <w:rFonts w:ascii="Times New Roman" w:hAnsi="Times New Roman"/>
                <w:spacing w:val="-46"/>
                <w:kern w:val="0"/>
                <w:sz w:val="18"/>
                <w:szCs w:val="18"/>
                <w:lang w:eastAsia="en-US"/>
              </w:rPr>
              <w:t xml:space="preserve"> </w:t>
            </w:r>
            <w:r>
              <w:rPr>
                <w:rFonts w:ascii="Times New Roman" w:hAnsi="Times New Roman"/>
                <w:spacing w:val="-1"/>
                <w:kern w:val="0"/>
                <w:sz w:val="18"/>
                <w:szCs w:val="18"/>
                <w:lang w:eastAsia="en-US"/>
              </w:rPr>
              <w:t>3</w:t>
            </w:r>
            <w:r>
              <w:rPr>
                <w:rFonts w:ascii="Times New Roman" w:hAnsi="Times New Roman"/>
                <w:kern w:val="0"/>
                <w:sz w:val="18"/>
                <w:szCs w:val="18"/>
                <w:lang w:eastAsia="en-US"/>
              </w:rPr>
              <w:t>6项</w:t>
            </w:r>
          </w:p>
        </w:tc>
        <w:tc>
          <w:tcPr>
            <w:tcW w:w="669"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zh-CN"/>
              </w:rPr>
            </w:pPr>
            <w:r>
              <w:rPr>
                <w:rFonts w:ascii="Times New Roman" w:hAnsi="Times New Roman"/>
                <w:kern w:val="0"/>
                <w:sz w:val="18"/>
                <w:szCs w:val="18"/>
                <w:lang w:eastAsia="zh-CN"/>
              </w:rPr>
              <w:t>排放浓度；排放速率；烟气黑度。</w:t>
            </w:r>
          </w:p>
        </w:tc>
        <w:tc>
          <w:tcPr>
            <w:tcW w:w="436"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有组织；无组织。</w:t>
            </w:r>
          </w:p>
        </w:tc>
      </w:tr>
      <w:tr>
        <w:tblPrEx>
          <w:tblCellMar>
            <w:top w:w="0" w:type="dxa"/>
            <w:left w:w="0" w:type="dxa"/>
            <w:bottom w:w="0" w:type="dxa"/>
            <w:right w:w="0" w:type="dxa"/>
          </w:tblCellMar>
        </w:tblPrEx>
        <w:trPr>
          <w:trHeight w:val="710" w:hRule="exact"/>
        </w:trPr>
        <w:tc>
          <w:tcPr>
            <w:tcW w:w="323"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8</w:t>
            </w:r>
          </w:p>
        </w:tc>
        <w:tc>
          <w:tcPr>
            <w:tcW w:w="643" w:type="pct"/>
            <w:tcBorders>
              <w:top w:val="single" w:color="000000" w:sz="4" w:space="0"/>
              <w:left w:val="single" w:color="000000" w:sz="4" w:space="0"/>
              <w:bottom w:val="single" w:color="000000" w:sz="4" w:space="0"/>
              <w:right w:val="single" w:color="000000" w:sz="4" w:space="0"/>
            </w:tcBorders>
            <w:vAlign w:val="center"/>
          </w:tcPr>
          <w:p>
            <w:pPr>
              <w:snapToGrid w:val="0"/>
              <w:rPr>
                <w:rFonts w:ascii="Times New Roman" w:hAnsi="Times New Roman"/>
                <w:kern w:val="0"/>
                <w:sz w:val="18"/>
                <w:szCs w:val="18"/>
                <w:lang w:eastAsia="zh-CN"/>
              </w:rPr>
            </w:pPr>
            <w:r>
              <w:rPr>
                <w:rFonts w:hint="eastAsia" w:ascii="Times New Roman" w:hAnsi="Times New Roman"/>
                <w:kern w:val="0"/>
                <w:sz w:val="18"/>
                <w:szCs w:val="18"/>
                <w:lang w:eastAsia="zh-CN"/>
              </w:rPr>
              <w:t>江苏省大气污染物综合排放标准</w:t>
            </w:r>
          </w:p>
        </w:tc>
        <w:tc>
          <w:tcPr>
            <w:tcW w:w="851"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hint="eastAsia" w:ascii="Times New Roman" w:hAnsi="Times New Roman"/>
                <w:kern w:val="0"/>
                <w:sz w:val="18"/>
                <w:szCs w:val="18"/>
                <w:lang w:eastAsia="zh-CN"/>
              </w:rPr>
              <w:t>征求意见稿</w:t>
            </w:r>
          </w:p>
        </w:tc>
        <w:tc>
          <w:tcPr>
            <w:tcW w:w="667"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hint="eastAsia" w:ascii="Times New Roman" w:hAnsi="Times New Roman"/>
                <w:kern w:val="0"/>
                <w:sz w:val="18"/>
                <w:szCs w:val="18"/>
                <w:lang w:eastAsia="zh-CN"/>
              </w:rPr>
              <w:t>不分级</w:t>
            </w:r>
          </w:p>
        </w:tc>
        <w:tc>
          <w:tcPr>
            <w:tcW w:w="592"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hint="eastAsia" w:ascii="Times New Roman" w:hAnsi="Times New Roman"/>
                <w:kern w:val="0"/>
                <w:sz w:val="18"/>
                <w:szCs w:val="18"/>
                <w:lang w:eastAsia="zh-CN"/>
              </w:rPr>
              <w:t>综合</w:t>
            </w:r>
          </w:p>
        </w:tc>
        <w:tc>
          <w:tcPr>
            <w:tcW w:w="819" w:type="pct"/>
            <w:tcBorders>
              <w:top w:val="single" w:color="000000" w:sz="4" w:space="0"/>
              <w:left w:val="single" w:color="000000" w:sz="4" w:space="0"/>
              <w:bottom w:val="single" w:color="000000" w:sz="4" w:space="0"/>
              <w:right w:val="single" w:color="000000" w:sz="4" w:space="0"/>
            </w:tcBorders>
            <w:vAlign w:val="center"/>
          </w:tcPr>
          <w:p>
            <w:pPr>
              <w:snapToGrid w:val="0"/>
              <w:spacing w:before="56"/>
              <w:jc w:val="center"/>
              <w:rPr>
                <w:rFonts w:ascii="Times New Roman" w:hAnsi="Times New Roman"/>
                <w:kern w:val="0"/>
                <w:sz w:val="18"/>
                <w:szCs w:val="18"/>
                <w:lang w:eastAsia="zh-CN"/>
              </w:rPr>
            </w:pPr>
            <w:r>
              <w:rPr>
                <w:rFonts w:hint="eastAsia" w:ascii="Times New Roman" w:hAnsi="Times New Roman"/>
                <w:kern w:val="0"/>
                <w:sz w:val="18"/>
                <w:szCs w:val="18"/>
                <w:lang w:eastAsia="zh-CN"/>
              </w:rPr>
              <w:t>工4</w:t>
            </w:r>
            <w:r>
              <w:rPr>
                <w:rFonts w:ascii="Times New Roman" w:hAnsi="Times New Roman"/>
                <w:kern w:val="0"/>
                <w:sz w:val="18"/>
                <w:szCs w:val="18"/>
                <w:lang w:eastAsia="zh-CN"/>
              </w:rPr>
              <w:t>0</w:t>
            </w:r>
            <w:r>
              <w:rPr>
                <w:rFonts w:hint="eastAsia" w:ascii="Times New Roman" w:hAnsi="Times New Roman"/>
                <w:kern w:val="0"/>
                <w:sz w:val="18"/>
                <w:szCs w:val="18"/>
                <w:lang w:eastAsia="zh-CN"/>
              </w:rPr>
              <w:t>项</w:t>
            </w:r>
          </w:p>
        </w:tc>
        <w:tc>
          <w:tcPr>
            <w:tcW w:w="669"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zh-CN"/>
              </w:rPr>
            </w:pPr>
            <w:r>
              <w:rPr>
                <w:rFonts w:ascii="Times New Roman" w:hAnsi="Times New Roman"/>
                <w:kern w:val="0"/>
                <w:sz w:val="18"/>
                <w:szCs w:val="18"/>
                <w:lang w:eastAsia="zh-CN"/>
              </w:rPr>
              <w:t>排放浓度；排放速率。</w:t>
            </w:r>
          </w:p>
        </w:tc>
        <w:tc>
          <w:tcPr>
            <w:tcW w:w="436"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有组织；无组织。</w:t>
            </w:r>
          </w:p>
        </w:tc>
      </w:tr>
      <w:tr>
        <w:tblPrEx>
          <w:tblCellMar>
            <w:top w:w="0" w:type="dxa"/>
            <w:left w:w="0" w:type="dxa"/>
            <w:bottom w:w="0" w:type="dxa"/>
            <w:right w:w="0" w:type="dxa"/>
          </w:tblCellMar>
        </w:tblPrEx>
        <w:trPr>
          <w:trHeight w:val="710" w:hRule="exact"/>
        </w:trPr>
        <w:tc>
          <w:tcPr>
            <w:tcW w:w="323"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zh-CN"/>
              </w:rPr>
              <w:t>9</w:t>
            </w:r>
          </w:p>
        </w:tc>
        <w:tc>
          <w:tcPr>
            <w:tcW w:w="643" w:type="pct"/>
            <w:tcBorders>
              <w:top w:val="single" w:color="000000" w:sz="4" w:space="0"/>
              <w:left w:val="single" w:color="000000" w:sz="4" w:space="0"/>
              <w:bottom w:val="single" w:color="000000" w:sz="4" w:space="0"/>
              <w:right w:val="single" w:color="000000" w:sz="4" w:space="0"/>
            </w:tcBorders>
            <w:vAlign w:val="center"/>
          </w:tcPr>
          <w:p>
            <w:pPr>
              <w:snapToGrid w:val="0"/>
              <w:rPr>
                <w:rFonts w:ascii="Times New Roman" w:hAnsi="Times New Roman"/>
                <w:kern w:val="0"/>
                <w:sz w:val="18"/>
                <w:szCs w:val="18"/>
                <w:lang w:eastAsia="zh-CN"/>
              </w:rPr>
            </w:pPr>
            <w:r>
              <w:rPr>
                <w:rFonts w:ascii="Times New Roman" w:hAnsi="Times New Roman"/>
                <w:kern w:val="0"/>
                <w:sz w:val="18"/>
                <w:szCs w:val="18"/>
                <w:lang w:eastAsia="zh-CN"/>
              </w:rPr>
              <w:t>四川省大气污染物排放 标准</w:t>
            </w:r>
          </w:p>
        </w:tc>
        <w:tc>
          <w:tcPr>
            <w:tcW w:w="851"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DB</w:t>
            </w:r>
            <w:r>
              <w:rPr>
                <w:rFonts w:ascii="Times New Roman" w:hAnsi="Times New Roman"/>
                <w:spacing w:val="-9"/>
                <w:kern w:val="0"/>
                <w:sz w:val="18"/>
                <w:szCs w:val="18"/>
                <w:lang w:eastAsia="en-US"/>
              </w:rPr>
              <w:t xml:space="preserve"> </w:t>
            </w:r>
            <w:r>
              <w:rPr>
                <w:rFonts w:ascii="Times New Roman" w:hAnsi="Times New Roman"/>
                <w:kern w:val="0"/>
                <w:sz w:val="18"/>
                <w:szCs w:val="18"/>
                <w:lang w:eastAsia="en-US"/>
              </w:rPr>
              <w:t>51/186-</w:t>
            </w:r>
            <w:r>
              <w:rPr>
                <w:rFonts w:ascii="Times New Roman" w:hAnsi="Times New Roman"/>
                <w:spacing w:val="-1"/>
                <w:kern w:val="0"/>
                <w:sz w:val="18"/>
                <w:szCs w:val="18"/>
                <w:lang w:eastAsia="en-US"/>
              </w:rPr>
              <w:t>93</w:t>
            </w:r>
          </w:p>
        </w:tc>
        <w:tc>
          <w:tcPr>
            <w:tcW w:w="667"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三类区四级</w:t>
            </w:r>
          </w:p>
        </w:tc>
        <w:tc>
          <w:tcPr>
            <w:tcW w:w="592"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行业</w:t>
            </w:r>
            <w:r>
              <w:rPr>
                <w:rFonts w:ascii="Times New Roman" w:hAnsi="Times New Roman"/>
                <w:spacing w:val="-1"/>
                <w:kern w:val="0"/>
                <w:sz w:val="18"/>
                <w:szCs w:val="18"/>
                <w:lang w:eastAsia="en-US"/>
              </w:rPr>
              <w:t>+</w:t>
            </w:r>
            <w:r>
              <w:rPr>
                <w:rFonts w:ascii="Times New Roman" w:hAnsi="Times New Roman"/>
                <w:kern w:val="0"/>
                <w:sz w:val="18"/>
                <w:szCs w:val="18"/>
                <w:lang w:eastAsia="en-US"/>
              </w:rPr>
              <w:t>综合</w:t>
            </w:r>
          </w:p>
        </w:tc>
        <w:tc>
          <w:tcPr>
            <w:tcW w:w="819" w:type="pct"/>
            <w:tcBorders>
              <w:top w:val="single" w:color="000000" w:sz="4" w:space="0"/>
              <w:left w:val="single" w:color="000000" w:sz="4" w:space="0"/>
              <w:bottom w:val="single" w:color="000000" w:sz="4" w:space="0"/>
              <w:right w:val="single" w:color="000000" w:sz="4" w:space="0"/>
            </w:tcBorders>
            <w:vAlign w:val="center"/>
          </w:tcPr>
          <w:p>
            <w:pPr>
              <w:snapToGrid w:val="0"/>
              <w:spacing w:before="56"/>
              <w:jc w:val="center"/>
              <w:rPr>
                <w:rFonts w:ascii="Times New Roman" w:hAnsi="Times New Roman"/>
                <w:kern w:val="0"/>
                <w:sz w:val="18"/>
                <w:szCs w:val="18"/>
                <w:lang w:eastAsia="en-US"/>
              </w:rPr>
            </w:pPr>
            <w:r>
              <w:rPr>
                <w:rFonts w:ascii="Times New Roman" w:hAnsi="Times New Roman"/>
                <w:kern w:val="0"/>
                <w:sz w:val="18"/>
                <w:szCs w:val="18"/>
                <w:lang w:eastAsia="en-US"/>
              </w:rPr>
              <w:t>共</w:t>
            </w:r>
            <w:r>
              <w:rPr>
                <w:rFonts w:ascii="Times New Roman" w:hAnsi="Times New Roman"/>
                <w:spacing w:val="-46"/>
                <w:kern w:val="0"/>
                <w:sz w:val="18"/>
                <w:szCs w:val="18"/>
                <w:lang w:eastAsia="en-US"/>
              </w:rPr>
              <w:t xml:space="preserve"> </w:t>
            </w:r>
            <w:r>
              <w:rPr>
                <w:rFonts w:ascii="Times New Roman" w:hAnsi="Times New Roman"/>
                <w:spacing w:val="-1"/>
                <w:kern w:val="0"/>
                <w:sz w:val="18"/>
                <w:szCs w:val="18"/>
                <w:lang w:eastAsia="en-US"/>
              </w:rPr>
              <w:t>2</w:t>
            </w:r>
            <w:r>
              <w:rPr>
                <w:rFonts w:ascii="Times New Roman" w:hAnsi="Times New Roman"/>
                <w:kern w:val="0"/>
                <w:sz w:val="18"/>
                <w:szCs w:val="18"/>
                <w:lang w:eastAsia="en-US"/>
              </w:rPr>
              <w:t>2项</w:t>
            </w:r>
          </w:p>
        </w:tc>
        <w:tc>
          <w:tcPr>
            <w:tcW w:w="669"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zh-CN"/>
              </w:rPr>
            </w:pPr>
            <w:r>
              <w:rPr>
                <w:rFonts w:ascii="Times New Roman" w:hAnsi="Times New Roman"/>
                <w:kern w:val="0"/>
                <w:sz w:val="18"/>
                <w:szCs w:val="18"/>
                <w:lang w:eastAsia="zh-CN"/>
              </w:rPr>
              <w:t>排放速率；排放浓度。</w:t>
            </w:r>
          </w:p>
        </w:tc>
        <w:tc>
          <w:tcPr>
            <w:tcW w:w="436"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有组织。</w:t>
            </w:r>
          </w:p>
        </w:tc>
      </w:tr>
      <w:tr>
        <w:tblPrEx>
          <w:tblCellMar>
            <w:top w:w="0" w:type="dxa"/>
            <w:left w:w="0" w:type="dxa"/>
            <w:bottom w:w="0" w:type="dxa"/>
            <w:right w:w="0" w:type="dxa"/>
          </w:tblCellMar>
        </w:tblPrEx>
        <w:trPr>
          <w:trHeight w:val="711" w:hRule="exact"/>
        </w:trPr>
        <w:tc>
          <w:tcPr>
            <w:tcW w:w="323"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zh-CN"/>
              </w:rPr>
            </w:pPr>
            <w:r>
              <w:rPr>
                <w:rFonts w:ascii="Times New Roman" w:hAnsi="Times New Roman"/>
                <w:kern w:val="0"/>
                <w:sz w:val="18"/>
                <w:szCs w:val="18"/>
                <w:lang w:eastAsia="zh-CN"/>
              </w:rPr>
              <w:t>10</w:t>
            </w:r>
          </w:p>
        </w:tc>
        <w:tc>
          <w:tcPr>
            <w:tcW w:w="643" w:type="pct"/>
            <w:tcBorders>
              <w:top w:val="single" w:color="000000" w:sz="4" w:space="0"/>
              <w:left w:val="single" w:color="000000" w:sz="4" w:space="0"/>
              <w:bottom w:val="single" w:color="000000" w:sz="4" w:space="0"/>
              <w:right w:val="single" w:color="000000" w:sz="4" w:space="0"/>
            </w:tcBorders>
            <w:vAlign w:val="center"/>
          </w:tcPr>
          <w:p>
            <w:pPr>
              <w:snapToGrid w:val="0"/>
              <w:rPr>
                <w:rFonts w:ascii="Times New Roman" w:hAnsi="Times New Roman"/>
                <w:kern w:val="0"/>
                <w:sz w:val="18"/>
                <w:szCs w:val="18"/>
                <w:lang w:eastAsia="zh-CN"/>
              </w:rPr>
            </w:pPr>
            <w:r>
              <w:rPr>
                <w:rFonts w:ascii="Times New Roman" w:hAnsi="Times New Roman"/>
                <w:kern w:val="0"/>
                <w:sz w:val="18"/>
                <w:szCs w:val="18"/>
                <w:lang w:eastAsia="zh-CN"/>
              </w:rPr>
              <w:t>天津市工业企业挥发性有机物排放标准</w:t>
            </w:r>
          </w:p>
        </w:tc>
        <w:tc>
          <w:tcPr>
            <w:tcW w:w="851"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DB12/</w:t>
            </w:r>
            <w:r>
              <w:rPr>
                <w:rFonts w:ascii="Times New Roman" w:hAnsi="Times New Roman"/>
                <w:spacing w:val="-3"/>
                <w:kern w:val="0"/>
                <w:sz w:val="18"/>
                <w:szCs w:val="18"/>
                <w:lang w:eastAsia="en-US"/>
              </w:rPr>
              <w:t xml:space="preserve"> </w:t>
            </w:r>
            <w:r>
              <w:rPr>
                <w:rFonts w:ascii="Times New Roman" w:hAnsi="Times New Roman"/>
                <w:kern w:val="0"/>
                <w:sz w:val="18"/>
                <w:szCs w:val="18"/>
                <w:lang w:eastAsia="en-US"/>
              </w:rPr>
              <w:t>524-</w:t>
            </w:r>
            <w:r>
              <w:rPr>
                <w:rFonts w:ascii="Times New Roman" w:hAnsi="Times New Roman"/>
                <w:spacing w:val="-1"/>
                <w:kern w:val="0"/>
                <w:sz w:val="18"/>
                <w:szCs w:val="18"/>
                <w:lang w:eastAsia="en-US"/>
              </w:rPr>
              <w:t>2014</w:t>
            </w:r>
          </w:p>
        </w:tc>
        <w:tc>
          <w:tcPr>
            <w:tcW w:w="667"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不分级</w:t>
            </w:r>
          </w:p>
        </w:tc>
        <w:tc>
          <w:tcPr>
            <w:tcW w:w="592"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基于行业综合</w:t>
            </w:r>
          </w:p>
        </w:tc>
        <w:tc>
          <w:tcPr>
            <w:tcW w:w="819"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zh-CN"/>
              </w:rPr>
            </w:pPr>
            <w:r>
              <w:rPr>
                <w:rFonts w:ascii="Times New Roman" w:hAnsi="Times New Roman"/>
                <w:kern w:val="0"/>
                <w:sz w:val="18"/>
                <w:szCs w:val="18"/>
                <w:lang w:eastAsia="en-US"/>
              </w:rPr>
              <w:t>共</w:t>
            </w:r>
            <w:r>
              <w:rPr>
                <w:rFonts w:ascii="Times New Roman" w:hAnsi="Times New Roman"/>
                <w:kern w:val="0"/>
                <w:sz w:val="18"/>
                <w:szCs w:val="18"/>
                <w:lang w:eastAsia="zh-CN"/>
              </w:rPr>
              <w:t>4</w:t>
            </w:r>
            <w:r>
              <w:rPr>
                <w:rFonts w:ascii="Times New Roman" w:hAnsi="Times New Roman"/>
                <w:kern w:val="0"/>
                <w:sz w:val="18"/>
                <w:szCs w:val="18"/>
                <w:lang w:eastAsia="en-US"/>
              </w:rPr>
              <w:t>项</w:t>
            </w:r>
          </w:p>
        </w:tc>
        <w:tc>
          <w:tcPr>
            <w:tcW w:w="669"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zh-CN"/>
              </w:rPr>
            </w:pPr>
            <w:r>
              <w:rPr>
                <w:rFonts w:ascii="Times New Roman" w:hAnsi="Times New Roman"/>
                <w:kern w:val="0"/>
                <w:sz w:val="18"/>
                <w:szCs w:val="18"/>
                <w:lang w:eastAsia="zh-CN"/>
              </w:rPr>
              <w:t>排放速率；排放浓度。</w:t>
            </w:r>
          </w:p>
        </w:tc>
        <w:tc>
          <w:tcPr>
            <w:tcW w:w="436"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有组织；无组织。</w:t>
            </w:r>
          </w:p>
        </w:tc>
      </w:tr>
      <w:tr>
        <w:trPr>
          <w:trHeight w:val="1005" w:hRule="exact"/>
        </w:trPr>
        <w:tc>
          <w:tcPr>
            <w:tcW w:w="323"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zh-CN"/>
              </w:rPr>
            </w:pPr>
            <w:r>
              <w:rPr>
                <w:rFonts w:ascii="Times New Roman" w:hAnsi="Times New Roman"/>
                <w:kern w:val="0"/>
                <w:sz w:val="18"/>
                <w:szCs w:val="18"/>
                <w:lang w:eastAsia="zh-CN"/>
              </w:rPr>
              <w:t>11</w:t>
            </w:r>
          </w:p>
        </w:tc>
        <w:tc>
          <w:tcPr>
            <w:tcW w:w="643" w:type="pct"/>
            <w:tcBorders>
              <w:top w:val="single" w:color="000000" w:sz="4" w:space="0"/>
              <w:left w:val="single" w:color="000000" w:sz="4" w:space="0"/>
              <w:bottom w:val="single" w:color="000000" w:sz="4" w:space="0"/>
              <w:right w:val="single" w:color="000000" w:sz="4" w:space="0"/>
            </w:tcBorders>
            <w:vAlign w:val="center"/>
          </w:tcPr>
          <w:p>
            <w:pPr>
              <w:snapToGrid w:val="0"/>
              <w:rPr>
                <w:rFonts w:ascii="Times New Roman" w:hAnsi="Times New Roman"/>
                <w:kern w:val="0"/>
                <w:sz w:val="18"/>
                <w:szCs w:val="18"/>
                <w:lang w:eastAsia="zh-CN"/>
              </w:rPr>
            </w:pPr>
            <w:r>
              <w:rPr>
                <w:rFonts w:ascii="Times New Roman" w:hAnsi="Times New Roman"/>
                <w:kern w:val="0"/>
                <w:sz w:val="18"/>
                <w:szCs w:val="18"/>
                <w:lang w:eastAsia="zh-CN"/>
              </w:rPr>
              <w:t>河北省工业企业挥发性有机物排放控制标准</w:t>
            </w:r>
          </w:p>
        </w:tc>
        <w:tc>
          <w:tcPr>
            <w:tcW w:w="851"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zh-CN"/>
              </w:rPr>
            </w:pPr>
            <w:r>
              <w:rPr>
                <w:rFonts w:ascii="Times New Roman" w:hAnsi="Times New Roman"/>
                <w:kern w:val="0"/>
                <w:sz w:val="18"/>
                <w:szCs w:val="18"/>
                <w:lang w:eastAsia="zh-CN"/>
              </w:rPr>
              <w:t>DB 13/ 2322-2016</w:t>
            </w:r>
          </w:p>
        </w:tc>
        <w:tc>
          <w:tcPr>
            <w:tcW w:w="667"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不分级</w:t>
            </w:r>
          </w:p>
        </w:tc>
        <w:tc>
          <w:tcPr>
            <w:tcW w:w="592"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基于行业综合</w:t>
            </w:r>
          </w:p>
        </w:tc>
        <w:tc>
          <w:tcPr>
            <w:tcW w:w="819"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zh-CN"/>
              </w:rPr>
            </w:pPr>
            <w:r>
              <w:rPr>
                <w:rFonts w:ascii="Times New Roman" w:hAnsi="Times New Roman"/>
                <w:kern w:val="0"/>
                <w:sz w:val="18"/>
                <w:szCs w:val="18"/>
                <w:lang w:eastAsia="zh-CN"/>
              </w:rPr>
              <w:t>共8项</w:t>
            </w:r>
          </w:p>
        </w:tc>
        <w:tc>
          <w:tcPr>
            <w:tcW w:w="669"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zh-CN"/>
              </w:rPr>
            </w:pPr>
            <w:r>
              <w:rPr>
                <w:rFonts w:ascii="Times New Roman" w:hAnsi="Times New Roman"/>
                <w:kern w:val="0"/>
                <w:sz w:val="18"/>
                <w:szCs w:val="18"/>
                <w:lang w:eastAsia="zh-CN"/>
              </w:rPr>
              <w:t>排放速率；排放浓度。</w:t>
            </w:r>
          </w:p>
        </w:tc>
        <w:tc>
          <w:tcPr>
            <w:tcW w:w="436"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zh-CN"/>
              </w:rPr>
            </w:pPr>
            <w:r>
              <w:rPr>
                <w:rFonts w:ascii="Times New Roman" w:hAnsi="Times New Roman"/>
                <w:kern w:val="0"/>
                <w:sz w:val="18"/>
                <w:szCs w:val="18"/>
                <w:lang w:eastAsia="en-US"/>
              </w:rPr>
              <w:t>有组织；无组织。</w:t>
            </w:r>
          </w:p>
        </w:tc>
      </w:tr>
      <w:tr>
        <w:tblPrEx>
          <w:tblCellMar>
            <w:top w:w="0" w:type="dxa"/>
            <w:left w:w="0" w:type="dxa"/>
            <w:bottom w:w="0" w:type="dxa"/>
            <w:right w:w="0" w:type="dxa"/>
          </w:tblCellMar>
        </w:tblPrEx>
        <w:trPr>
          <w:trHeight w:val="1005" w:hRule="exact"/>
        </w:trPr>
        <w:tc>
          <w:tcPr>
            <w:tcW w:w="323"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zh-CN"/>
              </w:rPr>
            </w:pPr>
            <w:r>
              <w:rPr>
                <w:rFonts w:ascii="Times New Roman" w:hAnsi="Times New Roman"/>
                <w:kern w:val="0"/>
                <w:sz w:val="18"/>
                <w:szCs w:val="18"/>
                <w:lang w:eastAsia="zh-CN"/>
              </w:rPr>
              <w:t>12</w:t>
            </w:r>
          </w:p>
        </w:tc>
        <w:tc>
          <w:tcPr>
            <w:tcW w:w="643" w:type="pct"/>
            <w:tcBorders>
              <w:top w:val="single" w:color="000000" w:sz="4" w:space="0"/>
              <w:left w:val="single" w:color="000000" w:sz="4" w:space="0"/>
              <w:bottom w:val="single" w:color="000000" w:sz="4" w:space="0"/>
              <w:right w:val="single" w:color="000000" w:sz="4" w:space="0"/>
            </w:tcBorders>
            <w:vAlign w:val="center"/>
          </w:tcPr>
          <w:p>
            <w:pPr>
              <w:snapToGrid w:val="0"/>
              <w:rPr>
                <w:rFonts w:ascii="Times New Roman" w:hAnsi="Times New Roman"/>
                <w:kern w:val="0"/>
                <w:sz w:val="18"/>
                <w:szCs w:val="18"/>
                <w:lang w:eastAsia="zh-CN"/>
              </w:rPr>
            </w:pPr>
            <w:r>
              <w:rPr>
                <w:rFonts w:ascii="Times New Roman" w:hAnsi="Times New Roman"/>
                <w:kern w:val="0"/>
                <w:sz w:val="18"/>
                <w:szCs w:val="18"/>
                <w:lang w:eastAsia="zh-CN"/>
              </w:rPr>
              <w:t>陕西省挥发性有机物排放控制标准</w:t>
            </w:r>
          </w:p>
        </w:tc>
        <w:tc>
          <w:tcPr>
            <w:tcW w:w="851"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zh-CN"/>
              </w:rPr>
            </w:pPr>
            <w:r>
              <w:rPr>
                <w:rFonts w:ascii="Times New Roman" w:hAnsi="Times New Roman"/>
                <w:kern w:val="0"/>
                <w:sz w:val="18"/>
                <w:szCs w:val="18"/>
                <w:lang w:eastAsia="zh-CN"/>
              </w:rPr>
              <w:t>DB61/T 1061-2017</w:t>
            </w:r>
          </w:p>
        </w:tc>
        <w:tc>
          <w:tcPr>
            <w:tcW w:w="667"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不分级</w:t>
            </w:r>
          </w:p>
        </w:tc>
        <w:tc>
          <w:tcPr>
            <w:tcW w:w="592"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en-US"/>
              </w:rPr>
            </w:pPr>
            <w:r>
              <w:rPr>
                <w:rFonts w:ascii="Times New Roman" w:hAnsi="Times New Roman"/>
                <w:kern w:val="0"/>
                <w:sz w:val="18"/>
                <w:szCs w:val="18"/>
                <w:lang w:eastAsia="en-US"/>
              </w:rPr>
              <w:t>基于行业综合</w:t>
            </w:r>
          </w:p>
        </w:tc>
        <w:tc>
          <w:tcPr>
            <w:tcW w:w="819"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zh-CN"/>
              </w:rPr>
            </w:pPr>
            <w:r>
              <w:rPr>
                <w:rFonts w:ascii="Times New Roman" w:hAnsi="Times New Roman"/>
                <w:kern w:val="0"/>
                <w:sz w:val="18"/>
                <w:szCs w:val="18"/>
                <w:lang w:eastAsia="zh-CN"/>
              </w:rPr>
              <w:t>共8项</w:t>
            </w:r>
          </w:p>
        </w:tc>
        <w:tc>
          <w:tcPr>
            <w:tcW w:w="669"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zh-CN"/>
              </w:rPr>
            </w:pPr>
            <w:r>
              <w:rPr>
                <w:rFonts w:ascii="Times New Roman" w:hAnsi="Times New Roman"/>
                <w:kern w:val="0"/>
                <w:sz w:val="18"/>
                <w:szCs w:val="18"/>
                <w:lang w:eastAsia="zh-CN"/>
              </w:rPr>
              <w:t>排放速率；排放浓度。</w:t>
            </w:r>
          </w:p>
        </w:tc>
        <w:tc>
          <w:tcPr>
            <w:tcW w:w="436"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zh-CN"/>
              </w:rPr>
            </w:pPr>
            <w:r>
              <w:rPr>
                <w:rFonts w:ascii="Times New Roman" w:hAnsi="Times New Roman"/>
                <w:kern w:val="0"/>
                <w:sz w:val="18"/>
                <w:szCs w:val="18"/>
                <w:lang w:eastAsia="en-US"/>
              </w:rPr>
              <w:t>有组织；无组织。</w:t>
            </w:r>
          </w:p>
        </w:tc>
      </w:tr>
      <w:tr>
        <w:tblPrEx>
          <w:tblCellMar>
            <w:top w:w="0" w:type="dxa"/>
            <w:left w:w="0" w:type="dxa"/>
            <w:bottom w:w="0" w:type="dxa"/>
            <w:right w:w="0" w:type="dxa"/>
          </w:tblCellMar>
        </w:tblPrEx>
        <w:trPr>
          <w:trHeight w:val="1402" w:hRule="exact"/>
        </w:trPr>
        <w:tc>
          <w:tcPr>
            <w:tcW w:w="323"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zh-CN"/>
              </w:rPr>
            </w:pPr>
            <w:r>
              <w:rPr>
                <w:rFonts w:ascii="Times New Roman" w:hAnsi="Times New Roman"/>
                <w:kern w:val="0"/>
                <w:sz w:val="18"/>
                <w:szCs w:val="18"/>
                <w:lang w:eastAsia="zh-CN"/>
              </w:rPr>
              <w:t>13</w:t>
            </w:r>
          </w:p>
        </w:tc>
        <w:tc>
          <w:tcPr>
            <w:tcW w:w="643" w:type="pct"/>
            <w:tcBorders>
              <w:top w:val="single" w:color="000000" w:sz="4" w:space="0"/>
              <w:left w:val="single" w:color="000000" w:sz="4" w:space="0"/>
              <w:bottom w:val="single" w:color="000000" w:sz="4" w:space="0"/>
              <w:right w:val="single" w:color="000000" w:sz="4" w:space="0"/>
            </w:tcBorders>
            <w:vAlign w:val="center"/>
          </w:tcPr>
          <w:p>
            <w:pPr>
              <w:snapToGrid w:val="0"/>
              <w:rPr>
                <w:rFonts w:ascii="Times New Roman" w:hAnsi="Times New Roman"/>
                <w:kern w:val="0"/>
                <w:sz w:val="18"/>
                <w:szCs w:val="18"/>
                <w:lang w:eastAsia="zh-CN"/>
              </w:rPr>
            </w:pPr>
            <w:r>
              <w:rPr>
                <w:rFonts w:ascii="Times New Roman" w:hAnsi="Times New Roman"/>
                <w:kern w:val="0"/>
                <w:sz w:val="18"/>
                <w:szCs w:val="18"/>
                <w:lang w:eastAsia="zh-CN"/>
              </w:rPr>
              <w:t>四川省固定污染源大气挥发性有机物排放标准</w:t>
            </w:r>
          </w:p>
        </w:tc>
        <w:tc>
          <w:tcPr>
            <w:tcW w:w="851"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zh-CN"/>
              </w:rPr>
            </w:pPr>
            <w:r>
              <w:rPr>
                <w:rFonts w:ascii="Times New Roman" w:hAnsi="Times New Roman"/>
                <w:kern w:val="0"/>
                <w:sz w:val="18"/>
                <w:szCs w:val="18"/>
                <w:lang w:eastAsia="zh-CN"/>
              </w:rPr>
              <w:t>DB51/ 2377-2017</w:t>
            </w:r>
          </w:p>
        </w:tc>
        <w:tc>
          <w:tcPr>
            <w:tcW w:w="667"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zh-CN"/>
              </w:rPr>
            </w:pPr>
            <w:r>
              <w:rPr>
                <w:rFonts w:ascii="Times New Roman" w:hAnsi="Times New Roman"/>
                <w:kern w:val="0"/>
                <w:sz w:val="18"/>
                <w:szCs w:val="18"/>
                <w:lang w:eastAsia="en-US"/>
              </w:rPr>
              <w:t>不分级</w:t>
            </w:r>
          </w:p>
        </w:tc>
        <w:tc>
          <w:tcPr>
            <w:tcW w:w="592" w:type="pct"/>
            <w:tcBorders>
              <w:top w:val="single" w:color="000000" w:sz="4" w:space="0"/>
              <w:left w:val="single" w:color="000000" w:sz="4" w:space="0"/>
              <w:bottom w:val="single" w:color="000000" w:sz="4" w:space="0"/>
              <w:right w:val="single" w:color="000000" w:sz="4" w:space="0"/>
            </w:tcBorders>
            <w:vAlign w:val="center"/>
          </w:tcPr>
          <w:p>
            <w:pPr>
              <w:snapToGrid w:val="0"/>
              <w:spacing w:before="1"/>
              <w:jc w:val="center"/>
              <w:rPr>
                <w:rFonts w:ascii="Times New Roman" w:hAnsi="Times New Roman"/>
                <w:kern w:val="0"/>
                <w:sz w:val="18"/>
                <w:szCs w:val="18"/>
                <w:lang w:eastAsia="zh-CN"/>
              </w:rPr>
            </w:pPr>
            <w:r>
              <w:rPr>
                <w:rFonts w:ascii="Times New Roman" w:hAnsi="Times New Roman"/>
                <w:kern w:val="0"/>
                <w:sz w:val="18"/>
                <w:szCs w:val="18"/>
                <w:lang w:eastAsia="en-US"/>
              </w:rPr>
              <w:t>基于行业综合</w:t>
            </w:r>
          </w:p>
        </w:tc>
        <w:tc>
          <w:tcPr>
            <w:tcW w:w="819"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zh-CN"/>
              </w:rPr>
            </w:pPr>
            <w:r>
              <w:rPr>
                <w:rFonts w:ascii="Times New Roman" w:hAnsi="Times New Roman"/>
                <w:kern w:val="0"/>
                <w:sz w:val="18"/>
                <w:szCs w:val="18"/>
                <w:lang w:eastAsia="zh-CN"/>
              </w:rPr>
              <w:t>共24项</w:t>
            </w:r>
          </w:p>
        </w:tc>
        <w:tc>
          <w:tcPr>
            <w:tcW w:w="669"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zh-CN"/>
              </w:rPr>
            </w:pPr>
            <w:r>
              <w:rPr>
                <w:rFonts w:ascii="Times New Roman" w:hAnsi="Times New Roman"/>
                <w:kern w:val="0"/>
                <w:sz w:val="18"/>
                <w:szCs w:val="18"/>
                <w:lang w:eastAsia="zh-CN"/>
              </w:rPr>
              <w:t>排放速率；排放浓度。</w:t>
            </w:r>
          </w:p>
        </w:tc>
        <w:tc>
          <w:tcPr>
            <w:tcW w:w="436"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kern w:val="0"/>
                <w:sz w:val="18"/>
                <w:szCs w:val="18"/>
                <w:lang w:eastAsia="zh-CN"/>
              </w:rPr>
            </w:pPr>
            <w:r>
              <w:rPr>
                <w:rFonts w:ascii="Times New Roman" w:hAnsi="Times New Roman"/>
                <w:kern w:val="0"/>
                <w:sz w:val="18"/>
                <w:szCs w:val="18"/>
                <w:lang w:eastAsia="en-US"/>
              </w:rPr>
              <w:t>有组织；无组织。</w:t>
            </w:r>
          </w:p>
        </w:tc>
      </w:tr>
    </w:tbl>
    <w:p>
      <w:pPr>
        <w:pStyle w:val="68"/>
        <w:rPr>
          <w:rFonts w:cs="Times New Roman"/>
        </w:rPr>
      </w:pPr>
      <w:r>
        <w:rPr>
          <w:rFonts w:cs="Times New Roman"/>
        </w:rPr>
        <w:t>总体上看，国内目前除了北京、上海、广东、厦门、四川、贵州、山东、重庆、天津、河北、陕西等地区有大气污染物排放标准外，大部分地区仍执行国家大气污染物综合排放标准（GB16297-1996），该标准规定了有组织排放的最高允许排放浓度和最高允许排放速率以及无组织排放的厂界无组织监控浓度三类标准值。从目前看来，标准按照功能区分级、按照烟囱高度设定排放速率都不能满足当前的环境保护的要求。</w:t>
      </w:r>
    </w:p>
    <w:p>
      <w:pPr>
        <w:pStyle w:val="68"/>
        <w:rPr>
          <w:rFonts w:cs="Times New Roman"/>
        </w:rPr>
      </w:pPr>
      <w:r>
        <w:rPr>
          <w:rFonts w:cs="Times New Roman"/>
        </w:rPr>
        <w:t xml:space="preserve">当前正在开展的行业型排放标准呈现出如下的特点： </w:t>
      </w:r>
    </w:p>
    <w:p>
      <w:pPr>
        <w:pStyle w:val="68"/>
        <w:numPr>
          <w:ilvl w:val="0"/>
          <w:numId w:val="5"/>
        </w:numPr>
        <w:ind w:left="0" w:firstLine="480"/>
        <w:rPr>
          <w:rFonts w:cs="Times New Roman"/>
        </w:rPr>
      </w:pPr>
      <w:r>
        <w:rPr>
          <w:rFonts w:cs="Times New Roman"/>
        </w:rPr>
        <w:t>取消了按照烟囱高度制定排放速率的要求。</w:t>
      </w:r>
    </w:p>
    <w:p>
      <w:pPr>
        <w:pStyle w:val="68"/>
        <w:numPr>
          <w:ilvl w:val="0"/>
          <w:numId w:val="5"/>
        </w:numPr>
        <w:ind w:left="0" w:firstLine="480"/>
        <w:rPr>
          <w:rFonts w:cs="Times New Roman"/>
        </w:rPr>
      </w:pPr>
      <w:r>
        <w:rPr>
          <w:rFonts w:cs="Times New Roman"/>
        </w:rPr>
        <w:t>标准收严，比综合排放标准收严的幅度很大。</w:t>
      </w:r>
    </w:p>
    <w:p>
      <w:pPr>
        <w:pStyle w:val="68"/>
        <w:numPr>
          <w:ilvl w:val="0"/>
          <w:numId w:val="5"/>
        </w:numPr>
        <w:ind w:left="0" w:firstLine="480"/>
        <w:rPr>
          <w:rFonts w:cs="Times New Roman"/>
        </w:rPr>
      </w:pPr>
      <w:r>
        <w:rPr>
          <w:rFonts w:cs="Times New Roman"/>
        </w:rPr>
        <w:t>各省行业的VOCs控制标准中突出了总VOCs作为控制项目，同时加严了厂界控制浓度。</w:t>
      </w:r>
    </w:p>
    <w:p>
      <w:pPr>
        <w:pStyle w:val="68"/>
        <w:rPr>
          <w:rFonts w:cs="Times New Roman"/>
        </w:rPr>
      </w:pPr>
      <w:r>
        <w:t>目前大气污染物综合排放标准所涉及的行业如</w:t>
      </w:r>
      <w:r>
        <w:fldChar w:fldCharType="begin"/>
      </w:r>
      <w:r>
        <w:instrText xml:space="preserve"> REF _Ref26348351 \h  \* MERGEFORMAT </w:instrText>
      </w:r>
      <w:r>
        <w:fldChar w:fldCharType="separate"/>
      </w:r>
      <w:r>
        <w:t>表 5</w:t>
      </w:r>
      <w:r>
        <w:noBreakHyphen/>
      </w:r>
      <w:r>
        <w:fldChar w:fldCharType="end"/>
      </w:r>
      <w:r>
        <w:t>6所示。</w:t>
      </w:r>
    </w:p>
    <w:p>
      <w:pPr>
        <w:pStyle w:val="13"/>
        <w:spacing w:before="156" w:beforeLines="50" w:after="156" w:afterLines="50"/>
      </w:pPr>
      <w:bookmarkStart w:id="112" w:name="_Ref26348351"/>
      <w:r>
        <w:t xml:space="preserve">表 </w:t>
      </w:r>
      <w:r>
        <w:fldChar w:fldCharType="begin"/>
      </w:r>
      <w:r>
        <w:instrText xml:space="preserve"> STYLEREF 1 \s </w:instrText>
      </w:r>
      <w:r>
        <w:fldChar w:fldCharType="separate"/>
      </w:r>
      <w:r>
        <w:t>5</w:t>
      </w:r>
      <w:r>
        <w:fldChar w:fldCharType="end"/>
      </w:r>
      <w:r>
        <w:noBreakHyphen/>
      </w:r>
      <w:bookmarkEnd w:id="112"/>
      <w:r>
        <w:t>6 国内主要大气污染物综合排放标准体系的比较</w:t>
      </w:r>
    </w:p>
    <w:tbl>
      <w:tblPr>
        <w:tblStyle w:val="125"/>
        <w:tblW w:w="5000" w:type="pct"/>
        <w:tblInd w:w="0" w:type="dxa"/>
        <w:tblLayout w:type="autofit"/>
        <w:tblCellMar>
          <w:top w:w="0" w:type="dxa"/>
          <w:left w:w="0" w:type="dxa"/>
          <w:bottom w:w="0" w:type="dxa"/>
          <w:right w:w="0" w:type="dxa"/>
        </w:tblCellMar>
      </w:tblPr>
      <w:tblGrid>
        <w:gridCol w:w="1272"/>
        <w:gridCol w:w="1091"/>
        <w:gridCol w:w="2251"/>
        <w:gridCol w:w="1386"/>
        <w:gridCol w:w="2316"/>
      </w:tblGrid>
      <w:tr>
        <w:tblPrEx>
          <w:tblCellMar>
            <w:top w:w="0" w:type="dxa"/>
            <w:left w:w="0" w:type="dxa"/>
            <w:bottom w:w="0" w:type="dxa"/>
            <w:right w:w="0" w:type="dxa"/>
          </w:tblCellMar>
        </w:tblPrEx>
        <w:trPr>
          <w:trHeight w:val="20" w:hRule="atLeast"/>
          <w:tblHeader/>
        </w:trPr>
        <w:tc>
          <w:tcPr>
            <w:tcW w:w="678" w:type="pct"/>
            <w:tcBorders>
              <w:top w:val="single" w:color="000000" w:sz="4" w:space="0"/>
              <w:left w:val="single" w:color="000000" w:sz="4" w:space="0"/>
              <w:bottom w:val="single" w:color="auto" w:sz="4" w:space="0"/>
              <w:right w:val="single" w:color="000000" w:sz="4" w:space="0"/>
            </w:tcBorders>
            <w:vAlign w:val="center"/>
          </w:tcPr>
          <w:p>
            <w:pPr>
              <w:spacing w:line="229" w:lineRule="exact"/>
              <w:jc w:val="center"/>
              <w:rPr>
                <w:rFonts w:ascii="Times New Roman" w:hAnsi="Times New Roman"/>
                <w:b/>
                <w:kern w:val="0"/>
                <w:sz w:val="18"/>
                <w:szCs w:val="18"/>
                <w:lang w:eastAsia="en-US"/>
              </w:rPr>
            </w:pPr>
            <w:r>
              <w:rPr>
                <w:rFonts w:ascii="Times New Roman" w:hAnsi="Times New Roman"/>
                <w:b/>
                <w:kern w:val="0"/>
                <w:sz w:val="18"/>
                <w:szCs w:val="18"/>
                <w:lang w:eastAsia="en-US"/>
              </w:rPr>
              <w:t>标准名称</w:t>
            </w:r>
          </w:p>
        </w:tc>
        <w:tc>
          <w:tcPr>
            <w:tcW w:w="678" w:type="pct"/>
            <w:tcBorders>
              <w:top w:val="single" w:color="000000" w:sz="4" w:space="0"/>
              <w:left w:val="single" w:color="000000" w:sz="4" w:space="0"/>
              <w:bottom w:val="single" w:color="auto" w:sz="4" w:space="0"/>
              <w:right w:val="single" w:color="000000" w:sz="4" w:space="0"/>
            </w:tcBorders>
            <w:vAlign w:val="center"/>
          </w:tcPr>
          <w:p>
            <w:pPr>
              <w:spacing w:line="229" w:lineRule="exact"/>
              <w:jc w:val="center"/>
              <w:rPr>
                <w:rFonts w:ascii="Times New Roman" w:hAnsi="Times New Roman"/>
                <w:b/>
                <w:kern w:val="0"/>
                <w:sz w:val="18"/>
                <w:szCs w:val="18"/>
                <w:lang w:eastAsia="en-US"/>
              </w:rPr>
            </w:pPr>
            <w:r>
              <w:rPr>
                <w:rFonts w:ascii="Times New Roman" w:hAnsi="Times New Roman"/>
                <w:b/>
                <w:kern w:val="0"/>
                <w:sz w:val="18"/>
                <w:szCs w:val="18"/>
                <w:lang w:eastAsia="en-US"/>
              </w:rPr>
              <w:t>适用范围</w:t>
            </w:r>
          </w:p>
        </w:tc>
        <w:tc>
          <w:tcPr>
            <w:tcW w:w="1375" w:type="pct"/>
            <w:tcBorders>
              <w:top w:val="single" w:color="000000" w:sz="4" w:space="0"/>
              <w:left w:val="single" w:color="000000" w:sz="4" w:space="0"/>
              <w:bottom w:val="single" w:color="auto" w:sz="4" w:space="0"/>
              <w:right w:val="single" w:color="000000" w:sz="4" w:space="0"/>
            </w:tcBorders>
            <w:vAlign w:val="center"/>
          </w:tcPr>
          <w:p>
            <w:pPr>
              <w:spacing w:line="229" w:lineRule="exact"/>
              <w:jc w:val="center"/>
              <w:rPr>
                <w:rFonts w:ascii="Times New Roman" w:hAnsi="Times New Roman"/>
                <w:b/>
                <w:kern w:val="0"/>
                <w:sz w:val="18"/>
                <w:szCs w:val="18"/>
                <w:lang w:eastAsia="en-US"/>
              </w:rPr>
            </w:pPr>
            <w:r>
              <w:rPr>
                <w:rFonts w:ascii="Times New Roman" w:hAnsi="Times New Roman"/>
                <w:b/>
                <w:kern w:val="0"/>
                <w:sz w:val="18"/>
                <w:szCs w:val="18"/>
                <w:lang w:eastAsia="en-US"/>
              </w:rPr>
              <w:t>控制项目</w:t>
            </w:r>
          </w:p>
        </w:tc>
        <w:tc>
          <w:tcPr>
            <w:tcW w:w="855" w:type="pct"/>
            <w:tcBorders>
              <w:top w:val="single" w:color="000000" w:sz="4" w:space="0"/>
              <w:left w:val="single" w:color="000000" w:sz="4" w:space="0"/>
              <w:bottom w:val="single" w:color="auto" w:sz="4" w:space="0"/>
              <w:right w:val="single" w:color="000000" w:sz="4" w:space="0"/>
            </w:tcBorders>
            <w:vAlign w:val="center"/>
          </w:tcPr>
          <w:p>
            <w:pPr>
              <w:spacing w:line="229" w:lineRule="exact"/>
              <w:jc w:val="center"/>
              <w:rPr>
                <w:rFonts w:ascii="Times New Roman" w:hAnsi="Times New Roman"/>
                <w:b/>
                <w:kern w:val="0"/>
                <w:sz w:val="18"/>
                <w:szCs w:val="18"/>
                <w:lang w:eastAsia="en-US"/>
              </w:rPr>
            </w:pPr>
            <w:r>
              <w:rPr>
                <w:rFonts w:ascii="Times New Roman" w:hAnsi="Times New Roman"/>
                <w:b/>
                <w:kern w:val="0"/>
                <w:sz w:val="18"/>
                <w:szCs w:val="18"/>
                <w:lang w:eastAsia="en-US"/>
              </w:rPr>
              <w:t>体系及</w:t>
            </w:r>
            <w:r>
              <w:rPr>
                <w:rFonts w:ascii="Times New Roman" w:hAnsi="Times New Roman"/>
                <w:b/>
                <w:spacing w:val="2"/>
                <w:kern w:val="0"/>
                <w:sz w:val="18"/>
                <w:szCs w:val="18"/>
                <w:lang w:eastAsia="en-US"/>
              </w:rPr>
              <w:t>优</w:t>
            </w:r>
            <w:r>
              <w:rPr>
                <w:rFonts w:ascii="Times New Roman" w:hAnsi="Times New Roman"/>
                <w:b/>
                <w:kern w:val="0"/>
                <w:sz w:val="18"/>
                <w:szCs w:val="18"/>
                <w:lang w:eastAsia="en-US"/>
              </w:rPr>
              <w:t>点</w:t>
            </w:r>
          </w:p>
        </w:tc>
        <w:tc>
          <w:tcPr>
            <w:tcW w:w="1414" w:type="pct"/>
            <w:tcBorders>
              <w:top w:val="single" w:color="000000" w:sz="4" w:space="0"/>
              <w:left w:val="single" w:color="000000" w:sz="4" w:space="0"/>
              <w:bottom w:val="single" w:color="auto" w:sz="4" w:space="0"/>
              <w:right w:val="single" w:color="000000" w:sz="4" w:space="0"/>
            </w:tcBorders>
            <w:vAlign w:val="center"/>
          </w:tcPr>
          <w:p>
            <w:pPr>
              <w:spacing w:line="229" w:lineRule="exact"/>
              <w:jc w:val="center"/>
              <w:rPr>
                <w:rFonts w:ascii="Times New Roman" w:hAnsi="Times New Roman"/>
                <w:b/>
                <w:kern w:val="0"/>
                <w:sz w:val="18"/>
                <w:szCs w:val="18"/>
                <w:lang w:eastAsia="en-US"/>
              </w:rPr>
            </w:pPr>
            <w:r>
              <w:rPr>
                <w:rFonts w:ascii="Times New Roman" w:hAnsi="Times New Roman"/>
                <w:b/>
                <w:kern w:val="0"/>
                <w:sz w:val="18"/>
                <w:szCs w:val="18"/>
                <w:lang w:eastAsia="en-US"/>
              </w:rPr>
              <w:t>不足</w:t>
            </w:r>
          </w:p>
        </w:tc>
      </w:tr>
      <w:tr>
        <w:tblPrEx>
          <w:tblCellMar>
            <w:top w:w="0" w:type="dxa"/>
            <w:left w:w="0" w:type="dxa"/>
            <w:bottom w:w="0" w:type="dxa"/>
            <w:right w:w="0" w:type="dxa"/>
          </w:tblCellMar>
        </w:tblPrEx>
        <w:trPr>
          <w:trHeight w:val="20" w:hRule="atLeast"/>
        </w:trPr>
        <w:tc>
          <w:tcPr>
            <w:tcW w:w="678" w:type="pct"/>
            <w:tcBorders>
              <w:top w:val="single" w:color="auto" w:sz="4" w:space="0"/>
              <w:left w:val="single" w:color="000000" w:sz="4" w:space="0"/>
              <w:bottom w:val="single" w:color="auto" w:sz="4" w:space="0"/>
              <w:right w:val="single" w:color="000000" w:sz="4" w:space="0"/>
            </w:tcBorders>
            <w:vAlign w:val="center"/>
          </w:tcPr>
          <w:p>
            <w:pPr>
              <w:spacing w:line="229" w:lineRule="exact"/>
              <w:jc w:val="left"/>
              <w:rPr>
                <w:rFonts w:ascii="Times New Roman" w:hAnsi="Times New Roman"/>
                <w:kern w:val="0"/>
                <w:sz w:val="18"/>
                <w:szCs w:val="18"/>
                <w:lang w:eastAsia="zh-CN"/>
              </w:rPr>
            </w:pPr>
            <w:r>
              <w:rPr>
                <w:rFonts w:ascii="Times New Roman" w:hAnsi="Times New Roman"/>
                <w:kern w:val="0"/>
                <w:sz w:val="18"/>
                <w:szCs w:val="18"/>
                <w:lang w:eastAsia="zh-CN"/>
              </w:rPr>
              <w:t>大气污</w:t>
            </w:r>
            <w:r>
              <w:rPr>
                <w:rFonts w:ascii="Times New Roman" w:hAnsi="Times New Roman"/>
                <w:spacing w:val="2"/>
                <w:kern w:val="0"/>
                <w:sz w:val="18"/>
                <w:szCs w:val="18"/>
                <w:lang w:eastAsia="zh-CN"/>
              </w:rPr>
              <w:t>染</w:t>
            </w:r>
            <w:r>
              <w:rPr>
                <w:rFonts w:ascii="Times New Roman" w:hAnsi="Times New Roman"/>
                <w:kern w:val="0"/>
                <w:sz w:val="18"/>
                <w:szCs w:val="18"/>
                <w:lang w:eastAsia="zh-CN"/>
              </w:rPr>
              <w:t>物综合排放标准</w:t>
            </w:r>
          </w:p>
          <w:p>
            <w:pPr>
              <w:spacing w:line="229" w:lineRule="exact"/>
              <w:jc w:val="left"/>
              <w:rPr>
                <w:rFonts w:ascii="Times New Roman" w:hAnsi="Times New Roman"/>
                <w:kern w:val="0"/>
                <w:sz w:val="18"/>
                <w:szCs w:val="18"/>
                <w:lang w:eastAsia="en-US"/>
              </w:rPr>
            </w:pPr>
            <w:r>
              <w:rPr>
                <w:rFonts w:ascii="Times New Roman" w:hAnsi="Times New Roman"/>
                <w:spacing w:val="1"/>
                <w:kern w:val="0"/>
                <w:sz w:val="18"/>
                <w:szCs w:val="18"/>
                <w:lang w:eastAsia="en-US"/>
              </w:rPr>
              <w:t>GB1</w:t>
            </w:r>
            <w:r>
              <w:rPr>
                <w:rFonts w:ascii="Times New Roman" w:hAnsi="Times New Roman"/>
                <w:spacing w:val="-2"/>
                <w:kern w:val="0"/>
                <w:sz w:val="18"/>
                <w:szCs w:val="18"/>
                <w:lang w:eastAsia="en-US"/>
              </w:rPr>
              <w:t>6</w:t>
            </w:r>
            <w:r>
              <w:rPr>
                <w:rFonts w:ascii="Times New Roman" w:hAnsi="Times New Roman"/>
                <w:spacing w:val="1"/>
                <w:kern w:val="0"/>
                <w:sz w:val="18"/>
                <w:szCs w:val="18"/>
                <w:lang w:eastAsia="en-US"/>
              </w:rPr>
              <w:t>29</w:t>
            </w:r>
            <w:r>
              <w:rPr>
                <w:rFonts w:ascii="Times New Roman" w:hAnsi="Times New Roman"/>
                <w:kern w:val="0"/>
                <w:sz w:val="18"/>
                <w:szCs w:val="18"/>
                <w:lang w:eastAsia="en-US"/>
              </w:rPr>
              <w:t>7</w:t>
            </w:r>
            <w:r>
              <w:rPr>
                <w:rFonts w:ascii="Times New Roman" w:hAnsi="Times New Roman"/>
                <w:spacing w:val="1"/>
                <w:kern w:val="0"/>
                <w:sz w:val="18"/>
                <w:szCs w:val="18"/>
                <w:lang w:eastAsia="en-US"/>
              </w:rPr>
              <w:t>-1</w:t>
            </w:r>
            <w:r>
              <w:rPr>
                <w:rFonts w:ascii="Times New Roman" w:hAnsi="Times New Roman"/>
                <w:spacing w:val="-2"/>
                <w:kern w:val="0"/>
                <w:sz w:val="18"/>
                <w:szCs w:val="18"/>
                <w:lang w:eastAsia="en-US"/>
              </w:rPr>
              <w:t>9</w:t>
            </w:r>
            <w:r>
              <w:rPr>
                <w:rFonts w:ascii="Times New Roman" w:hAnsi="Times New Roman"/>
                <w:spacing w:val="1"/>
                <w:kern w:val="0"/>
                <w:sz w:val="18"/>
                <w:szCs w:val="18"/>
                <w:lang w:eastAsia="en-US"/>
              </w:rPr>
              <w:t>9</w:t>
            </w:r>
            <w:r>
              <w:rPr>
                <w:rFonts w:ascii="Times New Roman" w:hAnsi="Times New Roman"/>
                <w:kern w:val="0"/>
                <w:sz w:val="18"/>
                <w:szCs w:val="18"/>
                <w:lang w:eastAsia="en-US"/>
              </w:rPr>
              <w:t>6</w:t>
            </w:r>
          </w:p>
        </w:tc>
        <w:tc>
          <w:tcPr>
            <w:tcW w:w="678" w:type="pct"/>
            <w:tcBorders>
              <w:top w:val="single" w:color="auto" w:sz="4" w:space="0"/>
              <w:left w:val="single" w:color="000000" w:sz="4" w:space="0"/>
              <w:bottom w:val="single" w:color="auto" w:sz="4" w:space="0"/>
              <w:right w:val="single" w:color="000000" w:sz="4" w:space="0"/>
            </w:tcBorders>
            <w:vAlign w:val="center"/>
          </w:tcPr>
          <w:p>
            <w:pPr>
              <w:spacing w:line="229" w:lineRule="exact"/>
              <w:rPr>
                <w:rFonts w:ascii="Times New Roman" w:hAnsi="Times New Roman"/>
                <w:kern w:val="0"/>
                <w:sz w:val="18"/>
                <w:szCs w:val="18"/>
                <w:lang w:eastAsia="zh-CN"/>
              </w:rPr>
            </w:pPr>
            <w:r>
              <w:rPr>
                <w:rFonts w:ascii="Times New Roman" w:hAnsi="Times New Roman"/>
                <w:kern w:val="0"/>
                <w:sz w:val="18"/>
                <w:szCs w:val="18"/>
                <w:lang w:eastAsia="zh-CN"/>
              </w:rPr>
              <w:t>除了锅</w:t>
            </w:r>
            <w:r>
              <w:rPr>
                <w:rFonts w:ascii="Times New Roman" w:hAnsi="Times New Roman"/>
                <w:spacing w:val="2"/>
                <w:kern w:val="0"/>
                <w:sz w:val="18"/>
                <w:szCs w:val="18"/>
                <w:lang w:eastAsia="zh-CN"/>
              </w:rPr>
              <w:t>炉</w:t>
            </w:r>
            <w:r>
              <w:rPr>
                <w:rFonts w:ascii="Times New Roman" w:hAnsi="Times New Roman"/>
                <w:kern w:val="0"/>
                <w:sz w:val="18"/>
                <w:szCs w:val="18"/>
                <w:lang w:eastAsia="zh-CN"/>
              </w:rPr>
              <w:t>、炉窑、恶</w:t>
            </w:r>
            <w:r>
              <w:rPr>
                <w:rFonts w:ascii="Times New Roman" w:hAnsi="Times New Roman"/>
                <w:spacing w:val="2"/>
                <w:kern w:val="0"/>
                <w:sz w:val="18"/>
                <w:szCs w:val="18"/>
                <w:lang w:eastAsia="zh-CN"/>
              </w:rPr>
              <w:t>臭</w:t>
            </w:r>
            <w:r>
              <w:rPr>
                <w:rFonts w:ascii="Times New Roman" w:hAnsi="Times New Roman"/>
                <w:kern w:val="0"/>
                <w:sz w:val="18"/>
                <w:szCs w:val="18"/>
                <w:lang w:eastAsia="zh-CN"/>
              </w:rPr>
              <w:t>等外的各类行业</w:t>
            </w:r>
          </w:p>
        </w:tc>
        <w:tc>
          <w:tcPr>
            <w:tcW w:w="1375" w:type="pct"/>
            <w:tcBorders>
              <w:top w:val="single" w:color="auto" w:sz="4" w:space="0"/>
              <w:left w:val="single" w:color="000000" w:sz="4" w:space="0"/>
              <w:bottom w:val="single" w:color="auto" w:sz="4" w:space="0"/>
              <w:right w:val="single" w:color="000000" w:sz="4" w:space="0"/>
            </w:tcBorders>
            <w:vAlign w:val="center"/>
          </w:tcPr>
          <w:p>
            <w:pPr>
              <w:spacing w:line="229" w:lineRule="exact"/>
              <w:rPr>
                <w:rFonts w:ascii="Times New Roman" w:hAnsi="Times New Roman"/>
                <w:kern w:val="0"/>
                <w:sz w:val="18"/>
                <w:szCs w:val="18"/>
                <w:lang w:eastAsia="zh-CN"/>
              </w:rPr>
            </w:pPr>
            <w:r>
              <w:rPr>
                <w:rFonts w:ascii="Times New Roman" w:hAnsi="Times New Roman"/>
                <w:kern w:val="0"/>
                <w:sz w:val="18"/>
                <w:szCs w:val="18"/>
                <w:lang w:eastAsia="zh-CN"/>
              </w:rPr>
              <w:t>33项：二氧化硫、氮氧化物、颗粒物、氯</w:t>
            </w:r>
            <w:r>
              <w:rPr>
                <w:rFonts w:ascii="Times New Roman" w:hAnsi="Times New Roman"/>
                <w:spacing w:val="1"/>
                <w:w w:val="95"/>
                <w:kern w:val="0"/>
                <w:sz w:val="18"/>
                <w:szCs w:val="18"/>
                <w:lang w:eastAsia="zh-CN"/>
              </w:rPr>
              <w:t>化</w:t>
            </w:r>
            <w:r>
              <w:rPr>
                <w:rFonts w:ascii="Times New Roman" w:hAnsi="Times New Roman"/>
                <w:w w:val="95"/>
                <w:kern w:val="0"/>
                <w:sz w:val="18"/>
                <w:szCs w:val="18"/>
                <w:lang w:eastAsia="zh-CN"/>
              </w:rPr>
              <w:t>氢、</w:t>
            </w:r>
            <w:r>
              <w:rPr>
                <w:rFonts w:ascii="Times New Roman" w:hAnsi="Times New Roman"/>
                <w:kern w:val="0"/>
                <w:sz w:val="18"/>
                <w:szCs w:val="18"/>
                <w:lang w:eastAsia="zh-CN"/>
              </w:rPr>
              <w:t>硫酸雾</w:t>
            </w:r>
            <w:r>
              <w:rPr>
                <w:rFonts w:ascii="Times New Roman" w:hAnsi="Times New Roman"/>
                <w:spacing w:val="2"/>
                <w:kern w:val="0"/>
                <w:sz w:val="18"/>
                <w:szCs w:val="18"/>
                <w:lang w:eastAsia="zh-CN"/>
              </w:rPr>
              <w:t>、</w:t>
            </w:r>
            <w:r>
              <w:rPr>
                <w:rFonts w:ascii="Times New Roman" w:hAnsi="Times New Roman"/>
                <w:kern w:val="0"/>
                <w:sz w:val="18"/>
                <w:szCs w:val="18"/>
                <w:lang w:eastAsia="zh-CN"/>
              </w:rPr>
              <w:t>铬酸</w:t>
            </w:r>
            <w:r>
              <w:rPr>
                <w:rFonts w:ascii="Times New Roman" w:hAnsi="Times New Roman"/>
                <w:spacing w:val="2"/>
                <w:kern w:val="0"/>
                <w:sz w:val="18"/>
                <w:szCs w:val="18"/>
                <w:lang w:eastAsia="zh-CN"/>
              </w:rPr>
              <w:t>雾</w:t>
            </w:r>
            <w:r>
              <w:rPr>
                <w:rFonts w:ascii="Times New Roman" w:hAnsi="Times New Roman"/>
                <w:kern w:val="0"/>
                <w:sz w:val="18"/>
                <w:szCs w:val="18"/>
                <w:lang w:eastAsia="zh-CN"/>
              </w:rPr>
              <w:t>、氟</w:t>
            </w:r>
            <w:r>
              <w:rPr>
                <w:rFonts w:ascii="Times New Roman" w:hAnsi="Times New Roman"/>
                <w:spacing w:val="2"/>
                <w:kern w:val="0"/>
                <w:sz w:val="18"/>
                <w:szCs w:val="18"/>
                <w:lang w:eastAsia="zh-CN"/>
              </w:rPr>
              <w:t>化</w:t>
            </w:r>
            <w:r>
              <w:rPr>
                <w:rFonts w:ascii="Times New Roman" w:hAnsi="Times New Roman"/>
                <w:kern w:val="0"/>
                <w:sz w:val="18"/>
                <w:szCs w:val="18"/>
                <w:lang w:eastAsia="zh-CN"/>
              </w:rPr>
              <w:t>物</w:t>
            </w:r>
            <w:r>
              <w:rPr>
                <w:rFonts w:ascii="Times New Roman" w:hAnsi="Times New Roman"/>
                <w:spacing w:val="2"/>
                <w:kern w:val="0"/>
                <w:sz w:val="18"/>
                <w:szCs w:val="18"/>
                <w:lang w:eastAsia="zh-CN"/>
              </w:rPr>
              <w:t>、</w:t>
            </w:r>
            <w:r>
              <w:rPr>
                <w:rFonts w:ascii="Times New Roman" w:hAnsi="Times New Roman"/>
                <w:kern w:val="0"/>
                <w:sz w:val="18"/>
                <w:szCs w:val="18"/>
                <w:lang w:eastAsia="zh-CN"/>
              </w:rPr>
              <w:t>氯气、</w:t>
            </w:r>
            <w:r>
              <w:rPr>
                <w:rFonts w:ascii="Times New Roman" w:hAnsi="Times New Roman"/>
                <w:spacing w:val="2"/>
                <w:kern w:val="0"/>
                <w:sz w:val="18"/>
                <w:szCs w:val="18"/>
                <w:lang w:eastAsia="zh-CN"/>
              </w:rPr>
              <w:t>铅</w:t>
            </w:r>
            <w:r>
              <w:rPr>
                <w:rFonts w:ascii="Times New Roman" w:hAnsi="Times New Roman"/>
                <w:kern w:val="0"/>
                <w:sz w:val="18"/>
                <w:szCs w:val="18"/>
                <w:lang w:eastAsia="zh-CN"/>
              </w:rPr>
              <w:t>及其</w:t>
            </w:r>
            <w:r>
              <w:rPr>
                <w:rFonts w:ascii="Times New Roman" w:hAnsi="Times New Roman"/>
                <w:spacing w:val="2"/>
                <w:kern w:val="0"/>
                <w:sz w:val="18"/>
                <w:szCs w:val="18"/>
                <w:lang w:eastAsia="zh-CN"/>
              </w:rPr>
              <w:t>化</w:t>
            </w:r>
            <w:r>
              <w:rPr>
                <w:rFonts w:ascii="Times New Roman" w:hAnsi="Times New Roman"/>
                <w:kern w:val="0"/>
                <w:sz w:val="18"/>
                <w:szCs w:val="18"/>
                <w:lang w:eastAsia="zh-CN"/>
              </w:rPr>
              <w:t>合物、汞</w:t>
            </w:r>
            <w:r>
              <w:rPr>
                <w:rFonts w:ascii="Times New Roman" w:hAnsi="Times New Roman"/>
                <w:spacing w:val="2"/>
                <w:kern w:val="0"/>
                <w:sz w:val="18"/>
                <w:szCs w:val="18"/>
                <w:lang w:eastAsia="zh-CN"/>
              </w:rPr>
              <w:t>及</w:t>
            </w:r>
            <w:r>
              <w:rPr>
                <w:rFonts w:ascii="Times New Roman" w:hAnsi="Times New Roman"/>
                <w:kern w:val="0"/>
                <w:sz w:val="18"/>
                <w:szCs w:val="18"/>
                <w:lang w:eastAsia="zh-CN"/>
              </w:rPr>
              <w:t>其化</w:t>
            </w:r>
            <w:r>
              <w:rPr>
                <w:rFonts w:ascii="Times New Roman" w:hAnsi="Times New Roman"/>
                <w:spacing w:val="2"/>
                <w:kern w:val="0"/>
                <w:sz w:val="18"/>
                <w:szCs w:val="18"/>
                <w:lang w:eastAsia="zh-CN"/>
              </w:rPr>
              <w:t>合</w:t>
            </w:r>
            <w:r>
              <w:rPr>
                <w:rFonts w:ascii="Times New Roman" w:hAnsi="Times New Roman"/>
                <w:kern w:val="0"/>
                <w:sz w:val="18"/>
                <w:szCs w:val="18"/>
                <w:lang w:eastAsia="zh-CN"/>
              </w:rPr>
              <w:t>物、</w:t>
            </w:r>
            <w:r>
              <w:rPr>
                <w:rFonts w:ascii="Times New Roman" w:hAnsi="Times New Roman"/>
                <w:spacing w:val="2"/>
                <w:kern w:val="0"/>
                <w:sz w:val="18"/>
                <w:szCs w:val="18"/>
                <w:lang w:eastAsia="zh-CN"/>
              </w:rPr>
              <w:t>镉</w:t>
            </w:r>
            <w:r>
              <w:rPr>
                <w:rFonts w:ascii="Times New Roman" w:hAnsi="Times New Roman"/>
                <w:kern w:val="0"/>
                <w:sz w:val="18"/>
                <w:szCs w:val="18"/>
                <w:lang w:eastAsia="zh-CN"/>
              </w:rPr>
              <w:t>及</w:t>
            </w:r>
            <w:r>
              <w:rPr>
                <w:rFonts w:ascii="Times New Roman" w:hAnsi="Times New Roman"/>
                <w:spacing w:val="2"/>
                <w:kern w:val="0"/>
                <w:sz w:val="18"/>
                <w:szCs w:val="18"/>
                <w:lang w:eastAsia="zh-CN"/>
              </w:rPr>
              <w:t>其</w:t>
            </w:r>
            <w:r>
              <w:rPr>
                <w:rFonts w:ascii="Times New Roman" w:hAnsi="Times New Roman"/>
                <w:kern w:val="0"/>
                <w:sz w:val="18"/>
                <w:szCs w:val="18"/>
                <w:lang w:eastAsia="zh-CN"/>
              </w:rPr>
              <w:t>化合物</w:t>
            </w:r>
            <w:r>
              <w:rPr>
                <w:rFonts w:ascii="Times New Roman" w:hAnsi="Times New Roman"/>
                <w:spacing w:val="2"/>
                <w:kern w:val="0"/>
                <w:sz w:val="18"/>
                <w:szCs w:val="18"/>
                <w:lang w:eastAsia="zh-CN"/>
              </w:rPr>
              <w:t>、</w:t>
            </w:r>
            <w:r>
              <w:rPr>
                <w:rFonts w:ascii="Times New Roman" w:hAnsi="Times New Roman"/>
                <w:kern w:val="0"/>
                <w:sz w:val="18"/>
                <w:szCs w:val="18"/>
                <w:lang w:eastAsia="zh-CN"/>
              </w:rPr>
              <w:t>铍</w:t>
            </w:r>
            <w:r>
              <w:rPr>
                <w:rFonts w:ascii="Times New Roman" w:hAnsi="Times New Roman"/>
                <w:spacing w:val="1"/>
                <w:kern w:val="0"/>
                <w:sz w:val="18"/>
                <w:szCs w:val="18"/>
                <w:lang w:eastAsia="zh-CN"/>
              </w:rPr>
              <w:t>及</w:t>
            </w:r>
            <w:r>
              <w:rPr>
                <w:rFonts w:ascii="Times New Roman" w:hAnsi="Times New Roman"/>
                <w:spacing w:val="2"/>
                <w:kern w:val="0"/>
                <w:sz w:val="18"/>
                <w:szCs w:val="18"/>
                <w:lang w:eastAsia="zh-CN"/>
              </w:rPr>
              <w:t>其</w:t>
            </w:r>
            <w:r>
              <w:rPr>
                <w:rFonts w:ascii="Times New Roman" w:hAnsi="Times New Roman"/>
                <w:kern w:val="0"/>
                <w:sz w:val="18"/>
                <w:szCs w:val="18"/>
                <w:lang w:eastAsia="zh-CN"/>
              </w:rPr>
              <w:t>化合物、镍</w:t>
            </w:r>
            <w:r>
              <w:rPr>
                <w:rFonts w:ascii="Times New Roman" w:hAnsi="Times New Roman"/>
                <w:spacing w:val="2"/>
                <w:kern w:val="0"/>
                <w:sz w:val="18"/>
                <w:szCs w:val="18"/>
                <w:lang w:eastAsia="zh-CN"/>
              </w:rPr>
              <w:t>及</w:t>
            </w:r>
            <w:r>
              <w:rPr>
                <w:rFonts w:ascii="Times New Roman" w:hAnsi="Times New Roman"/>
                <w:kern w:val="0"/>
                <w:sz w:val="18"/>
                <w:szCs w:val="18"/>
                <w:lang w:eastAsia="zh-CN"/>
              </w:rPr>
              <w:t>其化</w:t>
            </w:r>
            <w:r>
              <w:rPr>
                <w:rFonts w:ascii="Times New Roman" w:hAnsi="Times New Roman"/>
                <w:spacing w:val="2"/>
                <w:kern w:val="0"/>
                <w:sz w:val="18"/>
                <w:szCs w:val="18"/>
                <w:lang w:eastAsia="zh-CN"/>
              </w:rPr>
              <w:t>合</w:t>
            </w:r>
            <w:r>
              <w:rPr>
                <w:rFonts w:ascii="Times New Roman" w:hAnsi="Times New Roman"/>
                <w:kern w:val="0"/>
                <w:sz w:val="18"/>
                <w:szCs w:val="18"/>
                <w:lang w:eastAsia="zh-CN"/>
              </w:rPr>
              <w:t>物、</w:t>
            </w:r>
            <w:r>
              <w:rPr>
                <w:rFonts w:ascii="Times New Roman" w:hAnsi="Times New Roman"/>
                <w:spacing w:val="2"/>
                <w:kern w:val="0"/>
                <w:sz w:val="18"/>
                <w:szCs w:val="18"/>
                <w:lang w:eastAsia="zh-CN"/>
              </w:rPr>
              <w:t>锡</w:t>
            </w:r>
            <w:r>
              <w:rPr>
                <w:rFonts w:ascii="Times New Roman" w:hAnsi="Times New Roman"/>
                <w:kern w:val="0"/>
                <w:sz w:val="18"/>
                <w:szCs w:val="18"/>
                <w:lang w:eastAsia="zh-CN"/>
              </w:rPr>
              <w:t>及</w:t>
            </w:r>
            <w:r>
              <w:rPr>
                <w:rFonts w:ascii="Times New Roman" w:hAnsi="Times New Roman"/>
                <w:spacing w:val="2"/>
                <w:kern w:val="0"/>
                <w:sz w:val="18"/>
                <w:szCs w:val="18"/>
                <w:lang w:eastAsia="zh-CN"/>
              </w:rPr>
              <w:t>其</w:t>
            </w:r>
            <w:r>
              <w:rPr>
                <w:rFonts w:ascii="Times New Roman" w:hAnsi="Times New Roman"/>
                <w:kern w:val="0"/>
                <w:sz w:val="18"/>
                <w:szCs w:val="18"/>
                <w:lang w:eastAsia="zh-CN"/>
              </w:rPr>
              <w:t>化合物</w:t>
            </w:r>
            <w:r>
              <w:rPr>
                <w:rFonts w:ascii="Times New Roman" w:hAnsi="Times New Roman"/>
                <w:spacing w:val="2"/>
                <w:kern w:val="0"/>
                <w:sz w:val="18"/>
                <w:szCs w:val="18"/>
                <w:lang w:eastAsia="zh-CN"/>
              </w:rPr>
              <w:t>、</w:t>
            </w:r>
            <w:r>
              <w:rPr>
                <w:rFonts w:ascii="Times New Roman" w:hAnsi="Times New Roman"/>
                <w:kern w:val="0"/>
                <w:sz w:val="18"/>
                <w:szCs w:val="18"/>
                <w:lang w:eastAsia="zh-CN"/>
              </w:rPr>
              <w:t>苯、</w:t>
            </w:r>
            <w:r>
              <w:rPr>
                <w:rFonts w:ascii="Times New Roman" w:hAnsi="Times New Roman"/>
                <w:spacing w:val="2"/>
                <w:kern w:val="0"/>
                <w:sz w:val="18"/>
                <w:szCs w:val="18"/>
                <w:lang w:eastAsia="zh-CN"/>
              </w:rPr>
              <w:t>甲</w:t>
            </w:r>
            <w:r>
              <w:rPr>
                <w:rFonts w:ascii="Times New Roman" w:hAnsi="Times New Roman"/>
                <w:kern w:val="0"/>
                <w:sz w:val="18"/>
                <w:szCs w:val="18"/>
                <w:lang w:eastAsia="zh-CN"/>
              </w:rPr>
              <w:t>苯、二甲苯</w:t>
            </w:r>
            <w:r>
              <w:rPr>
                <w:rFonts w:ascii="Times New Roman" w:hAnsi="Times New Roman"/>
                <w:spacing w:val="2"/>
                <w:kern w:val="0"/>
                <w:sz w:val="18"/>
                <w:szCs w:val="18"/>
                <w:lang w:eastAsia="zh-CN"/>
              </w:rPr>
              <w:t>、</w:t>
            </w:r>
            <w:r>
              <w:rPr>
                <w:rFonts w:ascii="Times New Roman" w:hAnsi="Times New Roman"/>
                <w:kern w:val="0"/>
                <w:sz w:val="18"/>
                <w:szCs w:val="18"/>
                <w:lang w:eastAsia="zh-CN"/>
              </w:rPr>
              <w:t>酚类</w:t>
            </w:r>
            <w:r>
              <w:rPr>
                <w:rFonts w:ascii="Times New Roman" w:hAnsi="Times New Roman"/>
                <w:spacing w:val="2"/>
                <w:kern w:val="0"/>
                <w:sz w:val="18"/>
                <w:szCs w:val="18"/>
                <w:lang w:eastAsia="zh-CN"/>
              </w:rPr>
              <w:t>、</w:t>
            </w:r>
            <w:r>
              <w:rPr>
                <w:rFonts w:ascii="Times New Roman" w:hAnsi="Times New Roman"/>
                <w:kern w:val="0"/>
                <w:sz w:val="18"/>
                <w:szCs w:val="18"/>
                <w:lang w:eastAsia="zh-CN"/>
              </w:rPr>
              <w:t>甲醛</w:t>
            </w:r>
            <w:r>
              <w:rPr>
                <w:rFonts w:ascii="Times New Roman" w:hAnsi="Times New Roman"/>
                <w:spacing w:val="2"/>
                <w:kern w:val="0"/>
                <w:sz w:val="18"/>
                <w:szCs w:val="18"/>
                <w:lang w:eastAsia="zh-CN"/>
              </w:rPr>
              <w:t>、</w:t>
            </w:r>
            <w:r>
              <w:rPr>
                <w:rFonts w:ascii="Times New Roman" w:hAnsi="Times New Roman"/>
                <w:kern w:val="0"/>
                <w:sz w:val="18"/>
                <w:szCs w:val="18"/>
                <w:lang w:eastAsia="zh-CN"/>
              </w:rPr>
              <w:t>甲</w:t>
            </w:r>
            <w:r>
              <w:rPr>
                <w:rFonts w:ascii="Times New Roman" w:hAnsi="Times New Roman"/>
                <w:spacing w:val="2"/>
                <w:kern w:val="0"/>
                <w:sz w:val="18"/>
                <w:szCs w:val="18"/>
                <w:lang w:eastAsia="zh-CN"/>
              </w:rPr>
              <w:t>醇</w:t>
            </w:r>
            <w:r>
              <w:rPr>
                <w:rFonts w:ascii="Times New Roman" w:hAnsi="Times New Roman"/>
                <w:kern w:val="0"/>
                <w:sz w:val="18"/>
                <w:szCs w:val="18"/>
                <w:lang w:eastAsia="zh-CN"/>
              </w:rPr>
              <w:t>、乙醛</w:t>
            </w:r>
            <w:r>
              <w:rPr>
                <w:rFonts w:ascii="Times New Roman" w:hAnsi="Times New Roman"/>
                <w:spacing w:val="2"/>
                <w:kern w:val="0"/>
                <w:sz w:val="18"/>
                <w:szCs w:val="18"/>
                <w:lang w:eastAsia="zh-CN"/>
              </w:rPr>
              <w:t>、</w:t>
            </w:r>
            <w:r>
              <w:rPr>
                <w:rFonts w:ascii="Times New Roman" w:hAnsi="Times New Roman"/>
                <w:kern w:val="0"/>
                <w:sz w:val="18"/>
                <w:szCs w:val="18"/>
                <w:lang w:eastAsia="zh-CN"/>
              </w:rPr>
              <w:t>丙烯</w:t>
            </w:r>
            <w:r>
              <w:rPr>
                <w:rFonts w:ascii="Times New Roman" w:hAnsi="Times New Roman"/>
                <w:spacing w:val="2"/>
                <w:kern w:val="0"/>
                <w:sz w:val="18"/>
                <w:szCs w:val="18"/>
                <w:lang w:eastAsia="zh-CN"/>
              </w:rPr>
              <w:t>腈</w:t>
            </w:r>
            <w:r>
              <w:rPr>
                <w:rFonts w:ascii="Times New Roman" w:hAnsi="Times New Roman"/>
                <w:kern w:val="0"/>
                <w:sz w:val="18"/>
                <w:szCs w:val="18"/>
                <w:lang w:eastAsia="zh-CN"/>
              </w:rPr>
              <w:t>、氰化氢、</w:t>
            </w:r>
            <w:r>
              <w:rPr>
                <w:rFonts w:ascii="Times New Roman" w:hAnsi="Times New Roman"/>
                <w:spacing w:val="2"/>
                <w:kern w:val="0"/>
                <w:sz w:val="18"/>
                <w:szCs w:val="18"/>
                <w:lang w:eastAsia="zh-CN"/>
              </w:rPr>
              <w:t>苯</w:t>
            </w:r>
            <w:r>
              <w:rPr>
                <w:rFonts w:ascii="Times New Roman" w:hAnsi="Times New Roman"/>
                <w:kern w:val="0"/>
                <w:sz w:val="18"/>
                <w:szCs w:val="18"/>
                <w:lang w:eastAsia="zh-CN"/>
              </w:rPr>
              <w:t>胺类</w:t>
            </w:r>
            <w:r>
              <w:rPr>
                <w:rFonts w:ascii="Times New Roman" w:hAnsi="Times New Roman"/>
                <w:spacing w:val="2"/>
                <w:kern w:val="0"/>
                <w:sz w:val="18"/>
                <w:szCs w:val="18"/>
                <w:lang w:eastAsia="zh-CN"/>
              </w:rPr>
              <w:t>、</w:t>
            </w:r>
            <w:r>
              <w:rPr>
                <w:rFonts w:ascii="Times New Roman" w:hAnsi="Times New Roman"/>
                <w:kern w:val="0"/>
                <w:sz w:val="18"/>
                <w:szCs w:val="18"/>
                <w:lang w:eastAsia="zh-CN"/>
              </w:rPr>
              <w:t>氯苯</w:t>
            </w:r>
            <w:r>
              <w:rPr>
                <w:rFonts w:ascii="Times New Roman" w:hAnsi="Times New Roman"/>
                <w:spacing w:val="2"/>
                <w:kern w:val="0"/>
                <w:sz w:val="18"/>
                <w:szCs w:val="18"/>
                <w:lang w:eastAsia="zh-CN"/>
              </w:rPr>
              <w:t>类</w:t>
            </w:r>
            <w:r>
              <w:rPr>
                <w:rFonts w:ascii="Times New Roman" w:hAnsi="Times New Roman"/>
                <w:kern w:val="0"/>
                <w:sz w:val="18"/>
                <w:szCs w:val="18"/>
                <w:lang w:eastAsia="zh-CN"/>
              </w:rPr>
              <w:t>、</w:t>
            </w:r>
            <w:r>
              <w:rPr>
                <w:rFonts w:ascii="Times New Roman" w:hAnsi="Times New Roman"/>
                <w:spacing w:val="2"/>
                <w:kern w:val="0"/>
                <w:sz w:val="18"/>
                <w:szCs w:val="18"/>
                <w:lang w:eastAsia="zh-CN"/>
              </w:rPr>
              <w:t>硝</w:t>
            </w:r>
            <w:r>
              <w:rPr>
                <w:rFonts w:ascii="Times New Roman" w:hAnsi="Times New Roman"/>
                <w:kern w:val="0"/>
                <w:sz w:val="18"/>
                <w:szCs w:val="18"/>
                <w:lang w:eastAsia="zh-CN"/>
              </w:rPr>
              <w:t>基苯类</w:t>
            </w:r>
            <w:r>
              <w:rPr>
                <w:rFonts w:ascii="Times New Roman" w:hAnsi="Times New Roman"/>
                <w:spacing w:val="2"/>
                <w:kern w:val="0"/>
                <w:sz w:val="18"/>
                <w:szCs w:val="18"/>
                <w:lang w:eastAsia="zh-CN"/>
              </w:rPr>
              <w:t>、</w:t>
            </w:r>
            <w:r>
              <w:rPr>
                <w:rFonts w:ascii="Times New Roman" w:hAnsi="Times New Roman"/>
                <w:kern w:val="0"/>
                <w:sz w:val="18"/>
                <w:szCs w:val="18"/>
                <w:lang w:eastAsia="zh-CN"/>
              </w:rPr>
              <w:t>氯乙</w:t>
            </w:r>
            <w:r>
              <w:rPr>
                <w:rFonts w:ascii="Times New Roman" w:hAnsi="Times New Roman"/>
                <w:spacing w:val="2"/>
                <w:kern w:val="0"/>
                <w:sz w:val="18"/>
                <w:szCs w:val="18"/>
                <w:lang w:eastAsia="zh-CN"/>
              </w:rPr>
              <w:t>烯</w:t>
            </w:r>
            <w:r>
              <w:rPr>
                <w:rFonts w:ascii="Times New Roman" w:hAnsi="Times New Roman"/>
                <w:kern w:val="0"/>
                <w:sz w:val="18"/>
                <w:szCs w:val="18"/>
                <w:lang w:eastAsia="zh-CN"/>
              </w:rPr>
              <w:t>、苯并芘、</w:t>
            </w:r>
            <w:r>
              <w:rPr>
                <w:rFonts w:ascii="Times New Roman" w:hAnsi="Times New Roman"/>
                <w:spacing w:val="2"/>
                <w:kern w:val="0"/>
                <w:sz w:val="18"/>
                <w:szCs w:val="18"/>
                <w:lang w:eastAsia="zh-CN"/>
              </w:rPr>
              <w:t>光</w:t>
            </w:r>
            <w:r>
              <w:rPr>
                <w:rFonts w:ascii="Times New Roman" w:hAnsi="Times New Roman"/>
                <w:kern w:val="0"/>
                <w:sz w:val="18"/>
                <w:szCs w:val="18"/>
                <w:lang w:eastAsia="zh-CN"/>
              </w:rPr>
              <w:t>气、</w:t>
            </w:r>
            <w:r>
              <w:rPr>
                <w:rFonts w:ascii="Times New Roman" w:hAnsi="Times New Roman"/>
                <w:spacing w:val="2"/>
                <w:kern w:val="0"/>
                <w:sz w:val="18"/>
                <w:szCs w:val="18"/>
                <w:lang w:eastAsia="zh-CN"/>
              </w:rPr>
              <w:t>沥</w:t>
            </w:r>
            <w:r>
              <w:rPr>
                <w:rFonts w:ascii="Times New Roman" w:hAnsi="Times New Roman"/>
                <w:kern w:val="0"/>
                <w:sz w:val="18"/>
                <w:szCs w:val="18"/>
                <w:lang w:eastAsia="zh-CN"/>
              </w:rPr>
              <w:t>青烟</w:t>
            </w:r>
            <w:r>
              <w:rPr>
                <w:rFonts w:ascii="Times New Roman" w:hAnsi="Times New Roman"/>
                <w:spacing w:val="2"/>
                <w:kern w:val="0"/>
                <w:sz w:val="18"/>
                <w:szCs w:val="18"/>
                <w:lang w:eastAsia="zh-CN"/>
              </w:rPr>
              <w:t>、</w:t>
            </w:r>
            <w:r>
              <w:rPr>
                <w:rFonts w:ascii="Times New Roman" w:hAnsi="Times New Roman"/>
                <w:kern w:val="0"/>
                <w:sz w:val="18"/>
                <w:szCs w:val="18"/>
                <w:lang w:eastAsia="zh-CN"/>
              </w:rPr>
              <w:t>石</w:t>
            </w:r>
            <w:r>
              <w:rPr>
                <w:rFonts w:ascii="Times New Roman" w:hAnsi="Times New Roman"/>
                <w:spacing w:val="2"/>
                <w:kern w:val="0"/>
                <w:sz w:val="18"/>
                <w:szCs w:val="18"/>
                <w:lang w:eastAsia="zh-CN"/>
              </w:rPr>
              <w:t>棉</w:t>
            </w:r>
            <w:r>
              <w:rPr>
                <w:rFonts w:ascii="Times New Roman" w:hAnsi="Times New Roman"/>
                <w:kern w:val="0"/>
                <w:sz w:val="18"/>
                <w:szCs w:val="18"/>
                <w:lang w:eastAsia="zh-CN"/>
              </w:rPr>
              <w:t>尘、非</w:t>
            </w:r>
            <w:r>
              <w:rPr>
                <w:rFonts w:ascii="Times New Roman" w:hAnsi="Times New Roman"/>
                <w:spacing w:val="2"/>
                <w:kern w:val="0"/>
                <w:sz w:val="18"/>
                <w:szCs w:val="18"/>
                <w:lang w:eastAsia="zh-CN"/>
              </w:rPr>
              <w:t>甲</w:t>
            </w:r>
            <w:r>
              <w:rPr>
                <w:rFonts w:ascii="Times New Roman" w:hAnsi="Times New Roman"/>
                <w:kern w:val="0"/>
                <w:sz w:val="18"/>
                <w:szCs w:val="18"/>
                <w:lang w:eastAsia="zh-CN"/>
              </w:rPr>
              <w:t>烷总烃</w:t>
            </w:r>
          </w:p>
        </w:tc>
        <w:tc>
          <w:tcPr>
            <w:tcW w:w="855" w:type="pct"/>
            <w:tcBorders>
              <w:top w:val="single" w:color="auto" w:sz="4" w:space="0"/>
              <w:left w:val="single" w:color="000000" w:sz="4" w:space="0"/>
              <w:bottom w:val="single" w:color="auto" w:sz="4" w:space="0"/>
              <w:right w:val="single" w:color="000000" w:sz="4" w:space="0"/>
            </w:tcBorders>
            <w:vAlign w:val="center"/>
          </w:tcPr>
          <w:p>
            <w:pPr>
              <w:spacing w:line="229" w:lineRule="exact"/>
              <w:rPr>
                <w:rFonts w:ascii="Times New Roman" w:hAnsi="Times New Roman"/>
                <w:kern w:val="0"/>
                <w:sz w:val="18"/>
                <w:szCs w:val="18"/>
                <w:lang w:eastAsia="zh-CN"/>
              </w:rPr>
            </w:pPr>
            <w:r>
              <w:rPr>
                <w:rFonts w:ascii="Times New Roman" w:hAnsi="Times New Roman"/>
                <w:spacing w:val="1"/>
                <w:kern w:val="0"/>
                <w:sz w:val="18"/>
                <w:szCs w:val="18"/>
                <w:lang w:eastAsia="zh-CN"/>
              </w:rPr>
              <w:t>1</w:t>
            </w:r>
            <w:r>
              <w:rPr>
                <w:rFonts w:ascii="Times New Roman" w:hAnsi="Times New Roman"/>
                <w:kern w:val="0"/>
                <w:sz w:val="18"/>
                <w:szCs w:val="18"/>
                <w:lang w:eastAsia="zh-CN"/>
              </w:rPr>
              <w:t>、排放浓度</w:t>
            </w:r>
            <w:r>
              <w:rPr>
                <w:rFonts w:ascii="Times New Roman" w:hAnsi="Times New Roman"/>
                <w:spacing w:val="1"/>
                <w:kern w:val="0"/>
                <w:sz w:val="18"/>
                <w:szCs w:val="18"/>
                <w:lang w:eastAsia="zh-CN"/>
              </w:rPr>
              <w:t>+</w:t>
            </w:r>
            <w:r>
              <w:rPr>
                <w:rFonts w:ascii="Times New Roman" w:hAnsi="Times New Roman"/>
                <w:spacing w:val="2"/>
                <w:kern w:val="0"/>
                <w:sz w:val="18"/>
                <w:szCs w:val="18"/>
                <w:lang w:eastAsia="zh-CN"/>
              </w:rPr>
              <w:t>排</w:t>
            </w:r>
            <w:r>
              <w:rPr>
                <w:rFonts w:ascii="Times New Roman" w:hAnsi="Times New Roman"/>
                <w:kern w:val="0"/>
                <w:sz w:val="18"/>
                <w:szCs w:val="18"/>
                <w:lang w:eastAsia="zh-CN"/>
              </w:rPr>
              <w:t>放速率+无组织</w:t>
            </w:r>
            <w:r>
              <w:rPr>
                <w:rFonts w:ascii="Times New Roman" w:hAnsi="Times New Roman"/>
                <w:spacing w:val="2"/>
                <w:kern w:val="0"/>
                <w:sz w:val="18"/>
                <w:szCs w:val="18"/>
                <w:lang w:eastAsia="zh-CN"/>
              </w:rPr>
              <w:t>排</w:t>
            </w:r>
            <w:r>
              <w:rPr>
                <w:rFonts w:ascii="Times New Roman" w:hAnsi="Times New Roman"/>
                <w:kern w:val="0"/>
                <w:sz w:val="18"/>
                <w:szCs w:val="18"/>
                <w:lang w:eastAsia="zh-CN"/>
              </w:rPr>
              <w:t>放监</w:t>
            </w:r>
            <w:r>
              <w:rPr>
                <w:rFonts w:ascii="Times New Roman" w:hAnsi="Times New Roman"/>
                <w:spacing w:val="2"/>
                <w:kern w:val="0"/>
                <w:sz w:val="18"/>
                <w:szCs w:val="18"/>
                <w:lang w:eastAsia="zh-CN"/>
              </w:rPr>
              <w:t>控</w:t>
            </w:r>
            <w:r>
              <w:rPr>
                <w:rFonts w:ascii="Times New Roman" w:hAnsi="Times New Roman"/>
                <w:kern w:val="0"/>
                <w:sz w:val="18"/>
                <w:szCs w:val="18"/>
                <w:lang w:eastAsia="zh-CN"/>
              </w:rPr>
              <w:t>浓度值；</w:t>
            </w:r>
          </w:p>
          <w:p>
            <w:pPr>
              <w:spacing w:line="229" w:lineRule="exact"/>
              <w:rPr>
                <w:rFonts w:ascii="Times New Roman" w:hAnsi="Times New Roman"/>
                <w:kern w:val="0"/>
                <w:sz w:val="18"/>
                <w:szCs w:val="18"/>
                <w:lang w:eastAsia="zh-CN"/>
              </w:rPr>
            </w:pPr>
            <w:r>
              <w:rPr>
                <w:rFonts w:ascii="Times New Roman" w:hAnsi="Times New Roman"/>
                <w:spacing w:val="1"/>
                <w:kern w:val="0"/>
                <w:sz w:val="18"/>
                <w:szCs w:val="18"/>
                <w:lang w:eastAsia="zh-CN"/>
              </w:rPr>
              <w:t>2</w:t>
            </w:r>
            <w:r>
              <w:rPr>
                <w:rFonts w:ascii="Times New Roman" w:hAnsi="Times New Roman"/>
                <w:kern w:val="0"/>
                <w:sz w:val="18"/>
                <w:szCs w:val="18"/>
                <w:lang w:eastAsia="zh-CN"/>
              </w:rPr>
              <w:t>、简单直</w:t>
            </w:r>
            <w:r>
              <w:rPr>
                <w:rFonts w:ascii="Times New Roman" w:hAnsi="Times New Roman"/>
                <w:spacing w:val="2"/>
                <w:kern w:val="0"/>
                <w:sz w:val="18"/>
                <w:szCs w:val="18"/>
                <w:lang w:eastAsia="zh-CN"/>
              </w:rPr>
              <w:t>观</w:t>
            </w:r>
            <w:r>
              <w:rPr>
                <w:rFonts w:ascii="Times New Roman" w:hAnsi="Times New Roman"/>
                <w:kern w:val="0"/>
                <w:sz w:val="18"/>
                <w:szCs w:val="18"/>
                <w:lang w:eastAsia="zh-CN"/>
              </w:rPr>
              <w:t>可操作</w:t>
            </w:r>
          </w:p>
        </w:tc>
        <w:tc>
          <w:tcPr>
            <w:tcW w:w="1414" w:type="pct"/>
            <w:tcBorders>
              <w:top w:val="single" w:color="auto" w:sz="4" w:space="0"/>
              <w:left w:val="single" w:color="000000" w:sz="4" w:space="0"/>
              <w:bottom w:val="single" w:color="auto" w:sz="4" w:space="0"/>
              <w:right w:val="single" w:color="000000" w:sz="4" w:space="0"/>
            </w:tcBorders>
            <w:vAlign w:val="center"/>
          </w:tcPr>
          <w:p>
            <w:pPr>
              <w:spacing w:line="229" w:lineRule="exact"/>
              <w:rPr>
                <w:rFonts w:ascii="Times New Roman" w:hAnsi="Times New Roman"/>
                <w:kern w:val="0"/>
                <w:sz w:val="18"/>
                <w:szCs w:val="18"/>
                <w:lang w:eastAsia="zh-CN"/>
              </w:rPr>
            </w:pPr>
            <w:r>
              <w:rPr>
                <w:rFonts w:ascii="Times New Roman" w:hAnsi="Times New Roman"/>
                <w:spacing w:val="1"/>
                <w:kern w:val="0"/>
                <w:sz w:val="18"/>
                <w:szCs w:val="18"/>
                <w:lang w:eastAsia="zh-CN"/>
              </w:rPr>
              <w:t>1</w:t>
            </w:r>
            <w:r>
              <w:rPr>
                <w:rFonts w:ascii="Times New Roman" w:hAnsi="Times New Roman"/>
                <w:kern w:val="0"/>
                <w:sz w:val="18"/>
                <w:szCs w:val="18"/>
                <w:lang w:eastAsia="zh-CN"/>
              </w:rPr>
              <w:t>、项目太</w:t>
            </w:r>
            <w:r>
              <w:rPr>
                <w:rFonts w:ascii="Times New Roman" w:hAnsi="Times New Roman"/>
                <w:spacing w:val="2"/>
                <w:kern w:val="0"/>
                <w:sz w:val="18"/>
                <w:szCs w:val="18"/>
                <w:lang w:eastAsia="zh-CN"/>
              </w:rPr>
              <w:t>少</w:t>
            </w:r>
            <w:r>
              <w:rPr>
                <w:rFonts w:ascii="Times New Roman" w:hAnsi="Times New Roman"/>
                <w:kern w:val="0"/>
                <w:sz w:val="18"/>
                <w:szCs w:val="18"/>
                <w:lang w:eastAsia="zh-CN"/>
              </w:rPr>
              <w:t>，</w:t>
            </w:r>
            <w:r>
              <w:rPr>
                <w:rFonts w:ascii="Times New Roman" w:hAnsi="Times New Roman"/>
                <w:spacing w:val="1"/>
                <w:kern w:val="0"/>
                <w:sz w:val="18"/>
                <w:szCs w:val="18"/>
                <w:lang w:eastAsia="zh-CN"/>
              </w:rPr>
              <w:t>NMH</w:t>
            </w:r>
            <w:r>
              <w:rPr>
                <w:rFonts w:ascii="Times New Roman" w:hAnsi="Times New Roman"/>
                <w:kern w:val="0"/>
                <w:sz w:val="18"/>
                <w:szCs w:val="18"/>
                <w:lang w:eastAsia="zh-CN"/>
              </w:rPr>
              <w:t>C</w:t>
            </w:r>
            <w:r>
              <w:rPr>
                <w:rFonts w:ascii="Times New Roman" w:hAnsi="Times New Roman"/>
                <w:spacing w:val="-72"/>
                <w:kern w:val="0"/>
                <w:sz w:val="18"/>
                <w:szCs w:val="18"/>
                <w:lang w:eastAsia="zh-CN"/>
              </w:rPr>
              <w:t xml:space="preserve"> </w:t>
            </w:r>
            <w:r>
              <w:rPr>
                <w:rFonts w:ascii="Times New Roman" w:hAnsi="Times New Roman"/>
                <w:kern w:val="0"/>
                <w:sz w:val="18"/>
                <w:szCs w:val="18"/>
                <w:lang w:eastAsia="zh-CN"/>
              </w:rPr>
              <w:t>无法覆盖所有</w:t>
            </w:r>
            <w:r>
              <w:rPr>
                <w:rFonts w:ascii="Times New Roman" w:hAnsi="Times New Roman"/>
                <w:spacing w:val="2"/>
                <w:kern w:val="0"/>
                <w:sz w:val="18"/>
                <w:szCs w:val="18"/>
                <w:lang w:eastAsia="zh-CN"/>
              </w:rPr>
              <w:t>的</w:t>
            </w:r>
            <w:r>
              <w:rPr>
                <w:rFonts w:ascii="Times New Roman" w:hAnsi="Times New Roman"/>
                <w:kern w:val="0"/>
                <w:sz w:val="18"/>
                <w:szCs w:val="18"/>
                <w:lang w:eastAsia="zh-CN"/>
              </w:rPr>
              <w:t>有机</w:t>
            </w:r>
            <w:r>
              <w:rPr>
                <w:rFonts w:ascii="Times New Roman" w:hAnsi="Times New Roman"/>
                <w:spacing w:val="2"/>
                <w:kern w:val="0"/>
                <w:sz w:val="18"/>
                <w:szCs w:val="18"/>
                <w:lang w:eastAsia="zh-CN"/>
              </w:rPr>
              <w:t>物</w:t>
            </w:r>
            <w:r>
              <w:rPr>
                <w:rFonts w:ascii="Times New Roman" w:hAnsi="Times New Roman"/>
                <w:kern w:val="0"/>
                <w:sz w:val="18"/>
                <w:szCs w:val="18"/>
                <w:lang w:eastAsia="zh-CN"/>
              </w:rPr>
              <w:t>。</w:t>
            </w:r>
          </w:p>
          <w:p>
            <w:pPr>
              <w:spacing w:line="229" w:lineRule="exact"/>
              <w:rPr>
                <w:rFonts w:ascii="Times New Roman" w:hAnsi="Times New Roman"/>
                <w:kern w:val="0"/>
                <w:sz w:val="18"/>
                <w:szCs w:val="18"/>
                <w:lang w:eastAsia="zh-CN"/>
              </w:rPr>
            </w:pPr>
            <w:r>
              <w:rPr>
                <w:rFonts w:ascii="Times New Roman" w:hAnsi="Times New Roman"/>
                <w:spacing w:val="1"/>
                <w:kern w:val="0"/>
                <w:sz w:val="18"/>
                <w:szCs w:val="18"/>
                <w:lang w:eastAsia="zh-CN"/>
              </w:rPr>
              <w:t>2</w:t>
            </w:r>
            <w:r>
              <w:rPr>
                <w:rFonts w:ascii="Times New Roman" w:hAnsi="Times New Roman"/>
                <w:kern w:val="0"/>
                <w:sz w:val="18"/>
                <w:szCs w:val="18"/>
                <w:lang w:eastAsia="zh-CN"/>
              </w:rPr>
              <w:t>、按照排</w:t>
            </w:r>
            <w:r>
              <w:rPr>
                <w:rFonts w:ascii="Times New Roman" w:hAnsi="Times New Roman"/>
                <w:spacing w:val="2"/>
                <w:kern w:val="0"/>
                <w:sz w:val="18"/>
                <w:szCs w:val="18"/>
                <w:lang w:eastAsia="zh-CN"/>
              </w:rPr>
              <w:t>气</w:t>
            </w:r>
            <w:r>
              <w:rPr>
                <w:rFonts w:ascii="Times New Roman" w:hAnsi="Times New Roman"/>
                <w:kern w:val="0"/>
                <w:sz w:val="18"/>
                <w:szCs w:val="18"/>
                <w:lang w:eastAsia="zh-CN"/>
              </w:rPr>
              <w:t>筒高</w:t>
            </w:r>
            <w:r>
              <w:rPr>
                <w:rFonts w:ascii="Times New Roman" w:hAnsi="Times New Roman"/>
                <w:spacing w:val="2"/>
                <w:kern w:val="0"/>
                <w:sz w:val="18"/>
                <w:szCs w:val="18"/>
                <w:lang w:eastAsia="zh-CN"/>
              </w:rPr>
              <w:t>度</w:t>
            </w:r>
            <w:r>
              <w:rPr>
                <w:rFonts w:ascii="Times New Roman" w:hAnsi="Times New Roman"/>
                <w:kern w:val="0"/>
                <w:sz w:val="18"/>
                <w:szCs w:val="18"/>
                <w:lang w:eastAsia="zh-CN"/>
              </w:rPr>
              <w:t>设定污染物排</w:t>
            </w:r>
            <w:r>
              <w:rPr>
                <w:rFonts w:ascii="Times New Roman" w:hAnsi="Times New Roman"/>
                <w:spacing w:val="2"/>
                <w:kern w:val="0"/>
                <w:sz w:val="18"/>
                <w:szCs w:val="18"/>
                <w:lang w:eastAsia="zh-CN"/>
              </w:rPr>
              <w:t>放</w:t>
            </w:r>
            <w:r>
              <w:rPr>
                <w:rFonts w:ascii="Times New Roman" w:hAnsi="Times New Roman"/>
                <w:kern w:val="0"/>
                <w:sz w:val="18"/>
                <w:szCs w:val="18"/>
                <w:lang w:eastAsia="zh-CN"/>
              </w:rPr>
              <w:t>速率</w:t>
            </w:r>
            <w:r>
              <w:rPr>
                <w:rFonts w:ascii="Times New Roman" w:hAnsi="Times New Roman"/>
                <w:spacing w:val="2"/>
                <w:kern w:val="0"/>
                <w:sz w:val="18"/>
                <w:szCs w:val="18"/>
                <w:lang w:eastAsia="zh-CN"/>
              </w:rPr>
              <w:t>不</w:t>
            </w:r>
            <w:r>
              <w:rPr>
                <w:rFonts w:ascii="Times New Roman" w:hAnsi="Times New Roman"/>
                <w:kern w:val="0"/>
                <w:sz w:val="18"/>
                <w:szCs w:val="18"/>
                <w:lang w:eastAsia="zh-CN"/>
              </w:rPr>
              <w:t>能满</w:t>
            </w:r>
            <w:r>
              <w:rPr>
                <w:rFonts w:ascii="Times New Roman" w:hAnsi="Times New Roman"/>
                <w:spacing w:val="2"/>
                <w:kern w:val="0"/>
                <w:sz w:val="18"/>
                <w:szCs w:val="18"/>
                <w:lang w:eastAsia="zh-CN"/>
              </w:rPr>
              <w:t>足</w:t>
            </w:r>
            <w:r>
              <w:rPr>
                <w:rFonts w:ascii="Times New Roman" w:hAnsi="Times New Roman"/>
                <w:kern w:val="0"/>
                <w:sz w:val="18"/>
                <w:szCs w:val="18"/>
                <w:lang w:eastAsia="zh-CN"/>
              </w:rPr>
              <w:t>总量控制要</w:t>
            </w:r>
            <w:r>
              <w:rPr>
                <w:rFonts w:ascii="Times New Roman" w:hAnsi="Times New Roman"/>
                <w:spacing w:val="2"/>
                <w:kern w:val="0"/>
                <w:sz w:val="18"/>
                <w:szCs w:val="18"/>
                <w:lang w:eastAsia="zh-CN"/>
              </w:rPr>
              <w:t>求</w:t>
            </w:r>
            <w:r>
              <w:rPr>
                <w:rFonts w:ascii="Times New Roman" w:hAnsi="Times New Roman"/>
                <w:kern w:val="0"/>
                <w:sz w:val="18"/>
                <w:szCs w:val="18"/>
                <w:lang w:eastAsia="zh-CN"/>
              </w:rPr>
              <w:t>。</w:t>
            </w:r>
          </w:p>
          <w:p>
            <w:pPr>
              <w:spacing w:line="229" w:lineRule="exact"/>
              <w:rPr>
                <w:rFonts w:ascii="Times New Roman" w:hAnsi="Times New Roman"/>
                <w:kern w:val="0"/>
                <w:sz w:val="18"/>
                <w:szCs w:val="18"/>
                <w:lang w:eastAsia="zh-CN"/>
              </w:rPr>
            </w:pPr>
            <w:r>
              <w:rPr>
                <w:rFonts w:ascii="Times New Roman" w:hAnsi="Times New Roman"/>
                <w:spacing w:val="1"/>
                <w:kern w:val="0"/>
                <w:sz w:val="18"/>
                <w:szCs w:val="18"/>
                <w:lang w:eastAsia="zh-CN"/>
              </w:rPr>
              <w:t>3</w:t>
            </w:r>
            <w:r>
              <w:rPr>
                <w:rFonts w:ascii="Times New Roman" w:hAnsi="Times New Roman"/>
                <w:kern w:val="0"/>
                <w:sz w:val="18"/>
                <w:szCs w:val="18"/>
                <w:lang w:eastAsia="zh-CN"/>
              </w:rPr>
              <w:t>、缺乏总</w:t>
            </w:r>
            <w:r>
              <w:rPr>
                <w:rFonts w:ascii="Times New Roman" w:hAnsi="Times New Roman"/>
                <w:spacing w:val="2"/>
                <w:kern w:val="0"/>
                <w:sz w:val="18"/>
                <w:szCs w:val="18"/>
                <w:lang w:eastAsia="zh-CN"/>
              </w:rPr>
              <w:t>量</w:t>
            </w:r>
            <w:r>
              <w:rPr>
                <w:rFonts w:ascii="Times New Roman" w:hAnsi="Times New Roman"/>
                <w:kern w:val="0"/>
                <w:sz w:val="18"/>
                <w:szCs w:val="18"/>
                <w:lang w:eastAsia="zh-CN"/>
              </w:rPr>
              <w:t>控制</w:t>
            </w:r>
            <w:r>
              <w:rPr>
                <w:rFonts w:ascii="Times New Roman" w:hAnsi="Times New Roman"/>
                <w:spacing w:val="2"/>
                <w:kern w:val="0"/>
                <w:sz w:val="18"/>
                <w:szCs w:val="18"/>
                <w:lang w:eastAsia="zh-CN"/>
              </w:rPr>
              <w:t>和</w:t>
            </w:r>
            <w:r>
              <w:rPr>
                <w:rFonts w:ascii="Times New Roman" w:hAnsi="Times New Roman"/>
                <w:kern w:val="0"/>
                <w:sz w:val="18"/>
                <w:szCs w:val="18"/>
                <w:lang w:eastAsia="zh-CN"/>
              </w:rPr>
              <w:t>技术要求的内容</w:t>
            </w:r>
          </w:p>
        </w:tc>
      </w:tr>
      <w:tr>
        <w:tblPrEx>
          <w:tblCellMar>
            <w:top w:w="0" w:type="dxa"/>
            <w:left w:w="0" w:type="dxa"/>
            <w:bottom w:w="0" w:type="dxa"/>
            <w:right w:w="0" w:type="dxa"/>
          </w:tblCellMar>
        </w:tblPrEx>
        <w:trPr>
          <w:trHeight w:val="20" w:hRule="atLeast"/>
        </w:trPr>
        <w:tc>
          <w:tcPr>
            <w:tcW w:w="678" w:type="pct"/>
            <w:tcBorders>
              <w:top w:val="single" w:color="000000" w:sz="4" w:space="0"/>
              <w:left w:val="single" w:color="000000" w:sz="4" w:space="0"/>
              <w:right w:val="single" w:color="000000" w:sz="4" w:space="0"/>
            </w:tcBorders>
            <w:vAlign w:val="center"/>
          </w:tcPr>
          <w:p>
            <w:pPr>
              <w:spacing w:line="229" w:lineRule="exact"/>
              <w:jc w:val="left"/>
              <w:rPr>
                <w:rFonts w:ascii="Times New Roman" w:hAnsi="Times New Roman"/>
                <w:kern w:val="0"/>
                <w:sz w:val="18"/>
                <w:szCs w:val="18"/>
                <w:lang w:eastAsia="zh-CN"/>
              </w:rPr>
            </w:pPr>
            <w:r>
              <w:rPr>
                <w:rFonts w:ascii="Times New Roman" w:hAnsi="Times New Roman"/>
                <w:kern w:val="0"/>
                <w:sz w:val="18"/>
                <w:szCs w:val="18"/>
                <w:lang w:eastAsia="zh-CN"/>
              </w:rPr>
              <w:t>北京市</w:t>
            </w:r>
            <w:r>
              <w:rPr>
                <w:rFonts w:ascii="Times New Roman" w:hAnsi="Times New Roman"/>
                <w:spacing w:val="2"/>
                <w:kern w:val="0"/>
                <w:sz w:val="18"/>
                <w:szCs w:val="18"/>
                <w:lang w:eastAsia="zh-CN"/>
              </w:rPr>
              <w:t>地</w:t>
            </w:r>
            <w:r>
              <w:rPr>
                <w:rFonts w:ascii="Times New Roman" w:hAnsi="Times New Roman"/>
                <w:kern w:val="0"/>
                <w:sz w:val="18"/>
                <w:szCs w:val="18"/>
                <w:lang w:eastAsia="zh-CN"/>
              </w:rPr>
              <w:t>方大气污染物</w:t>
            </w:r>
            <w:r>
              <w:rPr>
                <w:rFonts w:ascii="Times New Roman" w:hAnsi="Times New Roman"/>
                <w:spacing w:val="2"/>
                <w:kern w:val="0"/>
                <w:sz w:val="18"/>
                <w:szCs w:val="18"/>
                <w:lang w:eastAsia="zh-CN"/>
              </w:rPr>
              <w:t>排</w:t>
            </w:r>
            <w:r>
              <w:rPr>
                <w:rFonts w:ascii="Times New Roman" w:hAnsi="Times New Roman"/>
                <w:kern w:val="0"/>
                <w:sz w:val="18"/>
                <w:szCs w:val="18"/>
                <w:lang w:eastAsia="zh-CN"/>
              </w:rPr>
              <w:t>放标准</w:t>
            </w:r>
          </w:p>
          <w:p>
            <w:pPr>
              <w:spacing w:line="229" w:lineRule="exact"/>
              <w:jc w:val="left"/>
              <w:rPr>
                <w:rFonts w:ascii="Times New Roman" w:hAnsi="Times New Roman"/>
                <w:kern w:val="0"/>
                <w:sz w:val="18"/>
                <w:szCs w:val="18"/>
                <w:lang w:eastAsia="en-US"/>
              </w:rPr>
            </w:pPr>
            <w:r>
              <w:rPr>
                <w:rFonts w:ascii="Times New Roman" w:hAnsi="Times New Roman"/>
                <w:spacing w:val="1"/>
                <w:kern w:val="0"/>
                <w:sz w:val="18"/>
                <w:szCs w:val="18"/>
                <w:lang w:eastAsia="en-US"/>
              </w:rPr>
              <w:t>DB1</w:t>
            </w:r>
            <w:r>
              <w:rPr>
                <w:rFonts w:ascii="Times New Roman" w:hAnsi="Times New Roman"/>
                <w:spacing w:val="-2"/>
                <w:kern w:val="0"/>
                <w:sz w:val="18"/>
                <w:szCs w:val="18"/>
                <w:lang w:eastAsia="en-US"/>
              </w:rPr>
              <w:t>1</w:t>
            </w:r>
            <w:r>
              <w:rPr>
                <w:rFonts w:ascii="Times New Roman" w:hAnsi="Times New Roman"/>
                <w:spacing w:val="1"/>
                <w:kern w:val="0"/>
                <w:sz w:val="18"/>
                <w:szCs w:val="18"/>
                <w:lang w:eastAsia="en-US"/>
              </w:rPr>
              <w:t>/5</w:t>
            </w:r>
            <w:r>
              <w:rPr>
                <w:rFonts w:ascii="Times New Roman" w:hAnsi="Times New Roman"/>
                <w:spacing w:val="-2"/>
                <w:kern w:val="0"/>
                <w:sz w:val="18"/>
                <w:szCs w:val="18"/>
                <w:lang w:eastAsia="en-US"/>
              </w:rPr>
              <w:t>0</w:t>
            </w:r>
            <w:r>
              <w:rPr>
                <w:rFonts w:ascii="Times New Roman" w:hAnsi="Times New Roman"/>
                <w:spacing w:val="2"/>
                <w:kern w:val="0"/>
                <w:sz w:val="18"/>
                <w:szCs w:val="18"/>
                <w:lang w:eastAsia="en-US"/>
              </w:rPr>
              <w:t>1</w:t>
            </w:r>
            <w:r>
              <w:rPr>
                <w:rFonts w:ascii="Times New Roman" w:hAnsi="Times New Roman"/>
                <w:spacing w:val="1"/>
                <w:kern w:val="0"/>
                <w:sz w:val="18"/>
                <w:szCs w:val="18"/>
                <w:lang w:eastAsia="en-US"/>
              </w:rPr>
              <w:t>-</w:t>
            </w:r>
            <w:r>
              <w:rPr>
                <w:rFonts w:ascii="Times New Roman" w:hAnsi="Times New Roman"/>
                <w:spacing w:val="-2"/>
                <w:kern w:val="0"/>
                <w:sz w:val="18"/>
                <w:szCs w:val="18"/>
                <w:lang w:eastAsia="en-US"/>
              </w:rPr>
              <w:t>2</w:t>
            </w:r>
            <w:r>
              <w:rPr>
                <w:rFonts w:ascii="Times New Roman" w:hAnsi="Times New Roman"/>
                <w:spacing w:val="1"/>
                <w:kern w:val="0"/>
                <w:sz w:val="18"/>
                <w:szCs w:val="18"/>
                <w:lang w:eastAsia="en-US"/>
              </w:rPr>
              <w:t>01</w:t>
            </w:r>
            <w:r>
              <w:rPr>
                <w:rFonts w:ascii="Times New Roman" w:hAnsi="Times New Roman"/>
                <w:kern w:val="0"/>
                <w:sz w:val="18"/>
                <w:szCs w:val="18"/>
                <w:lang w:eastAsia="en-US"/>
              </w:rPr>
              <w:t>7</w:t>
            </w:r>
          </w:p>
        </w:tc>
        <w:tc>
          <w:tcPr>
            <w:tcW w:w="678" w:type="pct"/>
            <w:tcBorders>
              <w:top w:val="single" w:color="000000" w:sz="4" w:space="0"/>
              <w:left w:val="single" w:color="000000" w:sz="4" w:space="0"/>
              <w:right w:val="single" w:color="000000" w:sz="4" w:space="0"/>
            </w:tcBorders>
            <w:vAlign w:val="center"/>
          </w:tcPr>
          <w:p>
            <w:pPr>
              <w:spacing w:line="229" w:lineRule="exact"/>
              <w:rPr>
                <w:rFonts w:ascii="Times New Roman" w:hAnsi="Times New Roman"/>
                <w:kern w:val="0"/>
                <w:sz w:val="18"/>
                <w:szCs w:val="18"/>
                <w:lang w:eastAsia="zh-CN"/>
              </w:rPr>
            </w:pPr>
            <w:r>
              <w:rPr>
                <w:rFonts w:ascii="Times New Roman" w:hAnsi="Times New Roman"/>
                <w:kern w:val="0"/>
                <w:sz w:val="18"/>
                <w:szCs w:val="18"/>
                <w:lang w:eastAsia="zh-CN"/>
              </w:rPr>
              <w:t>除了锅</w:t>
            </w:r>
            <w:r>
              <w:rPr>
                <w:rFonts w:ascii="Times New Roman" w:hAnsi="Times New Roman"/>
                <w:spacing w:val="2"/>
                <w:kern w:val="0"/>
                <w:sz w:val="18"/>
                <w:szCs w:val="18"/>
                <w:lang w:eastAsia="zh-CN"/>
              </w:rPr>
              <w:t>炉</w:t>
            </w:r>
            <w:r>
              <w:rPr>
                <w:rFonts w:ascii="Times New Roman" w:hAnsi="Times New Roman"/>
                <w:kern w:val="0"/>
                <w:sz w:val="18"/>
                <w:szCs w:val="18"/>
                <w:lang w:eastAsia="zh-CN"/>
              </w:rPr>
              <w:t>、储油库、油</w:t>
            </w:r>
            <w:r>
              <w:rPr>
                <w:rFonts w:ascii="Times New Roman" w:hAnsi="Times New Roman"/>
                <w:spacing w:val="2"/>
                <w:kern w:val="0"/>
                <w:sz w:val="18"/>
                <w:szCs w:val="18"/>
                <w:lang w:eastAsia="zh-CN"/>
              </w:rPr>
              <w:t>罐</w:t>
            </w:r>
            <w:r>
              <w:rPr>
                <w:rFonts w:ascii="Times New Roman" w:hAnsi="Times New Roman"/>
                <w:kern w:val="0"/>
                <w:sz w:val="18"/>
                <w:szCs w:val="18"/>
                <w:lang w:eastAsia="zh-CN"/>
              </w:rPr>
              <w:t>车、加油站油</w:t>
            </w:r>
            <w:r>
              <w:rPr>
                <w:rFonts w:ascii="Times New Roman" w:hAnsi="Times New Roman"/>
                <w:spacing w:val="2"/>
                <w:kern w:val="0"/>
                <w:sz w:val="18"/>
                <w:szCs w:val="18"/>
                <w:lang w:eastAsia="zh-CN"/>
              </w:rPr>
              <w:t>气</w:t>
            </w:r>
            <w:r>
              <w:rPr>
                <w:rFonts w:ascii="Times New Roman" w:hAnsi="Times New Roman"/>
                <w:kern w:val="0"/>
                <w:sz w:val="18"/>
                <w:szCs w:val="18"/>
                <w:lang w:eastAsia="zh-CN"/>
              </w:rPr>
              <w:t>、冶金建材行</w:t>
            </w:r>
            <w:r>
              <w:rPr>
                <w:rFonts w:ascii="Times New Roman" w:hAnsi="Times New Roman"/>
                <w:spacing w:val="2"/>
                <w:kern w:val="0"/>
                <w:sz w:val="18"/>
                <w:szCs w:val="18"/>
                <w:lang w:eastAsia="zh-CN"/>
              </w:rPr>
              <w:t>业</w:t>
            </w:r>
            <w:r>
              <w:rPr>
                <w:rFonts w:ascii="Times New Roman" w:hAnsi="Times New Roman"/>
                <w:kern w:val="0"/>
                <w:sz w:val="18"/>
                <w:szCs w:val="18"/>
                <w:lang w:eastAsia="zh-CN"/>
              </w:rPr>
              <w:t>及其他工业炉</w:t>
            </w:r>
            <w:r>
              <w:rPr>
                <w:rFonts w:ascii="Times New Roman" w:hAnsi="Times New Roman"/>
                <w:spacing w:val="2"/>
                <w:kern w:val="0"/>
                <w:sz w:val="18"/>
                <w:szCs w:val="18"/>
                <w:lang w:eastAsia="zh-CN"/>
              </w:rPr>
              <w:t>窑</w:t>
            </w:r>
            <w:r>
              <w:rPr>
                <w:rFonts w:ascii="Times New Roman" w:hAnsi="Times New Roman"/>
                <w:kern w:val="0"/>
                <w:sz w:val="18"/>
                <w:szCs w:val="18"/>
                <w:lang w:eastAsia="zh-CN"/>
              </w:rPr>
              <w:t>、炼油与石油</w:t>
            </w:r>
            <w:r>
              <w:rPr>
                <w:rFonts w:ascii="Times New Roman" w:hAnsi="Times New Roman"/>
                <w:spacing w:val="2"/>
                <w:kern w:val="0"/>
                <w:sz w:val="18"/>
                <w:szCs w:val="18"/>
                <w:lang w:eastAsia="zh-CN"/>
              </w:rPr>
              <w:t>化</w:t>
            </w:r>
            <w:r>
              <w:rPr>
                <w:rFonts w:ascii="Times New Roman" w:hAnsi="Times New Roman"/>
                <w:kern w:val="0"/>
                <w:sz w:val="18"/>
                <w:szCs w:val="18"/>
                <w:lang w:eastAsia="zh-CN"/>
              </w:rPr>
              <w:t>工、生活垃圾</w:t>
            </w:r>
            <w:r>
              <w:rPr>
                <w:rFonts w:ascii="Times New Roman" w:hAnsi="Times New Roman"/>
                <w:spacing w:val="2"/>
                <w:kern w:val="0"/>
                <w:sz w:val="18"/>
                <w:szCs w:val="18"/>
                <w:lang w:eastAsia="zh-CN"/>
              </w:rPr>
              <w:t>焚</w:t>
            </w:r>
            <w:r>
              <w:rPr>
                <w:rFonts w:ascii="Times New Roman" w:hAnsi="Times New Roman"/>
                <w:kern w:val="0"/>
                <w:sz w:val="18"/>
                <w:szCs w:val="18"/>
                <w:lang w:eastAsia="zh-CN"/>
              </w:rPr>
              <w:t>烧、危</w:t>
            </w:r>
          </w:p>
          <w:p>
            <w:pPr>
              <w:spacing w:line="229" w:lineRule="exact"/>
              <w:rPr>
                <w:rFonts w:ascii="Times New Roman" w:hAnsi="Times New Roman"/>
                <w:kern w:val="0"/>
                <w:sz w:val="18"/>
                <w:szCs w:val="18"/>
                <w:lang w:eastAsia="en-US"/>
              </w:rPr>
            </w:pPr>
            <w:r>
              <w:rPr>
                <w:rFonts w:ascii="Times New Roman" w:hAnsi="Times New Roman"/>
                <w:kern w:val="0"/>
                <w:sz w:val="18"/>
                <w:szCs w:val="18"/>
                <w:lang w:eastAsia="en-US"/>
              </w:rPr>
              <w:t>险废物</w:t>
            </w:r>
            <w:r>
              <w:rPr>
                <w:rFonts w:ascii="Times New Roman" w:hAnsi="Times New Roman"/>
                <w:spacing w:val="2"/>
                <w:kern w:val="0"/>
                <w:sz w:val="18"/>
                <w:szCs w:val="18"/>
                <w:lang w:eastAsia="en-US"/>
              </w:rPr>
              <w:t>焚</w:t>
            </w:r>
            <w:r>
              <w:rPr>
                <w:rFonts w:ascii="Times New Roman" w:hAnsi="Times New Roman"/>
                <w:kern w:val="0"/>
                <w:sz w:val="18"/>
                <w:szCs w:val="18"/>
                <w:lang w:eastAsia="en-US"/>
              </w:rPr>
              <w:t>烧之外</w:t>
            </w:r>
          </w:p>
        </w:tc>
        <w:tc>
          <w:tcPr>
            <w:tcW w:w="1375" w:type="pct"/>
            <w:tcBorders>
              <w:top w:val="single" w:color="000000" w:sz="4" w:space="0"/>
              <w:left w:val="single" w:color="000000" w:sz="4" w:space="0"/>
              <w:right w:val="single" w:color="000000" w:sz="4" w:space="0"/>
            </w:tcBorders>
            <w:vAlign w:val="center"/>
          </w:tcPr>
          <w:p>
            <w:pPr>
              <w:spacing w:line="229" w:lineRule="exact"/>
              <w:rPr>
                <w:rFonts w:ascii="Times New Roman" w:hAnsi="Times New Roman"/>
                <w:kern w:val="0"/>
                <w:sz w:val="18"/>
                <w:szCs w:val="18"/>
                <w:lang w:eastAsia="zh-CN"/>
              </w:rPr>
            </w:pPr>
            <w:r>
              <w:rPr>
                <w:rFonts w:ascii="Times New Roman" w:hAnsi="Times New Roman"/>
                <w:w w:val="95"/>
                <w:kern w:val="0"/>
                <w:sz w:val="18"/>
                <w:szCs w:val="18"/>
                <w:lang w:eastAsia="zh-CN"/>
              </w:rPr>
              <w:t>1</w:t>
            </w:r>
            <w:r>
              <w:rPr>
                <w:rFonts w:ascii="Times New Roman" w:hAnsi="Times New Roman"/>
                <w:kern w:val="0"/>
                <w:sz w:val="18"/>
                <w:szCs w:val="18"/>
                <w:lang w:eastAsia="zh-CN"/>
              </w:rPr>
              <w:t>、极度毒性物质（3种）：二噁英和呋喃、多氯联苯、苯并（a）芘；</w:t>
            </w:r>
          </w:p>
          <w:p>
            <w:pPr>
              <w:spacing w:line="229" w:lineRule="exact"/>
              <w:rPr>
                <w:rFonts w:ascii="Times New Roman" w:hAnsi="Times New Roman"/>
                <w:kern w:val="0"/>
                <w:sz w:val="18"/>
                <w:szCs w:val="18"/>
                <w:lang w:eastAsia="zh-CN"/>
              </w:rPr>
            </w:pPr>
            <w:r>
              <w:rPr>
                <w:rFonts w:ascii="Times New Roman" w:hAnsi="Times New Roman"/>
                <w:kern w:val="0"/>
                <w:sz w:val="18"/>
                <w:szCs w:val="18"/>
                <w:lang w:eastAsia="zh-CN"/>
              </w:rPr>
              <w:t>2、颗粒物（12种）：增加了其他颗粒物</w:t>
            </w:r>
          </w:p>
          <w:p>
            <w:pPr>
              <w:spacing w:line="229" w:lineRule="exact"/>
              <w:rPr>
                <w:rFonts w:ascii="Times New Roman" w:hAnsi="Times New Roman"/>
                <w:kern w:val="0"/>
                <w:sz w:val="18"/>
                <w:szCs w:val="18"/>
                <w:lang w:eastAsia="zh-CN"/>
              </w:rPr>
            </w:pPr>
            <w:r>
              <w:rPr>
                <w:rFonts w:ascii="Times New Roman" w:hAnsi="Times New Roman"/>
                <w:kern w:val="0"/>
                <w:sz w:val="18"/>
                <w:szCs w:val="18"/>
                <w:lang w:eastAsia="zh-CN"/>
              </w:rPr>
              <w:t>3、无机气态污染物（17  种）：增加了砷化氢、磷化氢、硫化氢、磷酸雾、硝酸雾、氨、二硫化碳、一氧化碳</w:t>
            </w:r>
          </w:p>
          <w:p>
            <w:pPr>
              <w:spacing w:line="229" w:lineRule="exact"/>
              <w:rPr>
                <w:rFonts w:ascii="Times New Roman" w:hAnsi="Times New Roman"/>
                <w:kern w:val="0"/>
                <w:sz w:val="18"/>
                <w:szCs w:val="18"/>
                <w:lang w:eastAsia="zh-CN"/>
              </w:rPr>
            </w:pPr>
            <w:r>
              <w:rPr>
                <w:rFonts w:ascii="Times New Roman" w:hAnsi="Times New Roman"/>
                <w:kern w:val="0"/>
                <w:sz w:val="18"/>
                <w:szCs w:val="18"/>
                <w:lang w:eastAsia="zh-CN"/>
              </w:rPr>
              <w:t>4、有机气态污染物（20种）:增加了环氧乙烷、1,3-丁二烯、1，2-二氯乙烷、丙烯醛、氯甲烷、其他A类物质、其他 B 类物质。</w:t>
            </w:r>
          </w:p>
          <w:p>
            <w:pPr>
              <w:spacing w:line="229" w:lineRule="exact"/>
              <w:rPr>
                <w:rFonts w:ascii="Times New Roman" w:hAnsi="Times New Roman"/>
                <w:kern w:val="0"/>
                <w:sz w:val="18"/>
                <w:szCs w:val="18"/>
                <w:lang w:eastAsia="zh-CN"/>
              </w:rPr>
            </w:pPr>
            <w:r>
              <w:rPr>
                <w:rFonts w:ascii="Times New Roman" w:hAnsi="Times New Roman"/>
                <w:kern w:val="0"/>
                <w:sz w:val="18"/>
                <w:szCs w:val="18"/>
                <w:lang w:eastAsia="en-US"/>
              </w:rPr>
              <w:t>5、典型VOCs</w:t>
            </w:r>
            <w:r>
              <w:rPr>
                <w:rFonts w:ascii="Times New Roman" w:hAnsi="Times New Roman"/>
                <w:spacing w:val="-61"/>
                <w:kern w:val="0"/>
                <w:sz w:val="18"/>
                <w:szCs w:val="18"/>
                <w:lang w:eastAsia="en-US"/>
              </w:rPr>
              <w:t xml:space="preserve"> </w:t>
            </w:r>
            <w:r>
              <w:rPr>
                <w:rFonts w:ascii="Times New Roman" w:hAnsi="Times New Roman"/>
                <w:kern w:val="0"/>
                <w:sz w:val="18"/>
                <w:szCs w:val="18"/>
                <w:lang w:eastAsia="en-US"/>
              </w:rPr>
              <w:t>污染源排放</w:t>
            </w:r>
            <w:r>
              <w:rPr>
                <w:rFonts w:ascii="Times New Roman" w:hAnsi="Times New Roman"/>
                <w:spacing w:val="2"/>
                <w:kern w:val="0"/>
                <w:sz w:val="18"/>
                <w:szCs w:val="18"/>
                <w:lang w:eastAsia="en-US"/>
              </w:rPr>
              <w:t>要</w:t>
            </w:r>
            <w:r>
              <w:rPr>
                <w:rFonts w:ascii="Times New Roman" w:hAnsi="Times New Roman"/>
                <w:kern w:val="0"/>
                <w:sz w:val="18"/>
                <w:szCs w:val="18"/>
                <w:lang w:eastAsia="en-US"/>
              </w:rPr>
              <w:t>求</w:t>
            </w:r>
          </w:p>
        </w:tc>
        <w:tc>
          <w:tcPr>
            <w:tcW w:w="855" w:type="pct"/>
            <w:tcBorders>
              <w:top w:val="single" w:color="000000" w:sz="4" w:space="0"/>
              <w:left w:val="single" w:color="000000" w:sz="4" w:space="0"/>
              <w:right w:val="single" w:color="000000" w:sz="4" w:space="0"/>
            </w:tcBorders>
            <w:vAlign w:val="center"/>
          </w:tcPr>
          <w:p>
            <w:pPr>
              <w:spacing w:line="229" w:lineRule="exact"/>
              <w:rPr>
                <w:rFonts w:ascii="Times New Roman" w:hAnsi="Times New Roman"/>
                <w:kern w:val="0"/>
                <w:sz w:val="18"/>
                <w:szCs w:val="18"/>
                <w:lang w:eastAsia="en-US"/>
              </w:rPr>
            </w:pPr>
            <w:r>
              <w:rPr>
                <w:rFonts w:ascii="Times New Roman" w:hAnsi="Times New Roman"/>
                <w:spacing w:val="1"/>
                <w:kern w:val="0"/>
                <w:sz w:val="18"/>
                <w:szCs w:val="18"/>
                <w:lang w:eastAsia="en-US"/>
              </w:rPr>
              <w:t>1</w:t>
            </w:r>
            <w:r>
              <w:rPr>
                <w:rFonts w:ascii="Times New Roman" w:hAnsi="Times New Roman"/>
                <w:kern w:val="0"/>
                <w:sz w:val="18"/>
                <w:szCs w:val="18"/>
                <w:lang w:eastAsia="en-US"/>
              </w:rPr>
              <w:t>、控制因</w:t>
            </w:r>
            <w:r>
              <w:rPr>
                <w:rFonts w:ascii="Times New Roman" w:hAnsi="Times New Roman"/>
                <w:spacing w:val="2"/>
                <w:kern w:val="0"/>
                <w:sz w:val="18"/>
                <w:szCs w:val="18"/>
                <w:lang w:eastAsia="en-US"/>
              </w:rPr>
              <w:t>子</w:t>
            </w:r>
            <w:r>
              <w:rPr>
                <w:rFonts w:ascii="Times New Roman" w:hAnsi="Times New Roman"/>
                <w:kern w:val="0"/>
                <w:sz w:val="18"/>
                <w:szCs w:val="18"/>
                <w:lang w:eastAsia="en-US"/>
              </w:rPr>
              <w:t>比</w:t>
            </w:r>
            <w:r>
              <w:rPr>
                <w:rFonts w:ascii="Times New Roman" w:hAnsi="Times New Roman"/>
                <w:spacing w:val="-70"/>
                <w:kern w:val="0"/>
                <w:sz w:val="18"/>
                <w:szCs w:val="18"/>
                <w:lang w:eastAsia="en-US"/>
              </w:rPr>
              <w:t xml:space="preserve"> </w:t>
            </w:r>
            <w:r>
              <w:rPr>
                <w:rFonts w:ascii="Times New Roman" w:hAnsi="Times New Roman"/>
                <w:spacing w:val="1"/>
                <w:kern w:val="0"/>
                <w:sz w:val="18"/>
                <w:szCs w:val="18"/>
                <w:lang w:eastAsia="en-US"/>
              </w:rPr>
              <w:t>GB162</w:t>
            </w:r>
            <w:r>
              <w:rPr>
                <w:rFonts w:ascii="Times New Roman" w:hAnsi="Times New Roman"/>
                <w:spacing w:val="-2"/>
                <w:kern w:val="0"/>
                <w:sz w:val="18"/>
                <w:szCs w:val="18"/>
                <w:lang w:eastAsia="en-US"/>
              </w:rPr>
              <w:t>9</w:t>
            </w:r>
            <w:r>
              <w:rPr>
                <w:rFonts w:ascii="Times New Roman" w:hAnsi="Times New Roman"/>
                <w:kern w:val="0"/>
                <w:sz w:val="18"/>
                <w:szCs w:val="18"/>
                <w:lang w:eastAsia="en-US"/>
              </w:rPr>
              <w:t>7增加了</w:t>
            </w:r>
            <w:r>
              <w:rPr>
                <w:rFonts w:ascii="Times New Roman" w:hAnsi="Times New Roman"/>
                <w:spacing w:val="-58"/>
                <w:kern w:val="0"/>
                <w:sz w:val="18"/>
                <w:szCs w:val="18"/>
                <w:lang w:eastAsia="en-US"/>
              </w:rPr>
              <w:t xml:space="preserve"> </w:t>
            </w:r>
            <w:r>
              <w:rPr>
                <w:rFonts w:ascii="Times New Roman" w:hAnsi="Times New Roman"/>
                <w:spacing w:val="1"/>
                <w:kern w:val="0"/>
                <w:sz w:val="18"/>
                <w:szCs w:val="18"/>
                <w:lang w:eastAsia="en-US"/>
              </w:rPr>
              <w:t>1</w:t>
            </w:r>
            <w:r>
              <w:rPr>
                <w:rFonts w:ascii="Times New Roman" w:hAnsi="Times New Roman"/>
                <w:kern w:val="0"/>
                <w:sz w:val="18"/>
                <w:szCs w:val="18"/>
                <w:lang w:eastAsia="en-US"/>
              </w:rPr>
              <w:t>9</w:t>
            </w:r>
            <w:r>
              <w:rPr>
                <w:rFonts w:ascii="Times New Roman" w:hAnsi="Times New Roman"/>
                <w:spacing w:val="-57"/>
                <w:kern w:val="0"/>
                <w:sz w:val="18"/>
                <w:szCs w:val="18"/>
                <w:lang w:eastAsia="en-US"/>
              </w:rPr>
              <w:t xml:space="preserve"> </w:t>
            </w:r>
            <w:r>
              <w:rPr>
                <w:rFonts w:ascii="Times New Roman" w:hAnsi="Times New Roman"/>
                <w:kern w:val="0"/>
                <w:sz w:val="18"/>
                <w:szCs w:val="18"/>
                <w:lang w:eastAsia="en-US"/>
              </w:rPr>
              <w:t>种因子；</w:t>
            </w:r>
          </w:p>
          <w:p>
            <w:pPr>
              <w:spacing w:line="229" w:lineRule="exact"/>
              <w:rPr>
                <w:rFonts w:ascii="Times New Roman" w:hAnsi="Times New Roman"/>
                <w:kern w:val="0"/>
                <w:sz w:val="18"/>
                <w:szCs w:val="18"/>
                <w:lang w:eastAsia="zh-CN"/>
              </w:rPr>
            </w:pPr>
            <w:r>
              <w:rPr>
                <w:rFonts w:ascii="Times New Roman" w:hAnsi="Times New Roman"/>
                <w:spacing w:val="1"/>
                <w:kern w:val="0"/>
                <w:sz w:val="18"/>
                <w:szCs w:val="18"/>
                <w:lang w:eastAsia="en-US"/>
              </w:rPr>
              <w:t>2</w:t>
            </w:r>
            <w:r>
              <w:rPr>
                <w:rFonts w:ascii="Times New Roman" w:hAnsi="Times New Roman"/>
                <w:kern w:val="0"/>
                <w:sz w:val="18"/>
                <w:szCs w:val="18"/>
                <w:lang w:eastAsia="en-US"/>
              </w:rPr>
              <w:t>、增加了</w:t>
            </w:r>
            <w:r>
              <w:rPr>
                <w:rFonts w:ascii="Times New Roman" w:hAnsi="Times New Roman"/>
                <w:spacing w:val="2"/>
                <w:kern w:val="0"/>
                <w:sz w:val="18"/>
                <w:szCs w:val="18"/>
                <w:lang w:eastAsia="en-US"/>
              </w:rPr>
              <w:t>典</w:t>
            </w:r>
            <w:r>
              <w:rPr>
                <w:rFonts w:ascii="Times New Roman" w:hAnsi="Times New Roman"/>
                <w:kern w:val="0"/>
                <w:sz w:val="18"/>
                <w:szCs w:val="18"/>
                <w:lang w:eastAsia="en-US"/>
              </w:rPr>
              <w:t>型的</w:t>
            </w:r>
            <w:r>
              <w:rPr>
                <w:rFonts w:ascii="Times New Roman" w:hAnsi="Times New Roman"/>
                <w:spacing w:val="-68"/>
                <w:kern w:val="0"/>
                <w:sz w:val="18"/>
                <w:szCs w:val="18"/>
                <w:lang w:eastAsia="en-US"/>
              </w:rPr>
              <w:t xml:space="preserve"> </w:t>
            </w:r>
            <w:r>
              <w:rPr>
                <w:rFonts w:ascii="Times New Roman" w:hAnsi="Times New Roman"/>
                <w:spacing w:val="1"/>
                <w:kern w:val="0"/>
                <w:sz w:val="18"/>
                <w:szCs w:val="18"/>
                <w:lang w:eastAsia="en-US"/>
              </w:rPr>
              <w:t>VOCs</w:t>
            </w:r>
            <w:r>
              <w:rPr>
                <w:rFonts w:ascii="Times New Roman" w:hAnsi="Times New Roman"/>
                <w:kern w:val="0"/>
                <w:sz w:val="18"/>
                <w:szCs w:val="18"/>
                <w:lang w:eastAsia="zh-CN"/>
              </w:rPr>
              <w:t>污染源</w:t>
            </w:r>
            <w:r>
              <w:rPr>
                <w:rFonts w:ascii="Times New Roman" w:hAnsi="Times New Roman"/>
                <w:spacing w:val="2"/>
                <w:kern w:val="0"/>
                <w:sz w:val="18"/>
                <w:szCs w:val="18"/>
                <w:lang w:eastAsia="zh-CN"/>
              </w:rPr>
              <w:t>排</w:t>
            </w:r>
            <w:r>
              <w:rPr>
                <w:rFonts w:ascii="Times New Roman" w:hAnsi="Times New Roman"/>
                <w:kern w:val="0"/>
                <w:sz w:val="18"/>
                <w:szCs w:val="18"/>
                <w:lang w:eastAsia="zh-CN"/>
              </w:rPr>
              <w:t>放要求</w:t>
            </w:r>
          </w:p>
          <w:p>
            <w:pPr>
              <w:spacing w:line="229" w:lineRule="exact"/>
              <w:rPr>
                <w:rFonts w:ascii="Times New Roman" w:hAnsi="Times New Roman"/>
                <w:kern w:val="0"/>
                <w:sz w:val="18"/>
                <w:szCs w:val="18"/>
                <w:lang w:eastAsia="zh-CN"/>
              </w:rPr>
            </w:pPr>
            <w:r>
              <w:rPr>
                <w:rFonts w:ascii="Times New Roman" w:hAnsi="Times New Roman"/>
                <w:spacing w:val="1"/>
                <w:kern w:val="0"/>
                <w:sz w:val="18"/>
                <w:szCs w:val="18"/>
                <w:lang w:eastAsia="zh-CN"/>
              </w:rPr>
              <w:t>3</w:t>
            </w:r>
            <w:r>
              <w:rPr>
                <w:rFonts w:ascii="Times New Roman" w:hAnsi="Times New Roman"/>
                <w:kern w:val="0"/>
                <w:sz w:val="18"/>
                <w:szCs w:val="18"/>
                <w:lang w:eastAsia="zh-CN"/>
              </w:rPr>
              <w:t>、缩短了</w:t>
            </w:r>
            <w:r>
              <w:rPr>
                <w:rFonts w:ascii="Times New Roman" w:hAnsi="Times New Roman"/>
                <w:spacing w:val="2"/>
                <w:kern w:val="0"/>
                <w:sz w:val="18"/>
                <w:szCs w:val="18"/>
                <w:lang w:eastAsia="zh-CN"/>
              </w:rPr>
              <w:t>排</w:t>
            </w:r>
            <w:r>
              <w:rPr>
                <w:rFonts w:ascii="Times New Roman" w:hAnsi="Times New Roman"/>
                <w:kern w:val="0"/>
                <w:sz w:val="18"/>
                <w:szCs w:val="18"/>
                <w:lang w:eastAsia="zh-CN"/>
              </w:rPr>
              <w:t>放烟</w:t>
            </w:r>
            <w:r>
              <w:rPr>
                <w:rFonts w:ascii="Times New Roman" w:hAnsi="Times New Roman"/>
                <w:spacing w:val="2"/>
                <w:kern w:val="0"/>
                <w:sz w:val="18"/>
                <w:szCs w:val="18"/>
                <w:lang w:eastAsia="zh-CN"/>
              </w:rPr>
              <w:t>囱</w:t>
            </w:r>
            <w:r>
              <w:rPr>
                <w:rFonts w:ascii="Times New Roman" w:hAnsi="Times New Roman"/>
                <w:spacing w:val="1"/>
                <w:kern w:val="0"/>
                <w:sz w:val="18"/>
                <w:szCs w:val="18"/>
                <w:lang w:eastAsia="zh-CN"/>
              </w:rPr>
              <w:t>高</w:t>
            </w:r>
            <w:r>
              <w:rPr>
                <w:rFonts w:ascii="Times New Roman" w:hAnsi="Times New Roman"/>
                <w:kern w:val="0"/>
                <w:sz w:val="18"/>
                <w:szCs w:val="18"/>
                <w:lang w:eastAsia="zh-CN"/>
              </w:rPr>
              <w:t>度</w:t>
            </w:r>
          </w:p>
          <w:p>
            <w:pPr>
              <w:spacing w:line="229" w:lineRule="exact"/>
              <w:rPr>
                <w:rFonts w:ascii="Times New Roman" w:hAnsi="Times New Roman"/>
                <w:kern w:val="0"/>
                <w:sz w:val="18"/>
                <w:szCs w:val="18"/>
                <w:lang w:eastAsia="zh-CN"/>
              </w:rPr>
            </w:pPr>
            <w:r>
              <w:rPr>
                <w:rFonts w:ascii="Times New Roman" w:hAnsi="Times New Roman"/>
                <w:spacing w:val="1"/>
                <w:kern w:val="0"/>
                <w:sz w:val="18"/>
                <w:szCs w:val="18"/>
                <w:lang w:eastAsia="zh-CN"/>
              </w:rPr>
              <w:t>4</w:t>
            </w:r>
            <w:r>
              <w:rPr>
                <w:rFonts w:ascii="Times New Roman" w:hAnsi="Times New Roman"/>
                <w:kern w:val="0"/>
                <w:sz w:val="18"/>
                <w:szCs w:val="18"/>
                <w:lang w:eastAsia="zh-CN"/>
              </w:rPr>
              <w:t>、制订了</w:t>
            </w:r>
            <w:r>
              <w:rPr>
                <w:rFonts w:ascii="Times New Roman" w:hAnsi="Times New Roman"/>
                <w:spacing w:val="-60"/>
                <w:kern w:val="0"/>
                <w:sz w:val="18"/>
                <w:szCs w:val="18"/>
                <w:lang w:eastAsia="zh-CN"/>
              </w:rPr>
              <w:t xml:space="preserve"> </w:t>
            </w:r>
            <w:r>
              <w:rPr>
                <w:rFonts w:ascii="Times New Roman" w:hAnsi="Times New Roman"/>
                <w:spacing w:val="1"/>
                <w:kern w:val="0"/>
                <w:sz w:val="18"/>
                <w:szCs w:val="18"/>
                <w:lang w:eastAsia="zh-CN"/>
              </w:rPr>
              <w:t>VOC</w:t>
            </w:r>
            <w:r>
              <w:rPr>
                <w:rFonts w:ascii="Times New Roman" w:hAnsi="Times New Roman"/>
                <w:kern w:val="0"/>
                <w:sz w:val="18"/>
                <w:szCs w:val="18"/>
                <w:lang w:eastAsia="zh-CN"/>
              </w:rPr>
              <w:t>s</w:t>
            </w:r>
            <w:r>
              <w:rPr>
                <w:rFonts w:ascii="Times New Roman" w:hAnsi="Times New Roman"/>
                <w:spacing w:val="-58"/>
                <w:kern w:val="0"/>
                <w:sz w:val="18"/>
                <w:szCs w:val="18"/>
                <w:lang w:eastAsia="zh-CN"/>
              </w:rPr>
              <w:t xml:space="preserve"> </w:t>
            </w:r>
            <w:r>
              <w:rPr>
                <w:rFonts w:ascii="Times New Roman" w:hAnsi="Times New Roman"/>
                <w:kern w:val="0"/>
                <w:sz w:val="18"/>
                <w:szCs w:val="18"/>
                <w:lang w:eastAsia="zh-CN"/>
              </w:rPr>
              <w:t>的排放限值和</w:t>
            </w:r>
            <w:r>
              <w:rPr>
                <w:rFonts w:ascii="Times New Roman" w:hAnsi="Times New Roman"/>
                <w:spacing w:val="2"/>
                <w:kern w:val="0"/>
                <w:sz w:val="18"/>
                <w:szCs w:val="18"/>
                <w:lang w:eastAsia="zh-CN"/>
              </w:rPr>
              <w:t>汽</w:t>
            </w:r>
            <w:r>
              <w:rPr>
                <w:rFonts w:ascii="Times New Roman" w:hAnsi="Times New Roman"/>
                <w:kern w:val="0"/>
                <w:sz w:val="18"/>
                <w:szCs w:val="18"/>
                <w:lang w:eastAsia="zh-CN"/>
              </w:rPr>
              <w:t>车制</w:t>
            </w:r>
            <w:r>
              <w:rPr>
                <w:rFonts w:ascii="Times New Roman" w:hAnsi="Times New Roman"/>
                <w:spacing w:val="2"/>
                <w:kern w:val="0"/>
                <w:sz w:val="18"/>
                <w:szCs w:val="18"/>
                <w:lang w:eastAsia="zh-CN"/>
              </w:rPr>
              <w:t>造</w:t>
            </w:r>
            <w:r>
              <w:rPr>
                <w:rFonts w:ascii="Times New Roman" w:hAnsi="Times New Roman"/>
                <w:kern w:val="0"/>
                <w:sz w:val="18"/>
                <w:szCs w:val="18"/>
                <w:lang w:eastAsia="zh-CN"/>
              </w:rPr>
              <w:t>、干洗等行业</w:t>
            </w:r>
            <w:r>
              <w:rPr>
                <w:rFonts w:ascii="Times New Roman" w:hAnsi="Times New Roman"/>
                <w:spacing w:val="2"/>
                <w:kern w:val="0"/>
                <w:sz w:val="18"/>
                <w:szCs w:val="18"/>
                <w:lang w:eastAsia="zh-CN"/>
              </w:rPr>
              <w:t>的</w:t>
            </w:r>
            <w:r>
              <w:rPr>
                <w:rFonts w:ascii="Times New Roman" w:hAnsi="Times New Roman"/>
                <w:kern w:val="0"/>
                <w:sz w:val="18"/>
                <w:szCs w:val="18"/>
                <w:lang w:eastAsia="zh-CN"/>
              </w:rPr>
              <w:t>技术</w:t>
            </w:r>
            <w:r>
              <w:rPr>
                <w:rFonts w:ascii="Times New Roman" w:hAnsi="Times New Roman"/>
                <w:spacing w:val="2"/>
                <w:kern w:val="0"/>
                <w:sz w:val="18"/>
                <w:szCs w:val="18"/>
                <w:lang w:eastAsia="zh-CN"/>
              </w:rPr>
              <w:t>要</w:t>
            </w:r>
            <w:r>
              <w:rPr>
                <w:rFonts w:ascii="Times New Roman" w:hAnsi="Times New Roman"/>
                <w:kern w:val="0"/>
                <w:sz w:val="18"/>
                <w:szCs w:val="18"/>
                <w:lang w:eastAsia="zh-CN"/>
              </w:rPr>
              <w:t>求。</w:t>
            </w:r>
          </w:p>
        </w:tc>
        <w:tc>
          <w:tcPr>
            <w:tcW w:w="1414" w:type="pct"/>
            <w:tcBorders>
              <w:top w:val="single" w:color="000000" w:sz="4" w:space="0"/>
              <w:left w:val="single" w:color="000000" w:sz="4" w:space="0"/>
              <w:right w:val="single" w:color="000000" w:sz="4" w:space="0"/>
            </w:tcBorders>
            <w:vAlign w:val="center"/>
          </w:tcPr>
          <w:p>
            <w:pPr>
              <w:spacing w:line="229" w:lineRule="exact"/>
              <w:rPr>
                <w:rFonts w:ascii="Times New Roman" w:hAnsi="Times New Roman"/>
                <w:kern w:val="0"/>
                <w:sz w:val="18"/>
                <w:szCs w:val="18"/>
                <w:lang w:eastAsia="zh-CN"/>
              </w:rPr>
            </w:pPr>
            <w:r>
              <w:rPr>
                <w:rFonts w:ascii="Times New Roman" w:hAnsi="Times New Roman"/>
                <w:spacing w:val="1"/>
                <w:kern w:val="0"/>
                <w:sz w:val="18"/>
                <w:szCs w:val="18"/>
                <w:lang w:eastAsia="zh-CN"/>
              </w:rPr>
              <w:t>1</w:t>
            </w:r>
            <w:r>
              <w:rPr>
                <w:rFonts w:ascii="Times New Roman" w:hAnsi="Times New Roman"/>
                <w:kern w:val="0"/>
                <w:sz w:val="18"/>
                <w:szCs w:val="18"/>
                <w:lang w:eastAsia="zh-CN"/>
              </w:rPr>
              <w:t>、仍然延</w:t>
            </w:r>
            <w:r>
              <w:rPr>
                <w:rFonts w:ascii="Times New Roman" w:hAnsi="Times New Roman"/>
                <w:spacing w:val="2"/>
                <w:kern w:val="0"/>
                <w:sz w:val="18"/>
                <w:szCs w:val="18"/>
                <w:lang w:eastAsia="zh-CN"/>
              </w:rPr>
              <w:t>续</w:t>
            </w:r>
            <w:r>
              <w:rPr>
                <w:rFonts w:ascii="Times New Roman" w:hAnsi="Times New Roman"/>
                <w:kern w:val="0"/>
                <w:sz w:val="18"/>
                <w:szCs w:val="18"/>
                <w:lang w:eastAsia="zh-CN"/>
              </w:rPr>
              <w:t>了排</w:t>
            </w:r>
            <w:r>
              <w:rPr>
                <w:rFonts w:ascii="Times New Roman" w:hAnsi="Times New Roman"/>
                <w:spacing w:val="2"/>
                <w:kern w:val="0"/>
                <w:sz w:val="18"/>
                <w:szCs w:val="18"/>
                <w:lang w:eastAsia="zh-CN"/>
              </w:rPr>
              <w:t>放</w:t>
            </w:r>
            <w:r>
              <w:rPr>
                <w:rFonts w:ascii="Times New Roman" w:hAnsi="Times New Roman"/>
                <w:kern w:val="0"/>
                <w:sz w:val="18"/>
                <w:szCs w:val="18"/>
                <w:lang w:eastAsia="zh-CN"/>
              </w:rPr>
              <w:t>烟囱高度。</w:t>
            </w:r>
          </w:p>
          <w:p>
            <w:pPr>
              <w:spacing w:line="229" w:lineRule="exact"/>
              <w:rPr>
                <w:rFonts w:ascii="Times New Roman" w:hAnsi="Times New Roman"/>
                <w:kern w:val="0"/>
                <w:sz w:val="18"/>
                <w:szCs w:val="18"/>
                <w:lang w:eastAsia="zh-CN"/>
              </w:rPr>
            </w:pPr>
            <w:r>
              <w:rPr>
                <w:rFonts w:ascii="Times New Roman" w:hAnsi="Times New Roman"/>
                <w:spacing w:val="1"/>
                <w:kern w:val="0"/>
                <w:sz w:val="18"/>
                <w:szCs w:val="18"/>
                <w:lang w:eastAsia="zh-CN"/>
              </w:rPr>
              <w:t>2</w:t>
            </w:r>
            <w:r>
              <w:rPr>
                <w:rFonts w:ascii="Times New Roman" w:hAnsi="Times New Roman"/>
                <w:kern w:val="0"/>
                <w:sz w:val="18"/>
                <w:szCs w:val="18"/>
                <w:lang w:eastAsia="zh-CN"/>
              </w:rPr>
              <w:t>、表面涂</w:t>
            </w:r>
            <w:r>
              <w:rPr>
                <w:rFonts w:ascii="Times New Roman" w:hAnsi="Times New Roman"/>
                <w:spacing w:val="2"/>
                <w:kern w:val="0"/>
                <w:sz w:val="18"/>
                <w:szCs w:val="18"/>
                <w:lang w:eastAsia="zh-CN"/>
              </w:rPr>
              <w:t>装</w:t>
            </w:r>
            <w:r>
              <w:rPr>
                <w:rFonts w:ascii="Times New Roman" w:hAnsi="Times New Roman"/>
                <w:kern w:val="0"/>
                <w:sz w:val="18"/>
                <w:szCs w:val="18"/>
                <w:lang w:eastAsia="zh-CN"/>
              </w:rPr>
              <w:t>行业</w:t>
            </w:r>
            <w:r>
              <w:rPr>
                <w:rFonts w:ascii="Times New Roman" w:hAnsi="Times New Roman"/>
                <w:spacing w:val="2"/>
                <w:kern w:val="0"/>
                <w:sz w:val="18"/>
                <w:szCs w:val="18"/>
                <w:lang w:eastAsia="zh-CN"/>
              </w:rPr>
              <w:t>的</w:t>
            </w:r>
            <w:r>
              <w:rPr>
                <w:rFonts w:ascii="Times New Roman" w:hAnsi="Times New Roman"/>
                <w:kern w:val="0"/>
                <w:sz w:val="18"/>
                <w:szCs w:val="18"/>
                <w:lang w:eastAsia="zh-CN"/>
              </w:rPr>
              <w:t>技术要求尚比</w:t>
            </w:r>
            <w:r>
              <w:rPr>
                <w:rFonts w:ascii="Times New Roman" w:hAnsi="Times New Roman"/>
                <w:spacing w:val="2"/>
                <w:kern w:val="0"/>
                <w:sz w:val="18"/>
                <w:szCs w:val="18"/>
                <w:lang w:eastAsia="zh-CN"/>
              </w:rPr>
              <w:t>较</w:t>
            </w:r>
            <w:r>
              <w:rPr>
                <w:rFonts w:ascii="Times New Roman" w:hAnsi="Times New Roman"/>
                <w:kern w:val="0"/>
                <w:sz w:val="18"/>
                <w:szCs w:val="18"/>
                <w:lang w:eastAsia="zh-CN"/>
              </w:rPr>
              <w:t>欠缺。</w:t>
            </w:r>
          </w:p>
          <w:p>
            <w:pPr>
              <w:spacing w:line="229" w:lineRule="exact"/>
              <w:rPr>
                <w:rFonts w:ascii="Times New Roman" w:hAnsi="Times New Roman"/>
                <w:kern w:val="0"/>
                <w:sz w:val="18"/>
                <w:szCs w:val="18"/>
                <w:lang w:eastAsia="zh-CN"/>
              </w:rPr>
            </w:pPr>
            <w:r>
              <w:rPr>
                <w:rFonts w:ascii="Times New Roman" w:hAnsi="Times New Roman"/>
                <w:spacing w:val="1"/>
                <w:kern w:val="0"/>
                <w:sz w:val="18"/>
                <w:szCs w:val="18"/>
                <w:lang w:eastAsia="zh-CN"/>
              </w:rPr>
              <w:t>3</w:t>
            </w:r>
            <w:r>
              <w:rPr>
                <w:rFonts w:ascii="Times New Roman" w:hAnsi="Times New Roman"/>
                <w:kern w:val="0"/>
                <w:sz w:val="18"/>
                <w:szCs w:val="18"/>
                <w:lang w:eastAsia="zh-CN"/>
              </w:rPr>
              <w:t>、过于严格</w:t>
            </w:r>
          </w:p>
        </w:tc>
      </w:tr>
      <w:tr>
        <w:tblPrEx>
          <w:tblCellMar>
            <w:top w:w="0" w:type="dxa"/>
            <w:left w:w="0" w:type="dxa"/>
            <w:bottom w:w="0" w:type="dxa"/>
            <w:right w:w="0" w:type="dxa"/>
          </w:tblCellMar>
        </w:tblPrEx>
        <w:trPr>
          <w:trHeight w:val="20" w:hRule="atLeast"/>
        </w:trPr>
        <w:tc>
          <w:tcPr>
            <w:tcW w:w="678" w:type="pct"/>
            <w:tcBorders>
              <w:top w:val="single" w:color="000000" w:sz="4" w:space="0"/>
              <w:left w:val="single" w:color="000000" w:sz="4" w:space="0"/>
              <w:right w:val="single" w:color="000000" w:sz="4" w:space="0"/>
            </w:tcBorders>
            <w:vAlign w:val="center"/>
          </w:tcPr>
          <w:p>
            <w:pPr>
              <w:spacing w:line="229" w:lineRule="exact"/>
              <w:jc w:val="left"/>
              <w:rPr>
                <w:rFonts w:ascii="Times New Roman" w:hAnsi="Times New Roman"/>
                <w:kern w:val="0"/>
                <w:sz w:val="18"/>
                <w:szCs w:val="18"/>
                <w:lang w:eastAsia="zh-CN"/>
              </w:rPr>
            </w:pPr>
            <w:r>
              <w:rPr>
                <w:rFonts w:ascii="Times New Roman" w:hAnsi="Times New Roman"/>
                <w:kern w:val="0"/>
                <w:sz w:val="18"/>
                <w:szCs w:val="18"/>
                <w:lang w:eastAsia="zh-CN"/>
              </w:rPr>
              <w:t>厦门市</w:t>
            </w:r>
            <w:r>
              <w:rPr>
                <w:rFonts w:ascii="Times New Roman" w:hAnsi="Times New Roman"/>
                <w:spacing w:val="2"/>
                <w:kern w:val="0"/>
                <w:sz w:val="18"/>
                <w:szCs w:val="18"/>
                <w:lang w:eastAsia="zh-CN"/>
              </w:rPr>
              <w:t>大</w:t>
            </w:r>
            <w:r>
              <w:rPr>
                <w:rFonts w:ascii="Times New Roman" w:hAnsi="Times New Roman"/>
                <w:kern w:val="0"/>
                <w:sz w:val="18"/>
                <w:szCs w:val="18"/>
                <w:lang w:eastAsia="zh-CN"/>
              </w:rPr>
              <w:t>气污染物排放</w:t>
            </w:r>
            <w:r>
              <w:rPr>
                <w:rFonts w:ascii="Times New Roman" w:hAnsi="Times New Roman"/>
                <w:spacing w:val="2"/>
                <w:kern w:val="0"/>
                <w:sz w:val="18"/>
                <w:szCs w:val="18"/>
                <w:lang w:eastAsia="zh-CN"/>
              </w:rPr>
              <w:t>标</w:t>
            </w:r>
            <w:r>
              <w:rPr>
                <w:rFonts w:ascii="Times New Roman" w:hAnsi="Times New Roman"/>
                <w:kern w:val="0"/>
                <w:sz w:val="18"/>
                <w:szCs w:val="18"/>
                <w:lang w:eastAsia="zh-CN"/>
              </w:rPr>
              <w:t>准</w:t>
            </w:r>
            <w:r>
              <w:rPr>
                <w:rFonts w:ascii="Times New Roman" w:hAnsi="Times New Roman"/>
                <w:spacing w:val="1"/>
                <w:kern w:val="0"/>
                <w:sz w:val="18"/>
                <w:szCs w:val="18"/>
                <w:lang w:eastAsia="zh-CN"/>
              </w:rPr>
              <w:t>DB3</w:t>
            </w:r>
            <w:r>
              <w:rPr>
                <w:rFonts w:ascii="Times New Roman" w:hAnsi="Times New Roman"/>
                <w:spacing w:val="-2"/>
                <w:kern w:val="0"/>
                <w:sz w:val="18"/>
                <w:szCs w:val="18"/>
                <w:lang w:eastAsia="zh-CN"/>
              </w:rPr>
              <w:t>5</w:t>
            </w:r>
            <w:r>
              <w:rPr>
                <w:rFonts w:ascii="Times New Roman" w:hAnsi="Times New Roman"/>
                <w:spacing w:val="1"/>
                <w:kern w:val="0"/>
                <w:sz w:val="18"/>
                <w:szCs w:val="18"/>
                <w:lang w:eastAsia="zh-CN"/>
              </w:rPr>
              <w:t>/3</w:t>
            </w:r>
            <w:r>
              <w:rPr>
                <w:rFonts w:ascii="Times New Roman" w:hAnsi="Times New Roman"/>
                <w:spacing w:val="-2"/>
                <w:kern w:val="0"/>
                <w:sz w:val="18"/>
                <w:szCs w:val="18"/>
                <w:lang w:eastAsia="zh-CN"/>
              </w:rPr>
              <w:t>2</w:t>
            </w:r>
            <w:r>
              <w:rPr>
                <w:rFonts w:ascii="Times New Roman" w:hAnsi="Times New Roman"/>
                <w:spacing w:val="2"/>
                <w:kern w:val="0"/>
                <w:sz w:val="18"/>
                <w:szCs w:val="18"/>
                <w:lang w:eastAsia="zh-CN"/>
              </w:rPr>
              <w:t>3</w:t>
            </w:r>
            <w:r>
              <w:rPr>
                <w:rFonts w:ascii="Times New Roman" w:hAnsi="Times New Roman"/>
                <w:spacing w:val="1"/>
                <w:kern w:val="0"/>
                <w:sz w:val="18"/>
                <w:szCs w:val="18"/>
                <w:lang w:eastAsia="zh-CN"/>
              </w:rPr>
              <w:t>-</w:t>
            </w:r>
            <w:r>
              <w:rPr>
                <w:rFonts w:ascii="Times New Roman" w:hAnsi="Times New Roman"/>
                <w:spacing w:val="-2"/>
                <w:kern w:val="0"/>
                <w:sz w:val="18"/>
                <w:szCs w:val="18"/>
                <w:lang w:eastAsia="zh-CN"/>
              </w:rPr>
              <w:t>2</w:t>
            </w:r>
            <w:r>
              <w:rPr>
                <w:rFonts w:ascii="Times New Roman" w:hAnsi="Times New Roman"/>
                <w:spacing w:val="1"/>
                <w:kern w:val="0"/>
                <w:sz w:val="18"/>
                <w:szCs w:val="18"/>
                <w:lang w:eastAsia="zh-CN"/>
              </w:rPr>
              <w:t>01</w:t>
            </w:r>
            <w:r>
              <w:rPr>
                <w:rFonts w:ascii="Times New Roman" w:hAnsi="Times New Roman"/>
                <w:kern w:val="0"/>
                <w:sz w:val="18"/>
                <w:szCs w:val="18"/>
                <w:lang w:eastAsia="zh-CN"/>
              </w:rPr>
              <w:t>1</w:t>
            </w:r>
          </w:p>
        </w:tc>
        <w:tc>
          <w:tcPr>
            <w:tcW w:w="678" w:type="pct"/>
            <w:tcBorders>
              <w:top w:val="single" w:color="000000" w:sz="4" w:space="0"/>
              <w:left w:val="single" w:color="000000" w:sz="4" w:space="0"/>
              <w:right w:val="single" w:color="000000" w:sz="4" w:space="0"/>
            </w:tcBorders>
            <w:vAlign w:val="center"/>
          </w:tcPr>
          <w:p>
            <w:pPr>
              <w:jc w:val="center"/>
              <w:rPr>
                <w:rFonts w:ascii="Times New Roman" w:hAnsi="Times New Roman"/>
                <w:kern w:val="0"/>
                <w:sz w:val="18"/>
                <w:szCs w:val="18"/>
                <w:lang w:eastAsia="zh-CN"/>
              </w:rPr>
            </w:pPr>
            <w:r>
              <w:rPr>
                <w:rFonts w:hint="eastAsia" w:ascii="Times New Roman" w:hAnsi="Times New Roman"/>
                <w:kern w:val="0"/>
                <w:sz w:val="18"/>
                <w:szCs w:val="18"/>
                <w:lang w:eastAsia="zh-CN"/>
              </w:rPr>
              <w:t>/</w:t>
            </w:r>
          </w:p>
        </w:tc>
        <w:tc>
          <w:tcPr>
            <w:tcW w:w="1375" w:type="pct"/>
            <w:tcBorders>
              <w:top w:val="single" w:color="000000" w:sz="4" w:space="0"/>
              <w:left w:val="single" w:color="000000" w:sz="4" w:space="0"/>
              <w:right w:val="single" w:color="000000" w:sz="4" w:space="0"/>
            </w:tcBorders>
            <w:vAlign w:val="center"/>
          </w:tcPr>
          <w:p>
            <w:pPr>
              <w:spacing w:line="229" w:lineRule="exact"/>
              <w:rPr>
                <w:rFonts w:ascii="Times New Roman" w:hAnsi="Times New Roman"/>
                <w:kern w:val="0"/>
                <w:sz w:val="18"/>
                <w:szCs w:val="18"/>
                <w:lang w:eastAsia="zh-CN"/>
              </w:rPr>
            </w:pPr>
            <w:r>
              <w:rPr>
                <w:rFonts w:ascii="Times New Roman" w:hAnsi="Times New Roman"/>
                <w:spacing w:val="1"/>
                <w:kern w:val="0"/>
                <w:sz w:val="18"/>
                <w:szCs w:val="18"/>
                <w:lang w:eastAsia="zh-CN"/>
              </w:rPr>
              <w:t>1</w:t>
            </w:r>
            <w:r>
              <w:rPr>
                <w:rFonts w:ascii="Times New Roman" w:hAnsi="Times New Roman"/>
                <w:kern w:val="0"/>
                <w:sz w:val="18"/>
                <w:szCs w:val="18"/>
                <w:lang w:eastAsia="zh-CN"/>
              </w:rPr>
              <w:t>、规定了</w:t>
            </w:r>
            <w:r>
              <w:rPr>
                <w:rFonts w:ascii="Times New Roman" w:hAnsi="Times New Roman"/>
                <w:spacing w:val="-65"/>
                <w:kern w:val="0"/>
                <w:sz w:val="18"/>
                <w:szCs w:val="18"/>
                <w:lang w:eastAsia="zh-CN"/>
              </w:rPr>
              <w:t xml:space="preserve"> </w:t>
            </w:r>
            <w:r>
              <w:rPr>
                <w:rFonts w:ascii="Times New Roman" w:hAnsi="Times New Roman"/>
                <w:spacing w:val="1"/>
                <w:kern w:val="0"/>
                <w:sz w:val="18"/>
                <w:szCs w:val="18"/>
                <w:lang w:eastAsia="zh-CN"/>
              </w:rPr>
              <w:t>1</w:t>
            </w:r>
            <w:r>
              <w:rPr>
                <w:rFonts w:ascii="Times New Roman" w:hAnsi="Times New Roman"/>
                <w:kern w:val="0"/>
                <w:sz w:val="18"/>
                <w:szCs w:val="18"/>
                <w:lang w:eastAsia="zh-CN"/>
              </w:rPr>
              <w:t>6</w:t>
            </w:r>
            <w:r>
              <w:rPr>
                <w:rFonts w:ascii="Times New Roman" w:hAnsi="Times New Roman"/>
                <w:spacing w:val="-63"/>
                <w:kern w:val="0"/>
                <w:sz w:val="18"/>
                <w:szCs w:val="18"/>
                <w:lang w:eastAsia="zh-CN"/>
              </w:rPr>
              <w:t xml:space="preserve"> </w:t>
            </w:r>
            <w:r>
              <w:rPr>
                <w:rFonts w:ascii="Times New Roman" w:hAnsi="Times New Roman"/>
                <w:kern w:val="0"/>
                <w:sz w:val="18"/>
                <w:szCs w:val="18"/>
                <w:lang w:eastAsia="zh-CN"/>
              </w:rPr>
              <w:t>项指标</w:t>
            </w:r>
            <w:r>
              <w:rPr>
                <w:rFonts w:ascii="Times New Roman" w:hAnsi="Times New Roman"/>
                <w:spacing w:val="2"/>
                <w:kern w:val="0"/>
                <w:sz w:val="18"/>
                <w:szCs w:val="18"/>
                <w:lang w:eastAsia="zh-CN"/>
              </w:rPr>
              <w:t>的</w:t>
            </w:r>
            <w:r>
              <w:rPr>
                <w:rFonts w:ascii="Times New Roman" w:hAnsi="Times New Roman"/>
                <w:kern w:val="0"/>
                <w:sz w:val="18"/>
                <w:szCs w:val="18"/>
                <w:lang w:eastAsia="zh-CN"/>
              </w:rPr>
              <w:t>排</w:t>
            </w:r>
            <w:r>
              <w:rPr>
                <w:rFonts w:ascii="Times New Roman" w:hAnsi="Times New Roman"/>
                <w:spacing w:val="2"/>
                <w:kern w:val="0"/>
                <w:sz w:val="18"/>
                <w:szCs w:val="18"/>
                <w:lang w:eastAsia="zh-CN"/>
              </w:rPr>
              <w:t>放</w:t>
            </w:r>
            <w:r>
              <w:rPr>
                <w:rFonts w:ascii="Times New Roman" w:hAnsi="Times New Roman"/>
                <w:kern w:val="0"/>
                <w:sz w:val="18"/>
                <w:szCs w:val="18"/>
                <w:lang w:eastAsia="zh-CN"/>
              </w:rPr>
              <w:t>限值；</w:t>
            </w:r>
          </w:p>
          <w:p>
            <w:pPr>
              <w:spacing w:line="229" w:lineRule="exact"/>
              <w:rPr>
                <w:rFonts w:ascii="Times New Roman" w:hAnsi="Times New Roman"/>
                <w:kern w:val="0"/>
                <w:sz w:val="18"/>
                <w:szCs w:val="18"/>
                <w:lang w:eastAsia="zh-CN"/>
              </w:rPr>
            </w:pPr>
            <w:r>
              <w:rPr>
                <w:rFonts w:ascii="Times New Roman" w:hAnsi="Times New Roman"/>
                <w:spacing w:val="1"/>
                <w:kern w:val="0"/>
                <w:sz w:val="18"/>
                <w:szCs w:val="18"/>
                <w:lang w:eastAsia="zh-CN"/>
              </w:rPr>
              <w:t>2</w:t>
            </w:r>
            <w:r>
              <w:rPr>
                <w:rFonts w:ascii="Times New Roman" w:hAnsi="Times New Roman"/>
                <w:kern w:val="0"/>
                <w:sz w:val="18"/>
                <w:szCs w:val="18"/>
                <w:lang w:eastAsia="zh-CN"/>
              </w:rPr>
              <w:t>、增加了</w:t>
            </w:r>
            <w:r>
              <w:rPr>
                <w:rFonts w:ascii="Times New Roman" w:hAnsi="Times New Roman"/>
                <w:spacing w:val="2"/>
                <w:kern w:val="0"/>
                <w:sz w:val="18"/>
                <w:szCs w:val="18"/>
                <w:lang w:eastAsia="zh-CN"/>
              </w:rPr>
              <w:t>乙</w:t>
            </w:r>
            <w:r>
              <w:rPr>
                <w:rFonts w:ascii="Times New Roman" w:hAnsi="Times New Roman"/>
                <w:kern w:val="0"/>
                <w:sz w:val="18"/>
                <w:szCs w:val="18"/>
                <w:lang w:eastAsia="zh-CN"/>
              </w:rPr>
              <w:t>酸甲</w:t>
            </w:r>
            <w:r>
              <w:rPr>
                <w:rFonts w:ascii="Times New Roman" w:hAnsi="Times New Roman"/>
                <w:spacing w:val="2"/>
                <w:kern w:val="0"/>
                <w:sz w:val="18"/>
                <w:szCs w:val="18"/>
                <w:lang w:eastAsia="zh-CN"/>
              </w:rPr>
              <w:t>酯</w:t>
            </w:r>
            <w:r>
              <w:rPr>
                <w:rFonts w:ascii="Times New Roman" w:hAnsi="Times New Roman"/>
                <w:kern w:val="0"/>
                <w:sz w:val="18"/>
                <w:szCs w:val="18"/>
                <w:lang w:eastAsia="zh-CN"/>
              </w:rPr>
              <w:t>、乙</w:t>
            </w:r>
            <w:r>
              <w:rPr>
                <w:rFonts w:ascii="Times New Roman" w:hAnsi="Times New Roman"/>
                <w:spacing w:val="2"/>
                <w:kern w:val="0"/>
                <w:sz w:val="18"/>
                <w:szCs w:val="18"/>
                <w:lang w:eastAsia="zh-CN"/>
              </w:rPr>
              <w:t>酸</w:t>
            </w:r>
            <w:r>
              <w:rPr>
                <w:rFonts w:ascii="Times New Roman" w:hAnsi="Times New Roman"/>
                <w:kern w:val="0"/>
                <w:sz w:val="18"/>
                <w:szCs w:val="18"/>
                <w:lang w:eastAsia="zh-CN"/>
              </w:rPr>
              <w:t>乙酯、</w:t>
            </w:r>
            <w:r>
              <w:rPr>
                <w:rFonts w:ascii="Times New Roman" w:hAnsi="Times New Roman"/>
                <w:spacing w:val="2"/>
                <w:kern w:val="0"/>
                <w:sz w:val="18"/>
                <w:szCs w:val="18"/>
                <w:lang w:eastAsia="zh-CN"/>
              </w:rPr>
              <w:t>丙</w:t>
            </w:r>
            <w:r>
              <w:rPr>
                <w:rFonts w:ascii="Times New Roman" w:hAnsi="Times New Roman"/>
                <w:kern w:val="0"/>
                <w:sz w:val="18"/>
                <w:szCs w:val="18"/>
                <w:lang w:eastAsia="zh-CN"/>
              </w:rPr>
              <w:t>酮、</w:t>
            </w:r>
            <w:r>
              <w:rPr>
                <w:rFonts w:ascii="Times New Roman" w:hAnsi="Times New Roman"/>
                <w:spacing w:val="2"/>
                <w:kern w:val="0"/>
                <w:sz w:val="18"/>
                <w:szCs w:val="18"/>
                <w:lang w:eastAsia="zh-CN"/>
              </w:rPr>
              <w:t>环</w:t>
            </w:r>
            <w:r>
              <w:rPr>
                <w:rFonts w:ascii="Times New Roman" w:hAnsi="Times New Roman"/>
                <w:kern w:val="0"/>
                <w:sz w:val="18"/>
                <w:szCs w:val="18"/>
                <w:lang w:eastAsia="zh-CN"/>
              </w:rPr>
              <w:t>己酮的指标</w:t>
            </w:r>
          </w:p>
          <w:p>
            <w:pPr>
              <w:spacing w:line="229" w:lineRule="exact"/>
              <w:rPr>
                <w:rFonts w:ascii="Times New Roman" w:hAnsi="Times New Roman"/>
                <w:kern w:val="0"/>
                <w:sz w:val="18"/>
                <w:szCs w:val="18"/>
                <w:lang w:eastAsia="zh-CN"/>
              </w:rPr>
            </w:pPr>
            <w:r>
              <w:rPr>
                <w:rFonts w:ascii="Times New Roman" w:hAnsi="Times New Roman"/>
                <w:spacing w:val="1"/>
                <w:kern w:val="0"/>
                <w:sz w:val="18"/>
                <w:szCs w:val="18"/>
                <w:lang w:eastAsia="zh-CN"/>
              </w:rPr>
              <w:t>3</w:t>
            </w:r>
            <w:r>
              <w:rPr>
                <w:rFonts w:ascii="Times New Roman" w:hAnsi="Times New Roman"/>
                <w:kern w:val="0"/>
                <w:sz w:val="18"/>
                <w:szCs w:val="18"/>
                <w:lang w:eastAsia="zh-CN"/>
              </w:rPr>
              <w:t>、增加了</w:t>
            </w:r>
            <w:r>
              <w:rPr>
                <w:rFonts w:ascii="Times New Roman" w:hAnsi="Times New Roman"/>
                <w:spacing w:val="2"/>
                <w:kern w:val="0"/>
                <w:sz w:val="18"/>
                <w:szCs w:val="18"/>
                <w:lang w:eastAsia="zh-CN"/>
              </w:rPr>
              <w:t>挥</w:t>
            </w:r>
            <w:r>
              <w:rPr>
                <w:rFonts w:ascii="Times New Roman" w:hAnsi="Times New Roman"/>
                <w:kern w:val="0"/>
                <w:sz w:val="18"/>
                <w:szCs w:val="18"/>
                <w:lang w:eastAsia="zh-CN"/>
              </w:rPr>
              <w:t>发性</w:t>
            </w:r>
            <w:r>
              <w:rPr>
                <w:rFonts w:ascii="Times New Roman" w:hAnsi="Times New Roman"/>
                <w:spacing w:val="2"/>
                <w:kern w:val="0"/>
                <w:sz w:val="18"/>
                <w:szCs w:val="18"/>
                <w:lang w:eastAsia="zh-CN"/>
              </w:rPr>
              <w:t>有</w:t>
            </w:r>
            <w:r>
              <w:rPr>
                <w:rFonts w:ascii="Times New Roman" w:hAnsi="Times New Roman"/>
                <w:kern w:val="0"/>
                <w:sz w:val="18"/>
                <w:szCs w:val="18"/>
                <w:lang w:eastAsia="zh-CN"/>
              </w:rPr>
              <w:t>机污</w:t>
            </w:r>
            <w:r>
              <w:rPr>
                <w:rFonts w:ascii="Times New Roman" w:hAnsi="Times New Roman"/>
                <w:spacing w:val="2"/>
                <w:kern w:val="0"/>
                <w:sz w:val="18"/>
                <w:szCs w:val="18"/>
                <w:lang w:eastAsia="zh-CN"/>
              </w:rPr>
              <w:t>染</w:t>
            </w:r>
            <w:r>
              <w:rPr>
                <w:rFonts w:ascii="Times New Roman" w:hAnsi="Times New Roman"/>
                <w:kern w:val="0"/>
                <w:sz w:val="18"/>
                <w:szCs w:val="18"/>
                <w:lang w:eastAsia="zh-CN"/>
              </w:rPr>
              <w:t>物的指</w:t>
            </w:r>
            <w:r>
              <w:rPr>
                <w:rFonts w:ascii="Times New Roman" w:hAnsi="Times New Roman"/>
                <w:spacing w:val="2"/>
                <w:kern w:val="0"/>
                <w:sz w:val="18"/>
                <w:szCs w:val="18"/>
                <w:lang w:eastAsia="zh-CN"/>
              </w:rPr>
              <w:t>标</w:t>
            </w:r>
            <w:r>
              <w:rPr>
                <w:rFonts w:ascii="Times New Roman" w:hAnsi="Times New Roman"/>
                <w:kern w:val="0"/>
                <w:sz w:val="18"/>
                <w:szCs w:val="18"/>
                <w:lang w:eastAsia="zh-CN"/>
              </w:rPr>
              <w:t>和执</w:t>
            </w:r>
            <w:r>
              <w:rPr>
                <w:rFonts w:ascii="Times New Roman" w:hAnsi="Times New Roman"/>
                <w:spacing w:val="2"/>
                <w:kern w:val="0"/>
                <w:sz w:val="18"/>
                <w:szCs w:val="18"/>
                <w:lang w:eastAsia="zh-CN"/>
              </w:rPr>
              <w:t>行</w:t>
            </w:r>
            <w:r>
              <w:rPr>
                <w:rFonts w:ascii="Times New Roman" w:hAnsi="Times New Roman"/>
                <w:kern w:val="0"/>
                <w:sz w:val="18"/>
                <w:szCs w:val="18"/>
                <w:lang w:eastAsia="zh-CN"/>
              </w:rPr>
              <w:t>标准；</w:t>
            </w:r>
          </w:p>
          <w:p>
            <w:pPr>
              <w:spacing w:line="229" w:lineRule="exact"/>
              <w:rPr>
                <w:rFonts w:ascii="Times New Roman" w:hAnsi="Times New Roman"/>
                <w:kern w:val="0"/>
                <w:sz w:val="18"/>
                <w:szCs w:val="18"/>
                <w:lang w:eastAsia="zh-CN"/>
              </w:rPr>
            </w:pPr>
            <w:r>
              <w:rPr>
                <w:rFonts w:ascii="Times New Roman" w:hAnsi="Times New Roman"/>
                <w:spacing w:val="1"/>
                <w:kern w:val="0"/>
                <w:sz w:val="18"/>
                <w:szCs w:val="18"/>
                <w:lang w:eastAsia="zh-CN"/>
              </w:rPr>
              <w:t>4</w:t>
            </w:r>
            <w:r>
              <w:rPr>
                <w:rFonts w:ascii="Times New Roman" w:hAnsi="Times New Roman"/>
                <w:kern w:val="0"/>
                <w:sz w:val="18"/>
                <w:szCs w:val="18"/>
                <w:lang w:eastAsia="zh-CN"/>
              </w:rPr>
              <w:t>、对餐饮</w:t>
            </w:r>
            <w:r>
              <w:rPr>
                <w:rFonts w:ascii="Times New Roman" w:hAnsi="Times New Roman"/>
                <w:spacing w:val="2"/>
                <w:kern w:val="0"/>
                <w:sz w:val="18"/>
                <w:szCs w:val="18"/>
                <w:lang w:eastAsia="zh-CN"/>
              </w:rPr>
              <w:t>业</w:t>
            </w:r>
            <w:r>
              <w:rPr>
                <w:rFonts w:ascii="Times New Roman" w:hAnsi="Times New Roman"/>
                <w:kern w:val="0"/>
                <w:sz w:val="18"/>
                <w:szCs w:val="18"/>
                <w:lang w:eastAsia="zh-CN"/>
              </w:rPr>
              <w:t>的排</w:t>
            </w:r>
            <w:r>
              <w:rPr>
                <w:rFonts w:ascii="Times New Roman" w:hAnsi="Times New Roman"/>
                <w:spacing w:val="2"/>
                <w:kern w:val="0"/>
                <w:sz w:val="18"/>
                <w:szCs w:val="18"/>
                <w:lang w:eastAsia="zh-CN"/>
              </w:rPr>
              <w:t>放</w:t>
            </w:r>
            <w:r>
              <w:rPr>
                <w:rFonts w:ascii="Times New Roman" w:hAnsi="Times New Roman"/>
                <w:kern w:val="0"/>
                <w:sz w:val="18"/>
                <w:szCs w:val="18"/>
                <w:lang w:eastAsia="zh-CN"/>
              </w:rPr>
              <w:t>高度</w:t>
            </w:r>
            <w:r>
              <w:rPr>
                <w:rFonts w:ascii="Times New Roman" w:hAnsi="Times New Roman"/>
                <w:spacing w:val="2"/>
                <w:kern w:val="0"/>
                <w:sz w:val="18"/>
                <w:szCs w:val="18"/>
                <w:lang w:eastAsia="zh-CN"/>
              </w:rPr>
              <w:t>提</w:t>
            </w:r>
            <w:r>
              <w:rPr>
                <w:rFonts w:ascii="Times New Roman" w:hAnsi="Times New Roman"/>
                <w:kern w:val="0"/>
                <w:sz w:val="18"/>
                <w:szCs w:val="18"/>
                <w:lang w:eastAsia="zh-CN"/>
              </w:rPr>
              <w:t>出了要</w:t>
            </w:r>
            <w:r>
              <w:rPr>
                <w:rFonts w:ascii="Times New Roman" w:hAnsi="Times New Roman"/>
                <w:spacing w:val="2"/>
                <w:kern w:val="0"/>
                <w:sz w:val="18"/>
                <w:szCs w:val="18"/>
                <w:lang w:eastAsia="zh-CN"/>
              </w:rPr>
              <w:t>求</w:t>
            </w:r>
            <w:r>
              <w:rPr>
                <w:rFonts w:ascii="Times New Roman" w:hAnsi="Times New Roman"/>
                <w:kern w:val="0"/>
                <w:sz w:val="18"/>
                <w:szCs w:val="18"/>
                <w:lang w:eastAsia="zh-CN"/>
              </w:rPr>
              <w:t>。</w:t>
            </w:r>
          </w:p>
        </w:tc>
        <w:tc>
          <w:tcPr>
            <w:tcW w:w="855" w:type="pct"/>
            <w:tcBorders>
              <w:top w:val="single" w:color="000000" w:sz="4" w:space="0"/>
              <w:left w:val="single" w:color="000000" w:sz="4" w:space="0"/>
              <w:right w:val="single" w:color="000000" w:sz="4" w:space="0"/>
            </w:tcBorders>
            <w:vAlign w:val="center"/>
          </w:tcPr>
          <w:p>
            <w:pPr>
              <w:spacing w:line="229" w:lineRule="exact"/>
              <w:rPr>
                <w:rFonts w:ascii="Times New Roman" w:hAnsi="Times New Roman"/>
                <w:kern w:val="0"/>
                <w:sz w:val="18"/>
                <w:szCs w:val="18"/>
                <w:lang w:eastAsia="zh-CN"/>
              </w:rPr>
            </w:pPr>
            <w:r>
              <w:rPr>
                <w:rFonts w:ascii="Times New Roman" w:hAnsi="Times New Roman"/>
                <w:spacing w:val="1"/>
                <w:kern w:val="0"/>
                <w:sz w:val="18"/>
                <w:szCs w:val="18"/>
                <w:lang w:eastAsia="zh-CN"/>
              </w:rPr>
              <w:t>1</w:t>
            </w:r>
            <w:r>
              <w:rPr>
                <w:rFonts w:ascii="Times New Roman" w:hAnsi="Times New Roman"/>
                <w:kern w:val="0"/>
                <w:sz w:val="18"/>
                <w:szCs w:val="18"/>
                <w:lang w:eastAsia="zh-CN"/>
              </w:rPr>
              <w:t>、增加了</w:t>
            </w:r>
            <w:r>
              <w:rPr>
                <w:rFonts w:ascii="Times New Roman" w:hAnsi="Times New Roman"/>
                <w:spacing w:val="2"/>
                <w:kern w:val="0"/>
                <w:sz w:val="18"/>
                <w:szCs w:val="18"/>
                <w:lang w:eastAsia="zh-CN"/>
              </w:rPr>
              <w:t>一</w:t>
            </w:r>
            <w:r>
              <w:rPr>
                <w:rFonts w:ascii="Times New Roman" w:hAnsi="Times New Roman"/>
                <w:kern w:val="0"/>
                <w:sz w:val="18"/>
                <w:szCs w:val="18"/>
                <w:lang w:eastAsia="zh-CN"/>
              </w:rPr>
              <w:t>些特</w:t>
            </w:r>
            <w:r>
              <w:rPr>
                <w:rFonts w:ascii="Times New Roman" w:hAnsi="Times New Roman"/>
                <w:spacing w:val="2"/>
                <w:kern w:val="0"/>
                <w:sz w:val="18"/>
                <w:szCs w:val="18"/>
                <w:lang w:eastAsia="zh-CN"/>
              </w:rPr>
              <w:t>征</w:t>
            </w:r>
            <w:r>
              <w:rPr>
                <w:rFonts w:ascii="Times New Roman" w:hAnsi="Times New Roman"/>
                <w:kern w:val="0"/>
                <w:sz w:val="18"/>
                <w:szCs w:val="18"/>
                <w:lang w:eastAsia="zh-CN"/>
              </w:rPr>
              <w:t>污染物指标；</w:t>
            </w:r>
          </w:p>
          <w:p>
            <w:pPr>
              <w:spacing w:line="229" w:lineRule="exact"/>
              <w:rPr>
                <w:rFonts w:ascii="Times New Roman" w:hAnsi="Times New Roman"/>
                <w:kern w:val="0"/>
                <w:sz w:val="18"/>
                <w:szCs w:val="18"/>
                <w:lang w:eastAsia="zh-CN"/>
              </w:rPr>
            </w:pPr>
            <w:r>
              <w:rPr>
                <w:rFonts w:ascii="Times New Roman" w:hAnsi="Times New Roman"/>
                <w:spacing w:val="1"/>
                <w:kern w:val="0"/>
                <w:sz w:val="18"/>
                <w:szCs w:val="18"/>
                <w:lang w:eastAsia="zh-CN"/>
              </w:rPr>
              <w:t>2</w:t>
            </w:r>
            <w:r>
              <w:rPr>
                <w:rFonts w:ascii="Times New Roman" w:hAnsi="Times New Roman"/>
                <w:kern w:val="0"/>
                <w:sz w:val="18"/>
                <w:szCs w:val="18"/>
                <w:lang w:eastAsia="zh-CN"/>
              </w:rPr>
              <w:t>、提出了</w:t>
            </w:r>
            <w:r>
              <w:rPr>
                <w:rFonts w:ascii="Times New Roman" w:hAnsi="Times New Roman"/>
                <w:spacing w:val="2"/>
                <w:kern w:val="0"/>
                <w:sz w:val="18"/>
                <w:szCs w:val="18"/>
                <w:lang w:eastAsia="zh-CN"/>
              </w:rPr>
              <w:t>挥</w:t>
            </w:r>
            <w:r>
              <w:rPr>
                <w:rFonts w:ascii="Times New Roman" w:hAnsi="Times New Roman"/>
                <w:kern w:val="0"/>
                <w:sz w:val="18"/>
                <w:szCs w:val="18"/>
                <w:lang w:eastAsia="zh-CN"/>
              </w:rPr>
              <w:t>发性</w:t>
            </w:r>
            <w:r>
              <w:rPr>
                <w:rFonts w:ascii="Times New Roman" w:hAnsi="Times New Roman"/>
                <w:spacing w:val="2"/>
                <w:kern w:val="0"/>
                <w:sz w:val="18"/>
                <w:szCs w:val="18"/>
                <w:lang w:eastAsia="zh-CN"/>
              </w:rPr>
              <w:t>有</w:t>
            </w:r>
            <w:r>
              <w:rPr>
                <w:rFonts w:ascii="Times New Roman" w:hAnsi="Times New Roman"/>
                <w:kern w:val="0"/>
                <w:sz w:val="18"/>
                <w:szCs w:val="18"/>
                <w:lang w:eastAsia="zh-CN"/>
              </w:rPr>
              <w:t>机物的指标</w:t>
            </w:r>
          </w:p>
        </w:tc>
        <w:tc>
          <w:tcPr>
            <w:tcW w:w="1414" w:type="pct"/>
            <w:tcBorders>
              <w:top w:val="single" w:color="000000" w:sz="4" w:space="0"/>
              <w:left w:val="single" w:color="000000" w:sz="4" w:space="0"/>
              <w:right w:val="single" w:color="000000" w:sz="4" w:space="0"/>
            </w:tcBorders>
            <w:vAlign w:val="center"/>
          </w:tcPr>
          <w:p>
            <w:pPr>
              <w:spacing w:line="229" w:lineRule="exact"/>
              <w:rPr>
                <w:rFonts w:ascii="Times New Roman" w:hAnsi="Times New Roman"/>
                <w:kern w:val="0"/>
                <w:sz w:val="18"/>
                <w:szCs w:val="18"/>
                <w:lang w:eastAsia="zh-CN"/>
              </w:rPr>
            </w:pPr>
            <w:r>
              <w:rPr>
                <w:rFonts w:ascii="Times New Roman" w:hAnsi="Times New Roman"/>
                <w:spacing w:val="1"/>
                <w:kern w:val="0"/>
                <w:sz w:val="18"/>
                <w:szCs w:val="18"/>
                <w:lang w:eastAsia="zh-CN"/>
              </w:rPr>
              <w:t>1</w:t>
            </w:r>
            <w:r>
              <w:rPr>
                <w:rFonts w:ascii="Times New Roman" w:hAnsi="Times New Roman"/>
                <w:kern w:val="0"/>
                <w:sz w:val="18"/>
                <w:szCs w:val="18"/>
                <w:lang w:eastAsia="zh-CN"/>
              </w:rPr>
              <w:t>、指标太</w:t>
            </w:r>
            <w:r>
              <w:rPr>
                <w:rFonts w:ascii="Times New Roman" w:hAnsi="Times New Roman"/>
                <w:spacing w:val="2"/>
                <w:kern w:val="0"/>
                <w:sz w:val="18"/>
                <w:szCs w:val="18"/>
                <w:lang w:eastAsia="zh-CN"/>
              </w:rPr>
              <w:t>少</w:t>
            </w:r>
            <w:r>
              <w:rPr>
                <w:rFonts w:ascii="Times New Roman" w:hAnsi="Times New Roman"/>
                <w:kern w:val="0"/>
                <w:sz w:val="18"/>
                <w:szCs w:val="18"/>
                <w:lang w:eastAsia="zh-CN"/>
              </w:rPr>
              <w:t>。</w:t>
            </w:r>
          </w:p>
          <w:p>
            <w:pPr>
              <w:spacing w:line="229" w:lineRule="exact"/>
              <w:rPr>
                <w:rFonts w:ascii="Times New Roman" w:hAnsi="Times New Roman"/>
                <w:kern w:val="0"/>
                <w:sz w:val="18"/>
                <w:szCs w:val="18"/>
                <w:lang w:eastAsia="zh-CN"/>
              </w:rPr>
            </w:pPr>
            <w:r>
              <w:rPr>
                <w:rFonts w:ascii="Times New Roman" w:hAnsi="Times New Roman"/>
                <w:spacing w:val="1"/>
                <w:kern w:val="0"/>
                <w:sz w:val="18"/>
                <w:szCs w:val="18"/>
                <w:lang w:eastAsia="zh-CN"/>
              </w:rPr>
              <w:t>2</w:t>
            </w:r>
            <w:r>
              <w:rPr>
                <w:rFonts w:ascii="Times New Roman" w:hAnsi="Times New Roman"/>
                <w:kern w:val="0"/>
                <w:sz w:val="18"/>
                <w:szCs w:val="18"/>
                <w:lang w:eastAsia="zh-CN"/>
              </w:rPr>
              <w:t>、挥发性</w:t>
            </w:r>
            <w:r>
              <w:rPr>
                <w:rFonts w:ascii="Times New Roman" w:hAnsi="Times New Roman"/>
                <w:spacing w:val="2"/>
                <w:kern w:val="0"/>
                <w:sz w:val="18"/>
                <w:szCs w:val="18"/>
                <w:lang w:eastAsia="zh-CN"/>
              </w:rPr>
              <w:t>有</w:t>
            </w:r>
            <w:r>
              <w:rPr>
                <w:rFonts w:ascii="Times New Roman" w:hAnsi="Times New Roman"/>
                <w:kern w:val="0"/>
                <w:sz w:val="18"/>
                <w:szCs w:val="18"/>
                <w:lang w:eastAsia="zh-CN"/>
              </w:rPr>
              <w:t>机物</w:t>
            </w:r>
            <w:r>
              <w:rPr>
                <w:rFonts w:ascii="Times New Roman" w:hAnsi="Times New Roman"/>
                <w:spacing w:val="2"/>
                <w:kern w:val="0"/>
                <w:sz w:val="18"/>
                <w:szCs w:val="18"/>
                <w:lang w:eastAsia="zh-CN"/>
              </w:rPr>
              <w:t>仍</w:t>
            </w:r>
            <w:r>
              <w:rPr>
                <w:rFonts w:ascii="Times New Roman" w:hAnsi="Times New Roman"/>
                <w:kern w:val="0"/>
                <w:sz w:val="18"/>
                <w:szCs w:val="18"/>
                <w:lang w:eastAsia="zh-CN"/>
              </w:rPr>
              <w:t>采用的是</w:t>
            </w:r>
            <w:r>
              <w:rPr>
                <w:rFonts w:ascii="Times New Roman" w:hAnsi="Times New Roman"/>
                <w:spacing w:val="-59"/>
                <w:kern w:val="0"/>
                <w:sz w:val="18"/>
                <w:szCs w:val="18"/>
                <w:lang w:eastAsia="zh-CN"/>
              </w:rPr>
              <w:t xml:space="preserve"> </w:t>
            </w:r>
            <w:r>
              <w:rPr>
                <w:rFonts w:ascii="Times New Roman" w:hAnsi="Times New Roman"/>
                <w:spacing w:val="1"/>
                <w:kern w:val="0"/>
                <w:sz w:val="18"/>
                <w:szCs w:val="18"/>
                <w:lang w:eastAsia="zh-CN"/>
              </w:rPr>
              <w:t>NMH</w:t>
            </w:r>
            <w:r>
              <w:rPr>
                <w:rFonts w:ascii="Times New Roman" w:hAnsi="Times New Roman"/>
                <w:kern w:val="0"/>
                <w:sz w:val="18"/>
                <w:szCs w:val="18"/>
                <w:lang w:eastAsia="zh-CN"/>
              </w:rPr>
              <w:t>C</w:t>
            </w:r>
            <w:r>
              <w:rPr>
                <w:rFonts w:ascii="Times New Roman" w:hAnsi="Times New Roman"/>
                <w:spacing w:val="-58"/>
                <w:kern w:val="0"/>
                <w:sz w:val="18"/>
                <w:szCs w:val="18"/>
                <w:lang w:eastAsia="zh-CN"/>
              </w:rPr>
              <w:t xml:space="preserve"> </w:t>
            </w:r>
            <w:r>
              <w:rPr>
                <w:rFonts w:ascii="Times New Roman" w:hAnsi="Times New Roman"/>
                <w:kern w:val="0"/>
                <w:sz w:val="18"/>
                <w:szCs w:val="18"/>
                <w:lang w:eastAsia="zh-CN"/>
              </w:rPr>
              <w:t>的监测方法。</w:t>
            </w:r>
          </w:p>
          <w:p>
            <w:pPr>
              <w:spacing w:line="229" w:lineRule="exact"/>
              <w:rPr>
                <w:rFonts w:ascii="Times New Roman" w:hAnsi="Times New Roman"/>
                <w:kern w:val="0"/>
                <w:sz w:val="18"/>
                <w:szCs w:val="18"/>
                <w:lang w:eastAsia="en-US"/>
              </w:rPr>
            </w:pPr>
            <w:r>
              <w:rPr>
                <w:rFonts w:ascii="Times New Roman" w:hAnsi="Times New Roman"/>
                <w:spacing w:val="1"/>
                <w:kern w:val="0"/>
                <w:sz w:val="18"/>
                <w:szCs w:val="18"/>
                <w:lang w:eastAsia="en-US"/>
              </w:rPr>
              <w:t>3</w:t>
            </w:r>
            <w:r>
              <w:rPr>
                <w:rFonts w:ascii="Times New Roman" w:hAnsi="Times New Roman"/>
                <w:kern w:val="0"/>
                <w:sz w:val="18"/>
                <w:szCs w:val="18"/>
                <w:lang w:eastAsia="en-US"/>
              </w:rPr>
              <w:t>、标准值</w:t>
            </w:r>
            <w:r>
              <w:rPr>
                <w:rFonts w:ascii="Times New Roman" w:hAnsi="Times New Roman"/>
                <w:spacing w:val="2"/>
                <w:kern w:val="0"/>
                <w:sz w:val="18"/>
                <w:szCs w:val="18"/>
                <w:lang w:eastAsia="en-US"/>
              </w:rPr>
              <w:t>偏</w:t>
            </w:r>
            <w:r>
              <w:rPr>
                <w:rFonts w:ascii="Times New Roman" w:hAnsi="Times New Roman"/>
                <w:kern w:val="0"/>
                <w:sz w:val="18"/>
                <w:szCs w:val="18"/>
                <w:lang w:eastAsia="en-US"/>
              </w:rPr>
              <w:t>宽松</w:t>
            </w:r>
          </w:p>
        </w:tc>
      </w:tr>
      <w:tr>
        <w:tblPrEx>
          <w:tblCellMar>
            <w:top w:w="0" w:type="dxa"/>
            <w:left w:w="0" w:type="dxa"/>
            <w:bottom w:w="0" w:type="dxa"/>
            <w:right w:w="0" w:type="dxa"/>
          </w:tblCellMar>
        </w:tblPrEx>
        <w:trPr>
          <w:trHeight w:val="20" w:hRule="atLeast"/>
        </w:trPr>
        <w:tc>
          <w:tcPr>
            <w:tcW w:w="678" w:type="pct"/>
            <w:tcBorders>
              <w:top w:val="single" w:color="000000" w:sz="4" w:space="0"/>
              <w:left w:val="single" w:color="000000" w:sz="4" w:space="0"/>
              <w:right w:val="single" w:color="000000" w:sz="4" w:space="0"/>
            </w:tcBorders>
            <w:vAlign w:val="center"/>
          </w:tcPr>
          <w:p>
            <w:pPr>
              <w:spacing w:line="229" w:lineRule="exact"/>
              <w:jc w:val="left"/>
              <w:rPr>
                <w:rFonts w:ascii="Times New Roman" w:hAnsi="Times New Roman"/>
                <w:kern w:val="0"/>
                <w:sz w:val="18"/>
                <w:szCs w:val="18"/>
                <w:lang w:eastAsia="zh-CN"/>
              </w:rPr>
            </w:pPr>
            <w:r>
              <w:rPr>
                <w:rFonts w:ascii="Times New Roman" w:hAnsi="Times New Roman"/>
                <w:kern w:val="0"/>
                <w:sz w:val="18"/>
                <w:szCs w:val="18"/>
                <w:lang w:eastAsia="zh-CN"/>
              </w:rPr>
              <w:t>重庆市</w:t>
            </w:r>
            <w:r>
              <w:rPr>
                <w:rFonts w:ascii="Times New Roman" w:hAnsi="Times New Roman"/>
                <w:spacing w:val="2"/>
                <w:kern w:val="0"/>
                <w:sz w:val="18"/>
                <w:szCs w:val="18"/>
                <w:lang w:eastAsia="zh-CN"/>
              </w:rPr>
              <w:t>大</w:t>
            </w:r>
            <w:r>
              <w:rPr>
                <w:rFonts w:ascii="Times New Roman" w:hAnsi="Times New Roman"/>
                <w:kern w:val="0"/>
                <w:sz w:val="18"/>
                <w:szCs w:val="18"/>
                <w:lang w:eastAsia="zh-CN"/>
              </w:rPr>
              <w:t>气污染物综合</w:t>
            </w:r>
            <w:r>
              <w:rPr>
                <w:rFonts w:ascii="Times New Roman" w:hAnsi="Times New Roman"/>
                <w:spacing w:val="2"/>
                <w:kern w:val="0"/>
                <w:sz w:val="18"/>
                <w:szCs w:val="18"/>
                <w:lang w:eastAsia="zh-CN"/>
              </w:rPr>
              <w:t>排</w:t>
            </w:r>
            <w:r>
              <w:rPr>
                <w:rFonts w:ascii="Times New Roman" w:hAnsi="Times New Roman"/>
                <w:kern w:val="0"/>
                <w:sz w:val="18"/>
                <w:szCs w:val="18"/>
                <w:lang w:eastAsia="zh-CN"/>
              </w:rPr>
              <w:t>放标准</w:t>
            </w:r>
          </w:p>
          <w:p>
            <w:pPr>
              <w:spacing w:line="229" w:lineRule="exact"/>
              <w:jc w:val="left"/>
              <w:rPr>
                <w:rFonts w:ascii="Times New Roman" w:hAnsi="Times New Roman"/>
                <w:kern w:val="0"/>
                <w:sz w:val="18"/>
                <w:szCs w:val="18"/>
                <w:lang w:eastAsia="en-US"/>
              </w:rPr>
            </w:pPr>
            <w:r>
              <w:rPr>
                <w:rFonts w:ascii="Times New Roman" w:hAnsi="Times New Roman"/>
                <w:spacing w:val="1"/>
                <w:kern w:val="0"/>
                <w:sz w:val="18"/>
                <w:szCs w:val="18"/>
                <w:lang w:eastAsia="en-US"/>
              </w:rPr>
              <w:t>DB5</w:t>
            </w:r>
            <w:r>
              <w:rPr>
                <w:rFonts w:ascii="Times New Roman" w:hAnsi="Times New Roman"/>
                <w:spacing w:val="-2"/>
                <w:kern w:val="0"/>
                <w:sz w:val="18"/>
                <w:szCs w:val="18"/>
                <w:lang w:eastAsia="en-US"/>
              </w:rPr>
              <w:t>0</w:t>
            </w:r>
            <w:r>
              <w:rPr>
                <w:rFonts w:ascii="Times New Roman" w:hAnsi="Times New Roman"/>
                <w:spacing w:val="1"/>
                <w:kern w:val="0"/>
                <w:sz w:val="18"/>
                <w:szCs w:val="18"/>
                <w:lang w:eastAsia="en-US"/>
              </w:rPr>
              <w:t>/4</w:t>
            </w:r>
            <w:r>
              <w:rPr>
                <w:rFonts w:ascii="Times New Roman" w:hAnsi="Times New Roman"/>
                <w:spacing w:val="-2"/>
                <w:kern w:val="0"/>
                <w:sz w:val="18"/>
                <w:szCs w:val="18"/>
                <w:lang w:eastAsia="en-US"/>
              </w:rPr>
              <w:t>0</w:t>
            </w:r>
            <w:r>
              <w:rPr>
                <w:rFonts w:ascii="Times New Roman" w:hAnsi="Times New Roman"/>
                <w:spacing w:val="2"/>
                <w:kern w:val="0"/>
                <w:sz w:val="18"/>
                <w:szCs w:val="18"/>
                <w:lang w:eastAsia="en-US"/>
              </w:rPr>
              <w:t>8</w:t>
            </w:r>
            <w:r>
              <w:rPr>
                <w:rFonts w:ascii="Times New Roman" w:hAnsi="Times New Roman"/>
                <w:spacing w:val="1"/>
                <w:kern w:val="0"/>
                <w:sz w:val="18"/>
                <w:szCs w:val="18"/>
                <w:lang w:eastAsia="en-US"/>
              </w:rPr>
              <w:t>-</w:t>
            </w:r>
            <w:r>
              <w:rPr>
                <w:rFonts w:ascii="Times New Roman" w:hAnsi="Times New Roman"/>
                <w:spacing w:val="-2"/>
                <w:kern w:val="0"/>
                <w:sz w:val="18"/>
                <w:szCs w:val="18"/>
                <w:lang w:eastAsia="en-US"/>
              </w:rPr>
              <w:t>2</w:t>
            </w:r>
            <w:r>
              <w:rPr>
                <w:rFonts w:ascii="Times New Roman" w:hAnsi="Times New Roman"/>
                <w:spacing w:val="1"/>
                <w:kern w:val="0"/>
                <w:sz w:val="18"/>
                <w:szCs w:val="18"/>
                <w:lang w:eastAsia="en-US"/>
              </w:rPr>
              <w:t>01</w:t>
            </w:r>
            <w:r>
              <w:rPr>
                <w:rFonts w:ascii="Times New Roman" w:hAnsi="Times New Roman"/>
                <w:kern w:val="0"/>
                <w:sz w:val="18"/>
                <w:szCs w:val="18"/>
                <w:lang w:eastAsia="en-US"/>
              </w:rPr>
              <w:t>2</w:t>
            </w:r>
          </w:p>
        </w:tc>
        <w:tc>
          <w:tcPr>
            <w:tcW w:w="678" w:type="pct"/>
            <w:tcBorders>
              <w:top w:val="single" w:color="000000" w:sz="4" w:space="0"/>
              <w:left w:val="single" w:color="000000" w:sz="4" w:space="0"/>
              <w:right w:val="single" w:color="000000" w:sz="4" w:space="0"/>
            </w:tcBorders>
            <w:vAlign w:val="center"/>
          </w:tcPr>
          <w:p>
            <w:pPr>
              <w:rPr>
                <w:rFonts w:ascii="Times New Roman" w:hAnsi="Times New Roman"/>
                <w:kern w:val="0"/>
                <w:sz w:val="18"/>
                <w:szCs w:val="18"/>
                <w:lang w:eastAsia="zh-CN"/>
              </w:rPr>
            </w:pPr>
            <w:r>
              <w:rPr>
                <w:rFonts w:hint="eastAsia" w:ascii="Times New Roman" w:hAnsi="Times New Roman"/>
                <w:kern w:val="0"/>
                <w:sz w:val="18"/>
                <w:szCs w:val="18"/>
                <w:lang w:eastAsia="zh-CN"/>
              </w:rPr>
              <w:t>除锅炉、工业炉窑及其他行业标准以外大气污染源</w:t>
            </w:r>
          </w:p>
        </w:tc>
        <w:tc>
          <w:tcPr>
            <w:tcW w:w="1375" w:type="pct"/>
            <w:tcBorders>
              <w:top w:val="single" w:color="000000" w:sz="4" w:space="0"/>
              <w:left w:val="single" w:color="000000" w:sz="4" w:space="0"/>
              <w:right w:val="single" w:color="000000" w:sz="4" w:space="0"/>
            </w:tcBorders>
            <w:vAlign w:val="center"/>
          </w:tcPr>
          <w:p>
            <w:pPr>
              <w:spacing w:line="229" w:lineRule="exact"/>
              <w:rPr>
                <w:rFonts w:ascii="Times New Roman" w:hAnsi="Times New Roman"/>
                <w:kern w:val="0"/>
                <w:sz w:val="18"/>
                <w:szCs w:val="18"/>
                <w:lang w:eastAsia="zh-CN"/>
              </w:rPr>
            </w:pPr>
            <w:r>
              <w:rPr>
                <w:rFonts w:ascii="Times New Roman" w:hAnsi="Times New Roman"/>
                <w:spacing w:val="1"/>
                <w:kern w:val="0"/>
                <w:sz w:val="18"/>
                <w:szCs w:val="18"/>
                <w:lang w:eastAsia="zh-CN"/>
              </w:rPr>
              <w:t>1</w:t>
            </w:r>
            <w:r>
              <w:rPr>
                <w:rFonts w:ascii="Times New Roman" w:hAnsi="Times New Roman"/>
                <w:kern w:val="0"/>
                <w:sz w:val="18"/>
                <w:szCs w:val="18"/>
                <w:lang w:eastAsia="zh-CN"/>
              </w:rPr>
              <w:t>、规定了</w:t>
            </w:r>
            <w:r>
              <w:rPr>
                <w:rFonts w:hint="eastAsia" w:ascii="Times New Roman" w:hAnsi="Times New Roman"/>
                <w:spacing w:val="2"/>
                <w:kern w:val="0"/>
                <w:sz w:val="18"/>
                <w:szCs w:val="18"/>
                <w:lang w:eastAsia="zh-CN"/>
              </w:rPr>
              <w:t>包括苯、甲苯和二甲苯等在内的1</w:t>
            </w:r>
            <w:r>
              <w:rPr>
                <w:rFonts w:ascii="Times New Roman" w:hAnsi="Times New Roman"/>
                <w:spacing w:val="2"/>
                <w:kern w:val="0"/>
                <w:sz w:val="18"/>
                <w:szCs w:val="18"/>
                <w:lang w:eastAsia="zh-CN"/>
              </w:rPr>
              <w:t>7</w:t>
            </w:r>
            <w:r>
              <w:rPr>
                <w:rFonts w:hint="eastAsia" w:ascii="Times New Roman" w:hAnsi="Times New Roman"/>
                <w:spacing w:val="2"/>
                <w:kern w:val="0"/>
                <w:sz w:val="18"/>
                <w:szCs w:val="18"/>
                <w:lang w:eastAsia="zh-CN"/>
              </w:rPr>
              <w:t>中有机气态污染物排放浓度</w:t>
            </w:r>
            <w:r>
              <w:rPr>
                <w:rFonts w:ascii="Times New Roman" w:hAnsi="Times New Roman"/>
                <w:kern w:val="0"/>
                <w:sz w:val="18"/>
                <w:szCs w:val="18"/>
                <w:lang w:eastAsia="zh-CN"/>
              </w:rPr>
              <w:t>。</w:t>
            </w:r>
          </w:p>
        </w:tc>
        <w:tc>
          <w:tcPr>
            <w:tcW w:w="855" w:type="pct"/>
            <w:tcBorders>
              <w:top w:val="single" w:color="000000" w:sz="4" w:space="0"/>
              <w:left w:val="single" w:color="000000" w:sz="4" w:space="0"/>
              <w:right w:val="single" w:color="000000" w:sz="4" w:space="0"/>
            </w:tcBorders>
            <w:vAlign w:val="center"/>
          </w:tcPr>
          <w:p>
            <w:pPr>
              <w:spacing w:line="229" w:lineRule="exact"/>
              <w:rPr>
                <w:rFonts w:ascii="Times New Roman" w:hAnsi="Times New Roman"/>
                <w:kern w:val="0"/>
                <w:sz w:val="18"/>
                <w:szCs w:val="18"/>
                <w:lang w:eastAsia="zh-CN"/>
              </w:rPr>
            </w:pPr>
            <w:r>
              <w:rPr>
                <w:rFonts w:ascii="Times New Roman" w:hAnsi="Times New Roman"/>
                <w:spacing w:val="1"/>
                <w:kern w:val="0"/>
                <w:sz w:val="18"/>
                <w:szCs w:val="18"/>
                <w:lang w:eastAsia="zh-CN"/>
              </w:rPr>
              <w:t>1</w:t>
            </w:r>
            <w:r>
              <w:rPr>
                <w:rFonts w:ascii="Times New Roman" w:hAnsi="Times New Roman"/>
                <w:kern w:val="0"/>
                <w:sz w:val="18"/>
                <w:szCs w:val="18"/>
                <w:lang w:eastAsia="zh-CN"/>
              </w:rPr>
              <w:t>、按照主</w:t>
            </w:r>
            <w:r>
              <w:rPr>
                <w:rFonts w:ascii="Times New Roman" w:hAnsi="Times New Roman"/>
                <w:spacing w:val="2"/>
                <w:kern w:val="0"/>
                <w:sz w:val="18"/>
                <w:szCs w:val="18"/>
                <w:lang w:eastAsia="zh-CN"/>
              </w:rPr>
              <w:t>城</w:t>
            </w:r>
            <w:r>
              <w:rPr>
                <w:rFonts w:ascii="Times New Roman" w:hAnsi="Times New Roman"/>
                <w:kern w:val="0"/>
                <w:sz w:val="18"/>
                <w:szCs w:val="18"/>
                <w:lang w:eastAsia="zh-CN"/>
              </w:rPr>
              <w:t>区、</w:t>
            </w:r>
            <w:r>
              <w:rPr>
                <w:rFonts w:ascii="Times New Roman" w:hAnsi="Times New Roman"/>
                <w:spacing w:val="2"/>
                <w:kern w:val="0"/>
                <w:sz w:val="18"/>
                <w:szCs w:val="18"/>
                <w:lang w:eastAsia="zh-CN"/>
              </w:rPr>
              <w:t>影</w:t>
            </w:r>
            <w:r>
              <w:rPr>
                <w:rFonts w:ascii="Times New Roman" w:hAnsi="Times New Roman"/>
                <w:kern w:val="0"/>
                <w:sz w:val="18"/>
                <w:szCs w:val="18"/>
                <w:lang w:eastAsia="zh-CN"/>
              </w:rPr>
              <w:t>响区和其他</w:t>
            </w:r>
            <w:r>
              <w:rPr>
                <w:rFonts w:ascii="Times New Roman" w:hAnsi="Times New Roman"/>
                <w:spacing w:val="2"/>
                <w:kern w:val="0"/>
                <w:sz w:val="18"/>
                <w:szCs w:val="18"/>
                <w:lang w:eastAsia="zh-CN"/>
              </w:rPr>
              <w:t>区</w:t>
            </w:r>
            <w:r>
              <w:rPr>
                <w:rFonts w:ascii="Times New Roman" w:hAnsi="Times New Roman"/>
                <w:kern w:val="0"/>
                <w:sz w:val="18"/>
                <w:szCs w:val="18"/>
                <w:lang w:eastAsia="zh-CN"/>
              </w:rPr>
              <w:t>域分</w:t>
            </w:r>
            <w:r>
              <w:rPr>
                <w:rFonts w:ascii="Times New Roman" w:hAnsi="Times New Roman"/>
                <w:spacing w:val="2"/>
                <w:kern w:val="0"/>
                <w:sz w:val="18"/>
                <w:szCs w:val="18"/>
                <w:lang w:eastAsia="zh-CN"/>
              </w:rPr>
              <w:t>类</w:t>
            </w:r>
            <w:r>
              <w:rPr>
                <w:rFonts w:ascii="Times New Roman" w:hAnsi="Times New Roman"/>
                <w:kern w:val="0"/>
                <w:sz w:val="18"/>
                <w:szCs w:val="18"/>
                <w:lang w:eastAsia="zh-CN"/>
              </w:rPr>
              <w:t>；</w:t>
            </w:r>
          </w:p>
        </w:tc>
        <w:tc>
          <w:tcPr>
            <w:tcW w:w="1414" w:type="pct"/>
            <w:tcBorders>
              <w:top w:val="single" w:color="000000" w:sz="4" w:space="0"/>
              <w:left w:val="single" w:color="000000" w:sz="4" w:space="0"/>
              <w:right w:val="single" w:color="000000" w:sz="4" w:space="0"/>
            </w:tcBorders>
            <w:vAlign w:val="center"/>
          </w:tcPr>
          <w:p>
            <w:pPr>
              <w:spacing w:line="229" w:lineRule="exact"/>
              <w:rPr>
                <w:rFonts w:ascii="Times New Roman" w:hAnsi="Times New Roman"/>
                <w:kern w:val="0"/>
                <w:sz w:val="18"/>
                <w:szCs w:val="18"/>
                <w:lang w:eastAsia="zh-CN"/>
              </w:rPr>
            </w:pPr>
            <w:r>
              <w:rPr>
                <w:rFonts w:ascii="Times New Roman" w:hAnsi="Times New Roman"/>
                <w:spacing w:val="1"/>
                <w:kern w:val="0"/>
                <w:sz w:val="18"/>
                <w:szCs w:val="18"/>
                <w:lang w:eastAsia="zh-CN"/>
              </w:rPr>
              <w:t>1</w:t>
            </w:r>
            <w:r>
              <w:rPr>
                <w:rFonts w:ascii="Times New Roman" w:hAnsi="Times New Roman"/>
                <w:kern w:val="0"/>
                <w:sz w:val="18"/>
                <w:szCs w:val="18"/>
                <w:lang w:eastAsia="zh-CN"/>
              </w:rPr>
              <w:t>、工艺排</w:t>
            </w:r>
            <w:r>
              <w:rPr>
                <w:rFonts w:ascii="Times New Roman" w:hAnsi="Times New Roman"/>
                <w:spacing w:val="2"/>
                <w:kern w:val="0"/>
                <w:sz w:val="18"/>
                <w:szCs w:val="18"/>
                <w:lang w:eastAsia="zh-CN"/>
              </w:rPr>
              <w:t>气</w:t>
            </w:r>
            <w:r>
              <w:rPr>
                <w:rFonts w:ascii="Times New Roman" w:hAnsi="Times New Roman"/>
                <w:kern w:val="0"/>
                <w:sz w:val="18"/>
                <w:szCs w:val="18"/>
                <w:lang w:eastAsia="zh-CN"/>
              </w:rPr>
              <w:t>仅仅</w:t>
            </w:r>
            <w:r>
              <w:rPr>
                <w:rFonts w:ascii="Times New Roman" w:hAnsi="Times New Roman"/>
                <w:spacing w:val="2"/>
                <w:kern w:val="0"/>
                <w:sz w:val="18"/>
                <w:szCs w:val="18"/>
                <w:lang w:eastAsia="zh-CN"/>
              </w:rPr>
              <w:t>规</w:t>
            </w:r>
            <w:r>
              <w:rPr>
                <w:rFonts w:ascii="Times New Roman" w:hAnsi="Times New Roman"/>
                <w:kern w:val="0"/>
                <w:sz w:val="18"/>
                <w:szCs w:val="18"/>
                <w:lang w:eastAsia="zh-CN"/>
              </w:rPr>
              <w:t>定了二氧化硫</w:t>
            </w:r>
            <w:r>
              <w:rPr>
                <w:rFonts w:ascii="Times New Roman" w:hAnsi="Times New Roman"/>
                <w:spacing w:val="2"/>
                <w:kern w:val="0"/>
                <w:sz w:val="18"/>
                <w:szCs w:val="18"/>
                <w:lang w:eastAsia="zh-CN"/>
              </w:rPr>
              <w:t>、</w:t>
            </w:r>
            <w:r>
              <w:rPr>
                <w:rFonts w:ascii="Times New Roman" w:hAnsi="Times New Roman"/>
                <w:kern w:val="0"/>
                <w:sz w:val="18"/>
                <w:szCs w:val="18"/>
                <w:lang w:eastAsia="zh-CN"/>
              </w:rPr>
              <w:t>氮氧</w:t>
            </w:r>
            <w:r>
              <w:rPr>
                <w:rFonts w:ascii="Times New Roman" w:hAnsi="Times New Roman"/>
                <w:spacing w:val="2"/>
                <w:kern w:val="0"/>
                <w:sz w:val="18"/>
                <w:szCs w:val="18"/>
                <w:lang w:eastAsia="zh-CN"/>
              </w:rPr>
              <w:t>化</w:t>
            </w:r>
            <w:r>
              <w:rPr>
                <w:rFonts w:ascii="Times New Roman" w:hAnsi="Times New Roman"/>
                <w:kern w:val="0"/>
                <w:sz w:val="18"/>
                <w:szCs w:val="18"/>
                <w:lang w:eastAsia="zh-CN"/>
              </w:rPr>
              <w:t>物和</w:t>
            </w:r>
            <w:r>
              <w:rPr>
                <w:rFonts w:ascii="Times New Roman" w:hAnsi="Times New Roman"/>
                <w:spacing w:val="2"/>
                <w:kern w:val="0"/>
                <w:sz w:val="18"/>
                <w:szCs w:val="18"/>
                <w:lang w:eastAsia="zh-CN"/>
              </w:rPr>
              <w:t>颗</w:t>
            </w:r>
            <w:r>
              <w:rPr>
                <w:rFonts w:ascii="Times New Roman" w:hAnsi="Times New Roman"/>
                <w:kern w:val="0"/>
                <w:sz w:val="18"/>
                <w:szCs w:val="18"/>
                <w:lang w:eastAsia="zh-CN"/>
              </w:rPr>
              <w:t>粒物的排放</w:t>
            </w:r>
            <w:r>
              <w:rPr>
                <w:rFonts w:ascii="Times New Roman" w:hAnsi="Times New Roman"/>
                <w:spacing w:val="2"/>
                <w:kern w:val="0"/>
                <w:sz w:val="18"/>
                <w:szCs w:val="18"/>
                <w:lang w:eastAsia="zh-CN"/>
              </w:rPr>
              <w:t>标</w:t>
            </w:r>
            <w:r>
              <w:rPr>
                <w:rFonts w:ascii="Times New Roman" w:hAnsi="Times New Roman"/>
                <w:kern w:val="0"/>
                <w:sz w:val="18"/>
                <w:szCs w:val="18"/>
                <w:lang w:eastAsia="zh-CN"/>
              </w:rPr>
              <w:t>准</w:t>
            </w:r>
          </w:p>
        </w:tc>
      </w:tr>
      <w:tr>
        <w:trPr>
          <w:trHeight w:val="20" w:hRule="atLeast"/>
        </w:trPr>
        <w:tc>
          <w:tcPr>
            <w:tcW w:w="678" w:type="pct"/>
            <w:tcBorders>
              <w:top w:val="single" w:color="000000" w:sz="4" w:space="0"/>
              <w:left w:val="single" w:color="000000" w:sz="4" w:space="0"/>
              <w:bottom w:val="single" w:color="auto" w:sz="4" w:space="0"/>
              <w:right w:val="single" w:color="000000" w:sz="4" w:space="0"/>
            </w:tcBorders>
            <w:vAlign w:val="center"/>
          </w:tcPr>
          <w:p>
            <w:pPr>
              <w:spacing w:line="229" w:lineRule="exact"/>
              <w:jc w:val="left"/>
              <w:rPr>
                <w:rFonts w:ascii="Times New Roman" w:hAnsi="Times New Roman"/>
                <w:kern w:val="0"/>
                <w:sz w:val="18"/>
                <w:szCs w:val="18"/>
                <w:lang w:eastAsia="zh-CN"/>
              </w:rPr>
            </w:pPr>
            <w:r>
              <w:rPr>
                <w:rFonts w:ascii="Times New Roman" w:hAnsi="Times New Roman"/>
                <w:kern w:val="0"/>
                <w:sz w:val="18"/>
                <w:szCs w:val="18"/>
                <w:lang w:eastAsia="zh-CN"/>
              </w:rPr>
              <w:t>山东省</w:t>
            </w:r>
            <w:r>
              <w:rPr>
                <w:rFonts w:ascii="Times New Roman" w:hAnsi="Times New Roman"/>
                <w:spacing w:val="2"/>
                <w:kern w:val="0"/>
                <w:sz w:val="18"/>
                <w:szCs w:val="18"/>
                <w:lang w:eastAsia="zh-CN"/>
              </w:rPr>
              <w:t>区</w:t>
            </w:r>
            <w:r>
              <w:rPr>
                <w:rFonts w:ascii="Times New Roman" w:hAnsi="Times New Roman"/>
                <w:kern w:val="0"/>
                <w:sz w:val="18"/>
                <w:szCs w:val="18"/>
                <w:lang w:eastAsia="zh-CN"/>
              </w:rPr>
              <w:t>域性大气污染</w:t>
            </w:r>
            <w:r>
              <w:rPr>
                <w:rFonts w:ascii="Times New Roman" w:hAnsi="Times New Roman"/>
                <w:spacing w:val="2"/>
                <w:kern w:val="0"/>
                <w:sz w:val="18"/>
                <w:szCs w:val="18"/>
                <w:lang w:eastAsia="zh-CN"/>
              </w:rPr>
              <w:t>物</w:t>
            </w:r>
            <w:r>
              <w:rPr>
                <w:rFonts w:ascii="Times New Roman" w:hAnsi="Times New Roman"/>
                <w:kern w:val="0"/>
                <w:sz w:val="18"/>
                <w:szCs w:val="18"/>
                <w:lang w:eastAsia="zh-CN"/>
              </w:rPr>
              <w:t>综合排放标准</w:t>
            </w:r>
          </w:p>
          <w:p>
            <w:pPr>
              <w:spacing w:line="229" w:lineRule="exact"/>
              <w:jc w:val="left"/>
              <w:rPr>
                <w:rFonts w:ascii="Times New Roman" w:hAnsi="Times New Roman"/>
                <w:kern w:val="0"/>
                <w:sz w:val="18"/>
                <w:szCs w:val="18"/>
                <w:lang w:eastAsia="zh-CN"/>
              </w:rPr>
            </w:pPr>
            <w:r>
              <w:rPr>
                <w:rFonts w:ascii="Times New Roman" w:hAnsi="Times New Roman"/>
                <w:spacing w:val="1"/>
                <w:kern w:val="0"/>
                <w:sz w:val="18"/>
                <w:szCs w:val="18"/>
                <w:lang w:eastAsia="zh-CN"/>
              </w:rPr>
              <w:t>DB3</w:t>
            </w:r>
            <w:r>
              <w:rPr>
                <w:rFonts w:ascii="Times New Roman" w:hAnsi="Times New Roman"/>
                <w:spacing w:val="-2"/>
                <w:kern w:val="0"/>
                <w:sz w:val="18"/>
                <w:szCs w:val="18"/>
                <w:lang w:eastAsia="zh-CN"/>
              </w:rPr>
              <w:t>7</w:t>
            </w:r>
            <w:r>
              <w:rPr>
                <w:rFonts w:ascii="Times New Roman" w:hAnsi="Times New Roman"/>
                <w:spacing w:val="1"/>
                <w:kern w:val="0"/>
                <w:sz w:val="18"/>
                <w:szCs w:val="18"/>
                <w:lang w:eastAsia="zh-CN"/>
              </w:rPr>
              <w:t>/2</w:t>
            </w:r>
            <w:r>
              <w:rPr>
                <w:rFonts w:ascii="Times New Roman" w:hAnsi="Times New Roman"/>
                <w:spacing w:val="-2"/>
                <w:kern w:val="0"/>
                <w:sz w:val="18"/>
                <w:szCs w:val="18"/>
                <w:lang w:eastAsia="zh-CN"/>
              </w:rPr>
              <w:t>3</w:t>
            </w:r>
            <w:r>
              <w:rPr>
                <w:rFonts w:ascii="Times New Roman" w:hAnsi="Times New Roman"/>
                <w:spacing w:val="1"/>
                <w:kern w:val="0"/>
                <w:sz w:val="18"/>
                <w:szCs w:val="18"/>
                <w:lang w:eastAsia="zh-CN"/>
              </w:rPr>
              <w:t>7</w:t>
            </w:r>
            <w:r>
              <w:rPr>
                <w:rFonts w:ascii="Times New Roman" w:hAnsi="Times New Roman"/>
                <w:spacing w:val="2"/>
                <w:kern w:val="0"/>
                <w:sz w:val="18"/>
                <w:szCs w:val="18"/>
                <w:lang w:eastAsia="zh-CN"/>
              </w:rPr>
              <w:t>6</w:t>
            </w:r>
            <w:r>
              <w:rPr>
                <w:rFonts w:ascii="Times New Roman" w:hAnsi="Times New Roman"/>
                <w:spacing w:val="-2"/>
                <w:kern w:val="0"/>
                <w:sz w:val="18"/>
                <w:szCs w:val="18"/>
                <w:lang w:eastAsia="zh-CN"/>
              </w:rPr>
              <w:t>-</w:t>
            </w:r>
            <w:r>
              <w:rPr>
                <w:rFonts w:ascii="Times New Roman" w:hAnsi="Times New Roman"/>
                <w:spacing w:val="1"/>
                <w:kern w:val="0"/>
                <w:sz w:val="18"/>
                <w:szCs w:val="18"/>
                <w:lang w:eastAsia="zh-CN"/>
              </w:rPr>
              <w:t>20</w:t>
            </w:r>
            <w:r>
              <w:rPr>
                <w:rFonts w:ascii="Times New Roman" w:hAnsi="Times New Roman"/>
                <w:spacing w:val="-2"/>
                <w:kern w:val="0"/>
                <w:sz w:val="18"/>
                <w:szCs w:val="18"/>
                <w:lang w:eastAsia="zh-CN"/>
              </w:rPr>
              <w:t>1</w:t>
            </w:r>
            <w:r>
              <w:rPr>
                <w:rFonts w:ascii="Times New Roman" w:hAnsi="Times New Roman"/>
                <w:kern w:val="0"/>
                <w:sz w:val="18"/>
                <w:szCs w:val="18"/>
                <w:lang w:eastAsia="zh-CN"/>
              </w:rPr>
              <w:t>3</w:t>
            </w:r>
          </w:p>
        </w:tc>
        <w:tc>
          <w:tcPr>
            <w:tcW w:w="678" w:type="pct"/>
            <w:tcBorders>
              <w:top w:val="single" w:color="000000" w:sz="4" w:space="0"/>
              <w:left w:val="single" w:color="000000" w:sz="4" w:space="0"/>
              <w:bottom w:val="single" w:color="auto" w:sz="4" w:space="0"/>
              <w:right w:val="single" w:color="000000" w:sz="4" w:space="0"/>
            </w:tcBorders>
            <w:vAlign w:val="center"/>
          </w:tcPr>
          <w:p>
            <w:pPr>
              <w:spacing w:line="229" w:lineRule="exact"/>
              <w:rPr>
                <w:rFonts w:ascii="Times New Roman" w:hAnsi="Times New Roman"/>
                <w:kern w:val="0"/>
                <w:sz w:val="18"/>
                <w:szCs w:val="18"/>
                <w:lang w:eastAsia="en-US"/>
              </w:rPr>
            </w:pPr>
            <w:r>
              <w:rPr>
                <w:rFonts w:ascii="Times New Roman" w:hAnsi="Times New Roman"/>
                <w:kern w:val="0"/>
                <w:sz w:val="18"/>
                <w:szCs w:val="18"/>
                <w:lang w:eastAsia="en-US"/>
              </w:rPr>
              <w:t>固定源</w:t>
            </w:r>
          </w:p>
        </w:tc>
        <w:tc>
          <w:tcPr>
            <w:tcW w:w="1375" w:type="pct"/>
            <w:tcBorders>
              <w:top w:val="single" w:color="000000" w:sz="4" w:space="0"/>
              <w:left w:val="single" w:color="000000" w:sz="4" w:space="0"/>
              <w:bottom w:val="single" w:color="auto" w:sz="4" w:space="0"/>
              <w:right w:val="single" w:color="000000" w:sz="4" w:space="0"/>
            </w:tcBorders>
            <w:vAlign w:val="center"/>
          </w:tcPr>
          <w:p>
            <w:pPr>
              <w:spacing w:line="229" w:lineRule="exact"/>
              <w:rPr>
                <w:rFonts w:ascii="Times New Roman" w:hAnsi="Times New Roman"/>
                <w:kern w:val="0"/>
                <w:sz w:val="18"/>
                <w:szCs w:val="18"/>
                <w:lang w:eastAsia="zh-CN"/>
              </w:rPr>
            </w:pPr>
            <w:r>
              <w:rPr>
                <w:rFonts w:ascii="Times New Roman" w:hAnsi="Times New Roman"/>
                <w:spacing w:val="1"/>
                <w:kern w:val="0"/>
                <w:sz w:val="18"/>
                <w:szCs w:val="18"/>
                <w:lang w:eastAsia="zh-CN"/>
              </w:rPr>
              <w:t>1</w:t>
            </w:r>
            <w:r>
              <w:rPr>
                <w:rFonts w:ascii="Times New Roman" w:hAnsi="Times New Roman"/>
                <w:kern w:val="0"/>
                <w:sz w:val="18"/>
                <w:szCs w:val="18"/>
                <w:lang w:eastAsia="zh-CN"/>
              </w:rPr>
              <w:t>、规定了</w:t>
            </w:r>
            <w:r>
              <w:rPr>
                <w:rFonts w:ascii="Times New Roman" w:hAnsi="Times New Roman"/>
                <w:spacing w:val="2"/>
                <w:kern w:val="0"/>
                <w:sz w:val="18"/>
                <w:szCs w:val="18"/>
                <w:lang w:eastAsia="zh-CN"/>
              </w:rPr>
              <w:t>锅</w:t>
            </w:r>
            <w:r>
              <w:rPr>
                <w:rFonts w:ascii="Times New Roman" w:hAnsi="Times New Roman"/>
                <w:kern w:val="0"/>
                <w:sz w:val="18"/>
                <w:szCs w:val="18"/>
                <w:lang w:eastAsia="zh-CN"/>
              </w:rPr>
              <w:t>炉、</w:t>
            </w:r>
            <w:r>
              <w:rPr>
                <w:rFonts w:ascii="Times New Roman" w:hAnsi="Times New Roman"/>
                <w:spacing w:val="2"/>
                <w:kern w:val="0"/>
                <w:sz w:val="18"/>
                <w:szCs w:val="18"/>
                <w:lang w:eastAsia="zh-CN"/>
              </w:rPr>
              <w:t>钢</w:t>
            </w:r>
            <w:r>
              <w:rPr>
                <w:rFonts w:ascii="Times New Roman" w:hAnsi="Times New Roman"/>
                <w:kern w:val="0"/>
                <w:sz w:val="18"/>
                <w:szCs w:val="18"/>
                <w:lang w:eastAsia="zh-CN"/>
              </w:rPr>
              <w:t>铁工</w:t>
            </w:r>
            <w:r>
              <w:rPr>
                <w:rFonts w:ascii="Times New Roman" w:hAnsi="Times New Roman"/>
                <w:spacing w:val="2"/>
                <w:kern w:val="0"/>
                <w:sz w:val="18"/>
                <w:szCs w:val="18"/>
                <w:lang w:eastAsia="zh-CN"/>
              </w:rPr>
              <w:t>业</w:t>
            </w:r>
            <w:r>
              <w:rPr>
                <w:rFonts w:ascii="Times New Roman" w:hAnsi="Times New Roman"/>
                <w:kern w:val="0"/>
                <w:sz w:val="18"/>
                <w:szCs w:val="18"/>
                <w:lang w:eastAsia="zh-CN"/>
              </w:rPr>
              <w:t>、建材</w:t>
            </w:r>
            <w:r>
              <w:rPr>
                <w:rFonts w:ascii="Times New Roman" w:hAnsi="Times New Roman"/>
                <w:spacing w:val="2"/>
                <w:kern w:val="0"/>
                <w:sz w:val="18"/>
                <w:szCs w:val="18"/>
                <w:lang w:eastAsia="zh-CN"/>
              </w:rPr>
              <w:t>工</w:t>
            </w:r>
            <w:r>
              <w:rPr>
                <w:rFonts w:ascii="Times New Roman" w:hAnsi="Times New Roman"/>
                <w:kern w:val="0"/>
                <w:sz w:val="18"/>
                <w:szCs w:val="18"/>
                <w:lang w:eastAsia="zh-CN"/>
              </w:rPr>
              <w:t>业、</w:t>
            </w:r>
            <w:r>
              <w:rPr>
                <w:rFonts w:ascii="Times New Roman" w:hAnsi="Times New Roman"/>
                <w:spacing w:val="2"/>
                <w:kern w:val="0"/>
                <w:sz w:val="18"/>
                <w:szCs w:val="18"/>
                <w:lang w:eastAsia="zh-CN"/>
              </w:rPr>
              <w:t>炼</w:t>
            </w:r>
            <w:r>
              <w:rPr>
                <w:rFonts w:ascii="Times New Roman" w:hAnsi="Times New Roman"/>
                <w:kern w:val="0"/>
                <w:sz w:val="18"/>
                <w:szCs w:val="18"/>
                <w:lang w:eastAsia="zh-CN"/>
              </w:rPr>
              <w:t>焦工业、铝</w:t>
            </w:r>
            <w:r>
              <w:rPr>
                <w:rFonts w:ascii="Times New Roman" w:hAnsi="Times New Roman"/>
                <w:spacing w:val="2"/>
                <w:kern w:val="0"/>
                <w:sz w:val="18"/>
                <w:szCs w:val="18"/>
                <w:lang w:eastAsia="zh-CN"/>
              </w:rPr>
              <w:t>工</w:t>
            </w:r>
            <w:r>
              <w:rPr>
                <w:rFonts w:ascii="Times New Roman" w:hAnsi="Times New Roman"/>
                <w:kern w:val="0"/>
                <w:sz w:val="18"/>
                <w:szCs w:val="18"/>
                <w:lang w:eastAsia="zh-CN"/>
              </w:rPr>
              <w:t>业、</w:t>
            </w:r>
            <w:r>
              <w:rPr>
                <w:rFonts w:ascii="Times New Roman" w:hAnsi="Times New Roman"/>
                <w:spacing w:val="2"/>
                <w:kern w:val="0"/>
                <w:sz w:val="18"/>
                <w:szCs w:val="18"/>
                <w:lang w:eastAsia="zh-CN"/>
              </w:rPr>
              <w:t>柠</w:t>
            </w:r>
            <w:r>
              <w:rPr>
                <w:rFonts w:ascii="Times New Roman" w:hAnsi="Times New Roman"/>
                <w:kern w:val="0"/>
                <w:sz w:val="18"/>
                <w:szCs w:val="18"/>
                <w:lang w:eastAsia="zh-CN"/>
              </w:rPr>
              <w:t>檬酸</w:t>
            </w:r>
            <w:r>
              <w:rPr>
                <w:rFonts w:ascii="Times New Roman" w:hAnsi="Times New Roman"/>
                <w:spacing w:val="2"/>
                <w:kern w:val="0"/>
                <w:sz w:val="18"/>
                <w:szCs w:val="18"/>
                <w:lang w:eastAsia="zh-CN"/>
              </w:rPr>
              <w:t>工</w:t>
            </w:r>
            <w:r>
              <w:rPr>
                <w:rFonts w:ascii="Times New Roman" w:hAnsi="Times New Roman"/>
                <w:kern w:val="0"/>
                <w:sz w:val="18"/>
                <w:szCs w:val="18"/>
                <w:lang w:eastAsia="zh-CN"/>
              </w:rPr>
              <w:t>业</w:t>
            </w:r>
            <w:r>
              <w:rPr>
                <w:rFonts w:ascii="Times New Roman" w:hAnsi="Times New Roman"/>
                <w:spacing w:val="2"/>
                <w:kern w:val="0"/>
                <w:sz w:val="18"/>
                <w:szCs w:val="18"/>
                <w:lang w:eastAsia="zh-CN"/>
              </w:rPr>
              <w:t>、</w:t>
            </w:r>
            <w:r>
              <w:rPr>
                <w:rFonts w:ascii="Times New Roman" w:hAnsi="Times New Roman"/>
                <w:kern w:val="0"/>
                <w:sz w:val="18"/>
                <w:szCs w:val="18"/>
                <w:lang w:eastAsia="zh-CN"/>
              </w:rPr>
              <w:t>硝酸工</w:t>
            </w:r>
            <w:r>
              <w:rPr>
                <w:rFonts w:ascii="Times New Roman" w:hAnsi="Times New Roman"/>
                <w:spacing w:val="2"/>
                <w:kern w:val="0"/>
                <w:sz w:val="18"/>
                <w:szCs w:val="18"/>
                <w:lang w:eastAsia="zh-CN"/>
              </w:rPr>
              <w:t>业</w:t>
            </w:r>
            <w:r>
              <w:rPr>
                <w:rFonts w:ascii="Times New Roman" w:hAnsi="Times New Roman"/>
                <w:kern w:val="0"/>
                <w:sz w:val="18"/>
                <w:szCs w:val="18"/>
                <w:lang w:eastAsia="zh-CN"/>
              </w:rPr>
              <w:t>、橡</w:t>
            </w:r>
            <w:r>
              <w:rPr>
                <w:rFonts w:ascii="Times New Roman" w:hAnsi="Times New Roman"/>
                <w:spacing w:val="2"/>
                <w:kern w:val="0"/>
                <w:sz w:val="18"/>
                <w:szCs w:val="18"/>
                <w:lang w:eastAsia="zh-CN"/>
              </w:rPr>
              <w:t>胶</w:t>
            </w:r>
            <w:r>
              <w:rPr>
                <w:rFonts w:ascii="Times New Roman" w:hAnsi="Times New Roman"/>
                <w:kern w:val="0"/>
                <w:sz w:val="18"/>
                <w:szCs w:val="18"/>
                <w:lang w:eastAsia="zh-CN"/>
              </w:rPr>
              <w:t>工业、合</w:t>
            </w:r>
            <w:r>
              <w:rPr>
                <w:rFonts w:ascii="Times New Roman" w:hAnsi="Times New Roman"/>
                <w:spacing w:val="2"/>
                <w:kern w:val="0"/>
                <w:sz w:val="18"/>
                <w:szCs w:val="18"/>
                <w:lang w:eastAsia="zh-CN"/>
              </w:rPr>
              <w:t>成</w:t>
            </w:r>
            <w:r>
              <w:rPr>
                <w:rFonts w:ascii="Times New Roman" w:hAnsi="Times New Roman"/>
                <w:kern w:val="0"/>
                <w:sz w:val="18"/>
                <w:szCs w:val="18"/>
                <w:lang w:eastAsia="zh-CN"/>
              </w:rPr>
              <w:t>革工</w:t>
            </w:r>
            <w:r>
              <w:rPr>
                <w:rFonts w:ascii="Times New Roman" w:hAnsi="Times New Roman"/>
                <w:spacing w:val="2"/>
                <w:kern w:val="0"/>
                <w:sz w:val="18"/>
                <w:szCs w:val="18"/>
                <w:lang w:eastAsia="zh-CN"/>
              </w:rPr>
              <w:t>业</w:t>
            </w:r>
            <w:r>
              <w:rPr>
                <w:rFonts w:ascii="Times New Roman" w:hAnsi="Times New Roman"/>
                <w:kern w:val="0"/>
                <w:sz w:val="18"/>
                <w:szCs w:val="18"/>
                <w:lang w:eastAsia="zh-CN"/>
              </w:rPr>
              <w:t>、其</w:t>
            </w:r>
            <w:r>
              <w:rPr>
                <w:rFonts w:ascii="Times New Roman" w:hAnsi="Times New Roman"/>
                <w:spacing w:val="2"/>
                <w:kern w:val="0"/>
                <w:sz w:val="18"/>
                <w:szCs w:val="18"/>
                <w:lang w:eastAsia="zh-CN"/>
              </w:rPr>
              <w:t>他</w:t>
            </w:r>
            <w:r>
              <w:rPr>
                <w:rFonts w:ascii="Times New Roman" w:hAnsi="Times New Roman"/>
                <w:kern w:val="0"/>
                <w:sz w:val="18"/>
                <w:szCs w:val="18"/>
                <w:lang w:eastAsia="zh-CN"/>
              </w:rPr>
              <w:t>工</w:t>
            </w:r>
            <w:r>
              <w:rPr>
                <w:rFonts w:ascii="Times New Roman" w:hAnsi="Times New Roman"/>
                <w:spacing w:val="2"/>
                <w:kern w:val="0"/>
                <w:sz w:val="18"/>
                <w:szCs w:val="18"/>
                <w:lang w:eastAsia="zh-CN"/>
              </w:rPr>
              <w:t>业</w:t>
            </w:r>
            <w:r>
              <w:rPr>
                <w:rFonts w:ascii="Times New Roman" w:hAnsi="Times New Roman"/>
                <w:kern w:val="0"/>
                <w:sz w:val="18"/>
                <w:szCs w:val="18"/>
                <w:lang w:eastAsia="zh-CN"/>
              </w:rPr>
              <w:t>炉窑的</w:t>
            </w:r>
            <w:r>
              <w:rPr>
                <w:rFonts w:ascii="Times New Roman" w:hAnsi="Times New Roman"/>
                <w:spacing w:val="2"/>
                <w:kern w:val="0"/>
                <w:sz w:val="18"/>
                <w:szCs w:val="18"/>
                <w:lang w:eastAsia="zh-CN"/>
              </w:rPr>
              <w:t>二</w:t>
            </w:r>
            <w:r>
              <w:rPr>
                <w:rFonts w:ascii="Times New Roman" w:hAnsi="Times New Roman"/>
                <w:kern w:val="0"/>
                <w:sz w:val="18"/>
                <w:szCs w:val="18"/>
                <w:lang w:eastAsia="zh-CN"/>
              </w:rPr>
              <w:t>氧化</w:t>
            </w:r>
            <w:r>
              <w:rPr>
                <w:rFonts w:ascii="Times New Roman" w:hAnsi="Times New Roman"/>
                <w:spacing w:val="2"/>
                <w:kern w:val="0"/>
                <w:sz w:val="18"/>
                <w:szCs w:val="18"/>
                <w:lang w:eastAsia="zh-CN"/>
              </w:rPr>
              <w:t>硫</w:t>
            </w:r>
            <w:r>
              <w:rPr>
                <w:rFonts w:ascii="Times New Roman" w:hAnsi="Times New Roman"/>
                <w:kern w:val="0"/>
                <w:sz w:val="18"/>
                <w:szCs w:val="18"/>
                <w:lang w:eastAsia="zh-CN"/>
              </w:rPr>
              <w:t>、氮氧化物</w:t>
            </w:r>
            <w:r>
              <w:rPr>
                <w:rFonts w:ascii="Times New Roman" w:hAnsi="Times New Roman"/>
                <w:spacing w:val="2"/>
                <w:kern w:val="0"/>
                <w:sz w:val="18"/>
                <w:szCs w:val="18"/>
                <w:lang w:eastAsia="zh-CN"/>
              </w:rPr>
              <w:t>和</w:t>
            </w:r>
            <w:r>
              <w:rPr>
                <w:rFonts w:ascii="Times New Roman" w:hAnsi="Times New Roman"/>
                <w:kern w:val="0"/>
                <w:sz w:val="18"/>
                <w:szCs w:val="18"/>
                <w:lang w:eastAsia="zh-CN"/>
              </w:rPr>
              <w:t>颗粒</w:t>
            </w:r>
            <w:r>
              <w:rPr>
                <w:rFonts w:ascii="Times New Roman" w:hAnsi="Times New Roman"/>
                <w:spacing w:val="2"/>
                <w:kern w:val="0"/>
                <w:sz w:val="18"/>
                <w:szCs w:val="18"/>
                <w:lang w:eastAsia="zh-CN"/>
              </w:rPr>
              <w:t>物</w:t>
            </w:r>
            <w:r>
              <w:rPr>
                <w:rFonts w:ascii="Times New Roman" w:hAnsi="Times New Roman"/>
                <w:kern w:val="0"/>
                <w:sz w:val="18"/>
                <w:szCs w:val="18"/>
                <w:lang w:eastAsia="zh-CN"/>
              </w:rPr>
              <w:t>的排</w:t>
            </w:r>
            <w:r>
              <w:rPr>
                <w:rFonts w:ascii="Times New Roman" w:hAnsi="Times New Roman"/>
                <w:spacing w:val="2"/>
                <w:kern w:val="0"/>
                <w:sz w:val="18"/>
                <w:szCs w:val="18"/>
                <w:lang w:eastAsia="zh-CN"/>
              </w:rPr>
              <w:t>放</w:t>
            </w:r>
            <w:r>
              <w:rPr>
                <w:rFonts w:ascii="Times New Roman" w:hAnsi="Times New Roman"/>
                <w:kern w:val="0"/>
                <w:sz w:val="18"/>
                <w:szCs w:val="18"/>
                <w:lang w:eastAsia="zh-CN"/>
              </w:rPr>
              <w:t>标</w:t>
            </w:r>
            <w:r>
              <w:rPr>
                <w:rFonts w:ascii="Times New Roman" w:hAnsi="Times New Roman"/>
                <w:spacing w:val="2"/>
                <w:kern w:val="0"/>
                <w:sz w:val="18"/>
                <w:szCs w:val="18"/>
                <w:lang w:eastAsia="zh-CN"/>
              </w:rPr>
              <w:t>准</w:t>
            </w:r>
            <w:r>
              <w:rPr>
                <w:rFonts w:ascii="Times New Roman" w:hAnsi="Times New Roman"/>
                <w:kern w:val="0"/>
                <w:sz w:val="18"/>
                <w:szCs w:val="18"/>
                <w:lang w:eastAsia="zh-CN"/>
              </w:rPr>
              <w:t>。</w:t>
            </w:r>
          </w:p>
        </w:tc>
        <w:tc>
          <w:tcPr>
            <w:tcW w:w="855" w:type="pct"/>
            <w:tcBorders>
              <w:top w:val="single" w:color="000000" w:sz="4" w:space="0"/>
              <w:left w:val="single" w:color="000000" w:sz="4" w:space="0"/>
              <w:bottom w:val="single" w:color="auto" w:sz="4" w:space="0"/>
              <w:right w:val="single" w:color="000000" w:sz="4" w:space="0"/>
            </w:tcBorders>
            <w:vAlign w:val="center"/>
          </w:tcPr>
          <w:p>
            <w:pPr>
              <w:spacing w:line="229" w:lineRule="exact"/>
              <w:rPr>
                <w:rFonts w:ascii="Times New Roman" w:hAnsi="Times New Roman"/>
                <w:kern w:val="0"/>
                <w:sz w:val="18"/>
                <w:szCs w:val="18"/>
                <w:lang w:eastAsia="zh-CN"/>
              </w:rPr>
            </w:pPr>
            <w:r>
              <w:rPr>
                <w:rFonts w:ascii="Times New Roman" w:hAnsi="Times New Roman"/>
                <w:spacing w:val="1"/>
                <w:kern w:val="0"/>
                <w:sz w:val="18"/>
                <w:szCs w:val="18"/>
                <w:lang w:eastAsia="zh-CN"/>
              </w:rPr>
              <w:t>1</w:t>
            </w:r>
            <w:r>
              <w:rPr>
                <w:rFonts w:ascii="Times New Roman" w:hAnsi="Times New Roman"/>
                <w:kern w:val="0"/>
                <w:sz w:val="18"/>
                <w:szCs w:val="18"/>
                <w:lang w:eastAsia="zh-CN"/>
              </w:rPr>
              <w:t>、划分核</w:t>
            </w:r>
            <w:r>
              <w:rPr>
                <w:rFonts w:ascii="Times New Roman" w:hAnsi="Times New Roman"/>
                <w:spacing w:val="2"/>
                <w:kern w:val="0"/>
                <w:sz w:val="18"/>
                <w:szCs w:val="18"/>
                <w:lang w:eastAsia="zh-CN"/>
              </w:rPr>
              <w:t>心</w:t>
            </w:r>
            <w:r>
              <w:rPr>
                <w:rFonts w:ascii="Times New Roman" w:hAnsi="Times New Roman"/>
                <w:kern w:val="0"/>
                <w:sz w:val="18"/>
                <w:szCs w:val="18"/>
                <w:lang w:eastAsia="zh-CN"/>
              </w:rPr>
              <w:t>控制</w:t>
            </w:r>
            <w:r>
              <w:rPr>
                <w:rFonts w:ascii="Times New Roman" w:hAnsi="Times New Roman"/>
                <w:spacing w:val="2"/>
                <w:kern w:val="0"/>
                <w:sz w:val="18"/>
                <w:szCs w:val="18"/>
                <w:lang w:eastAsia="zh-CN"/>
              </w:rPr>
              <w:t>区</w:t>
            </w:r>
            <w:r>
              <w:rPr>
                <w:rFonts w:ascii="Times New Roman" w:hAnsi="Times New Roman"/>
                <w:kern w:val="0"/>
                <w:sz w:val="18"/>
                <w:szCs w:val="18"/>
                <w:lang w:eastAsia="zh-CN"/>
              </w:rPr>
              <w:t>、重点控制</w:t>
            </w:r>
            <w:r>
              <w:rPr>
                <w:rFonts w:ascii="Times New Roman" w:hAnsi="Times New Roman"/>
                <w:spacing w:val="2"/>
                <w:kern w:val="0"/>
                <w:sz w:val="18"/>
                <w:szCs w:val="18"/>
                <w:lang w:eastAsia="zh-CN"/>
              </w:rPr>
              <w:t>区</w:t>
            </w:r>
            <w:r>
              <w:rPr>
                <w:rFonts w:ascii="Times New Roman" w:hAnsi="Times New Roman"/>
                <w:kern w:val="0"/>
                <w:sz w:val="18"/>
                <w:szCs w:val="18"/>
                <w:lang w:eastAsia="zh-CN"/>
              </w:rPr>
              <w:t>、一</w:t>
            </w:r>
            <w:r>
              <w:rPr>
                <w:rFonts w:ascii="Times New Roman" w:hAnsi="Times New Roman"/>
                <w:spacing w:val="2"/>
                <w:kern w:val="0"/>
                <w:sz w:val="18"/>
                <w:szCs w:val="18"/>
                <w:lang w:eastAsia="zh-CN"/>
              </w:rPr>
              <w:t>般</w:t>
            </w:r>
            <w:r>
              <w:rPr>
                <w:rFonts w:ascii="Times New Roman" w:hAnsi="Times New Roman"/>
                <w:kern w:val="0"/>
                <w:sz w:val="18"/>
                <w:szCs w:val="18"/>
                <w:lang w:eastAsia="zh-CN"/>
              </w:rPr>
              <w:t>控制区</w:t>
            </w:r>
          </w:p>
          <w:p>
            <w:pPr>
              <w:spacing w:line="229" w:lineRule="exact"/>
              <w:rPr>
                <w:rFonts w:ascii="Times New Roman" w:hAnsi="Times New Roman"/>
                <w:kern w:val="0"/>
                <w:sz w:val="18"/>
                <w:szCs w:val="18"/>
                <w:lang w:eastAsia="zh-CN"/>
              </w:rPr>
            </w:pPr>
            <w:r>
              <w:rPr>
                <w:rFonts w:ascii="Times New Roman" w:hAnsi="Times New Roman"/>
                <w:spacing w:val="1"/>
                <w:kern w:val="0"/>
                <w:sz w:val="18"/>
                <w:szCs w:val="18"/>
                <w:lang w:eastAsia="zh-CN"/>
              </w:rPr>
              <w:t>2</w:t>
            </w:r>
            <w:r>
              <w:rPr>
                <w:rFonts w:ascii="Times New Roman" w:hAnsi="Times New Roman"/>
                <w:kern w:val="0"/>
                <w:sz w:val="18"/>
                <w:szCs w:val="18"/>
                <w:lang w:eastAsia="zh-CN"/>
              </w:rPr>
              <w:t>、分时段</w:t>
            </w:r>
            <w:r>
              <w:rPr>
                <w:rFonts w:ascii="Times New Roman" w:hAnsi="Times New Roman"/>
                <w:spacing w:val="2"/>
                <w:kern w:val="0"/>
                <w:sz w:val="18"/>
                <w:szCs w:val="18"/>
                <w:lang w:eastAsia="zh-CN"/>
              </w:rPr>
              <w:t>制</w:t>
            </w:r>
            <w:r>
              <w:rPr>
                <w:rFonts w:ascii="Times New Roman" w:hAnsi="Times New Roman"/>
                <w:kern w:val="0"/>
                <w:sz w:val="18"/>
                <w:szCs w:val="18"/>
                <w:lang w:eastAsia="zh-CN"/>
              </w:rPr>
              <w:t>定标准</w:t>
            </w:r>
          </w:p>
        </w:tc>
        <w:tc>
          <w:tcPr>
            <w:tcW w:w="1414" w:type="pct"/>
            <w:tcBorders>
              <w:top w:val="single" w:color="000000" w:sz="4" w:space="0"/>
              <w:left w:val="single" w:color="000000" w:sz="4" w:space="0"/>
              <w:bottom w:val="single" w:color="000000" w:sz="4" w:space="0"/>
              <w:right w:val="single" w:color="000000" w:sz="4" w:space="0"/>
            </w:tcBorders>
            <w:vAlign w:val="center"/>
          </w:tcPr>
          <w:p>
            <w:pPr>
              <w:spacing w:line="229" w:lineRule="exact"/>
              <w:rPr>
                <w:rFonts w:ascii="Times New Roman" w:hAnsi="Times New Roman"/>
                <w:kern w:val="0"/>
                <w:sz w:val="18"/>
                <w:szCs w:val="18"/>
                <w:lang w:eastAsia="zh-CN"/>
              </w:rPr>
            </w:pPr>
            <w:r>
              <w:rPr>
                <w:rFonts w:ascii="Times New Roman" w:hAnsi="Times New Roman"/>
                <w:spacing w:val="1"/>
                <w:kern w:val="0"/>
                <w:sz w:val="18"/>
                <w:szCs w:val="18"/>
                <w:lang w:eastAsia="zh-CN"/>
              </w:rPr>
              <w:t>1</w:t>
            </w:r>
            <w:r>
              <w:rPr>
                <w:rFonts w:ascii="Times New Roman" w:hAnsi="Times New Roman"/>
                <w:kern w:val="0"/>
                <w:sz w:val="18"/>
                <w:szCs w:val="18"/>
                <w:lang w:eastAsia="zh-CN"/>
              </w:rPr>
              <w:t>、缺少有</w:t>
            </w:r>
            <w:r>
              <w:rPr>
                <w:rFonts w:ascii="Times New Roman" w:hAnsi="Times New Roman"/>
                <w:spacing w:val="2"/>
                <w:kern w:val="0"/>
                <w:sz w:val="18"/>
                <w:szCs w:val="18"/>
                <w:lang w:eastAsia="zh-CN"/>
              </w:rPr>
              <w:t>机</w:t>
            </w:r>
            <w:r>
              <w:rPr>
                <w:rFonts w:ascii="Times New Roman" w:hAnsi="Times New Roman"/>
                <w:kern w:val="0"/>
                <w:sz w:val="18"/>
                <w:szCs w:val="18"/>
                <w:lang w:eastAsia="zh-CN"/>
              </w:rPr>
              <w:t>物的</w:t>
            </w:r>
            <w:r>
              <w:rPr>
                <w:rFonts w:ascii="Times New Roman" w:hAnsi="Times New Roman"/>
                <w:spacing w:val="2"/>
                <w:kern w:val="0"/>
                <w:sz w:val="18"/>
                <w:szCs w:val="18"/>
                <w:lang w:eastAsia="zh-CN"/>
              </w:rPr>
              <w:t>排</w:t>
            </w:r>
            <w:r>
              <w:rPr>
                <w:rFonts w:ascii="Times New Roman" w:hAnsi="Times New Roman"/>
                <w:kern w:val="0"/>
                <w:sz w:val="18"/>
                <w:szCs w:val="18"/>
                <w:lang w:eastAsia="zh-CN"/>
              </w:rPr>
              <w:t>放标准</w:t>
            </w:r>
          </w:p>
          <w:p>
            <w:pPr>
              <w:spacing w:line="229" w:lineRule="exact"/>
              <w:rPr>
                <w:rFonts w:ascii="Times New Roman" w:hAnsi="Times New Roman"/>
                <w:kern w:val="0"/>
                <w:sz w:val="18"/>
                <w:szCs w:val="18"/>
                <w:lang w:eastAsia="zh-CN"/>
              </w:rPr>
            </w:pPr>
            <w:r>
              <w:rPr>
                <w:rFonts w:ascii="Times New Roman" w:hAnsi="Times New Roman"/>
                <w:spacing w:val="1"/>
                <w:kern w:val="0"/>
                <w:sz w:val="18"/>
                <w:szCs w:val="18"/>
                <w:lang w:eastAsia="en-US"/>
              </w:rPr>
              <w:t>2</w:t>
            </w:r>
            <w:r>
              <w:rPr>
                <w:rFonts w:ascii="Times New Roman" w:hAnsi="Times New Roman"/>
                <w:kern w:val="0"/>
                <w:sz w:val="18"/>
                <w:szCs w:val="18"/>
                <w:lang w:eastAsia="en-US"/>
              </w:rPr>
              <w:t>、控制项</w:t>
            </w:r>
            <w:r>
              <w:rPr>
                <w:rFonts w:ascii="Times New Roman" w:hAnsi="Times New Roman"/>
                <w:spacing w:val="2"/>
                <w:kern w:val="0"/>
                <w:sz w:val="18"/>
                <w:szCs w:val="18"/>
                <w:lang w:eastAsia="en-US"/>
              </w:rPr>
              <w:t>目</w:t>
            </w:r>
            <w:r>
              <w:rPr>
                <w:rFonts w:ascii="Times New Roman" w:hAnsi="Times New Roman"/>
                <w:kern w:val="0"/>
                <w:sz w:val="18"/>
                <w:szCs w:val="18"/>
                <w:lang w:eastAsia="en-US"/>
              </w:rPr>
              <w:t>太少</w:t>
            </w:r>
          </w:p>
        </w:tc>
      </w:tr>
      <w:tr>
        <w:tblPrEx>
          <w:tblCellMar>
            <w:top w:w="0" w:type="dxa"/>
            <w:left w:w="0" w:type="dxa"/>
            <w:bottom w:w="0" w:type="dxa"/>
            <w:right w:w="0" w:type="dxa"/>
          </w:tblCellMar>
        </w:tblPrEx>
        <w:trPr>
          <w:trHeight w:val="20" w:hRule="atLeast"/>
        </w:trPr>
        <w:tc>
          <w:tcPr>
            <w:tcW w:w="678" w:type="pct"/>
            <w:tcBorders>
              <w:top w:val="single" w:color="auto" w:sz="4" w:space="0"/>
              <w:left w:val="single" w:color="000000" w:sz="4" w:space="0"/>
              <w:bottom w:val="single" w:color="auto" w:sz="4" w:space="0"/>
              <w:right w:val="single" w:color="000000" w:sz="4" w:space="0"/>
            </w:tcBorders>
            <w:vAlign w:val="center"/>
          </w:tcPr>
          <w:p>
            <w:pPr>
              <w:pStyle w:val="122"/>
              <w:spacing w:line="229" w:lineRule="exact"/>
              <w:rPr>
                <w:rFonts w:eastAsia="宋体"/>
                <w:sz w:val="18"/>
                <w:szCs w:val="18"/>
                <w:lang w:eastAsia="zh-CN"/>
              </w:rPr>
            </w:pPr>
            <w:r>
              <w:rPr>
                <w:rFonts w:eastAsia="宋体"/>
                <w:sz w:val="18"/>
                <w:szCs w:val="18"/>
                <w:lang w:eastAsia="zh-CN"/>
              </w:rPr>
              <w:t>广东省</w:t>
            </w:r>
            <w:r>
              <w:rPr>
                <w:rFonts w:eastAsia="宋体"/>
                <w:spacing w:val="2"/>
                <w:sz w:val="18"/>
                <w:szCs w:val="18"/>
                <w:lang w:eastAsia="zh-CN"/>
              </w:rPr>
              <w:t>大</w:t>
            </w:r>
            <w:r>
              <w:rPr>
                <w:rFonts w:eastAsia="宋体"/>
                <w:sz w:val="18"/>
                <w:szCs w:val="18"/>
                <w:lang w:eastAsia="zh-CN"/>
              </w:rPr>
              <w:t>气污染物综合</w:t>
            </w:r>
            <w:r>
              <w:rPr>
                <w:rFonts w:eastAsia="宋体"/>
                <w:spacing w:val="2"/>
                <w:sz w:val="18"/>
                <w:szCs w:val="18"/>
                <w:lang w:eastAsia="zh-CN"/>
              </w:rPr>
              <w:t>排</w:t>
            </w:r>
            <w:r>
              <w:rPr>
                <w:rFonts w:eastAsia="宋体"/>
                <w:sz w:val="18"/>
                <w:szCs w:val="18"/>
                <w:lang w:eastAsia="zh-CN"/>
              </w:rPr>
              <w:t>放</w:t>
            </w:r>
            <w:r>
              <w:rPr>
                <w:sz w:val="18"/>
                <w:szCs w:val="18"/>
                <w:lang w:eastAsia="zh-CN"/>
              </w:rPr>
              <w:t>限值</w:t>
            </w:r>
          </w:p>
          <w:p>
            <w:pPr>
              <w:pStyle w:val="122"/>
              <w:spacing w:line="229" w:lineRule="exact"/>
              <w:rPr>
                <w:rFonts w:eastAsia="宋体"/>
                <w:sz w:val="18"/>
                <w:szCs w:val="18"/>
                <w:lang w:eastAsia="en-US"/>
              </w:rPr>
            </w:pPr>
            <w:r>
              <w:rPr>
                <w:rFonts w:eastAsia="宋体"/>
                <w:spacing w:val="1"/>
                <w:sz w:val="18"/>
                <w:szCs w:val="18"/>
                <w:lang w:eastAsia="en-US"/>
              </w:rPr>
              <w:t>DB4</w:t>
            </w:r>
            <w:r>
              <w:rPr>
                <w:rFonts w:eastAsia="宋体"/>
                <w:spacing w:val="-2"/>
                <w:sz w:val="18"/>
                <w:szCs w:val="18"/>
                <w:lang w:eastAsia="en-US"/>
              </w:rPr>
              <w:t>4</w:t>
            </w:r>
            <w:r>
              <w:rPr>
                <w:rFonts w:eastAsia="宋体"/>
                <w:spacing w:val="1"/>
                <w:sz w:val="18"/>
                <w:szCs w:val="18"/>
                <w:lang w:eastAsia="en-US"/>
              </w:rPr>
              <w:t>/2</w:t>
            </w:r>
            <w:r>
              <w:rPr>
                <w:rFonts w:eastAsia="宋体"/>
                <w:sz w:val="18"/>
                <w:szCs w:val="18"/>
                <w:lang w:eastAsia="en-US"/>
              </w:rPr>
              <w:t>7</w:t>
            </w:r>
            <w:r>
              <w:rPr>
                <w:rFonts w:eastAsia="宋体"/>
                <w:spacing w:val="1"/>
                <w:sz w:val="18"/>
                <w:szCs w:val="18"/>
                <w:lang w:eastAsia="en-US"/>
              </w:rPr>
              <w:t>-2</w:t>
            </w:r>
            <w:r>
              <w:rPr>
                <w:rFonts w:eastAsia="宋体"/>
                <w:spacing w:val="-2"/>
                <w:sz w:val="18"/>
                <w:szCs w:val="18"/>
                <w:lang w:eastAsia="en-US"/>
              </w:rPr>
              <w:t>0</w:t>
            </w:r>
            <w:r>
              <w:rPr>
                <w:rFonts w:eastAsia="宋体"/>
                <w:spacing w:val="1"/>
                <w:sz w:val="18"/>
                <w:szCs w:val="18"/>
                <w:lang w:eastAsia="en-US"/>
              </w:rPr>
              <w:t>0</w:t>
            </w:r>
            <w:r>
              <w:rPr>
                <w:rFonts w:eastAsia="宋体"/>
                <w:sz w:val="18"/>
                <w:szCs w:val="18"/>
                <w:lang w:eastAsia="en-US"/>
              </w:rPr>
              <w:t>1</w:t>
            </w:r>
          </w:p>
        </w:tc>
        <w:tc>
          <w:tcPr>
            <w:tcW w:w="678" w:type="pct"/>
            <w:tcBorders>
              <w:top w:val="single" w:color="auto" w:sz="4" w:space="0"/>
              <w:left w:val="single" w:color="000000" w:sz="4" w:space="0"/>
              <w:bottom w:val="single" w:color="auto" w:sz="4" w:space="0"/>
              <w:right w:val="single" w:color="000000" w:sz="4" w:space="0"/>
            </w:tcBorders>
            <w:vAlign w:val="center"/>
          </w:tcPr>
          <w:p>
            <w:pPr>
              <w:rPr>
                <w:rFonts w:ascii="Times New Roman" w:hAnsi="Times New Roman"/>
                <w:sz w:val="18"/>
                <w:szCs w:val="18"/>
                <w:lang w:eastAsia="en-US"/>
              </w:rPr>
            </w:pPr>
          </w:p>
        </w:tc>
        <w:tc>
          <w:tcPr>
            <w:tcW w:w="1375" w:type="pct"/>
            <w:tcBorders>
              <w:top w:val="single" w:color="auto" w:sz="4" w:space="0"/>
              <w:left w:val="single" w:color="000000" w:sz="4" w:space="0"/>
              <w:bottom w:val="single" w:color="auto" w:sz="4" w:space="0"/>
              <w:right w:val="single" w:color="000000" w:sz="4" w:space="0"/>
            </w:tcBorders>
            <w:vAlign w:val="center"/>
          </w:tcPr>
          <w:p>
            <w:pPr>
              <w:pStyle w:val="122"/>
              <w:spacing w:line="229" w:lineRule="exact"/>
              <w:jc w:val="both"/>
              <w:rPr>
                <w:rFonts w:eastAsia="宋体"/>
                <w:sz w:val="18"/>
                <w:szCs w:val="18"/>
                <w:lang w:eastAsia="zh-CN"/>
              </w:rPr>
            </w:pPr>
            <w:r>
              <w:rPr>
                <w:rFonts w:eastAsia="宋体"/>
                <w:sz w:val="18"/>
                <w:szCs w:val="18"/>
                <w:lang w:eastAsia="zh-CN"/>
              </w:rPr>
              <w:t>对火电</w:t>
            </w:r>
            <w:r>
              <w:rPr>
                <w:rFonts w:eastAsia="宋体"/>
                <w:spacing w:val="2"/>
                <w:sz w:val="18"/>
                <w:szCs w:val="18"/>
                <w:lang w:eastAsia="zh-CN"/>
              </w:rPr>
              <w:t>厂</w:t>
            </w:r>
            <w:r>
              <w:rPr>
                <w:rFonts w:eastAsia="宋体"/>
                <w:sz w:val="18"/>
                <w:szCs w:val="18"/>
                <w:lang w:eastAsia="zh-CN"/>
              </w:rPr>
              <w:t>、锅</w:t>
            </w:r>
            <w:r>
              <w:rPr>
                <w:rFonts w:eastAsia="宋体"/>
                <w:spacing w:val="2"/>
                <w:sz w:val="18"/>
                <w:szCs w:val="18"/>
                <w:lang w:eastAsia="zh-CN"/>
              </w:rPr>
              <w:t>炉</w:t>
            </w:r>
            <w:r>
              <w:rPr>
                <w:rFonts w:eastAsia="宋体"/>
                <w:sz w:val="18"/>
                <w:szCs w:val="18"/>
                <w:lang w:eastAsia="zh-CN"/>
              </w:rPr>
              <w:t>、水</w:t>
            </w:r>
            <w:r>
              <w:rPr>
                <w:rFonts w:eastAsia="宋体"/>
                <w:spacing w:val="2"/>
                <w:sz w:val="18"/>
                <w:szCs w:val="18"/>
                <w:lang w:eastAsia="zh-CN"/>
              </w:rPr>
              <w:t>泥</w:t>
            </w:r>
            <w:r>
              <w:rPr>
                <w:rFonts w:eastAsia="宋体"/>
                <w:sz w:val="18"/>
                <w:szCs w:val="18"/>
                <w:lang w:eastAsia="zh-CN"/>
              </w:rPr>
              <w:t>厂</w:t>
            </w:r>
            <w:r>
              <w:rPr>
                <w:rFonts w:eastAsia="宋体"/>
                <w:spacing w:val="2"/>
                <w:sz w:val="18"/>
                <w:szCs w:val="18"/>
                <w:lang w:eastAsia="zh-CN"/>
              </w:rPr>
              <w:t>的</w:t>
            </w:r>
            <w:r>
              <w:rPr>
                <w:rFonts w:eastAsia="宋体"/>
                <w:sz w:val="18"/>
                <w:szCs w:val="18"/>
                <w:lang w:eastAsia="zh-CN"/>
              </w:rPr>
              <w:t>大气污</w:t>
            </w:r>
            <w:r>
              <w:rPr>
                <w:rFonts w:eastAsia="宋体"/>
                <w:spacing w:val="2"/>
                <w:sz w:val="18"/>
                <w:szCs w:val="18"/>
                <w:lang w:eastAsia="zh-CN"/>
              </w:rPr>
              <w:t>染</w:t>
            </w:r>
            <w:r>
              <w:rPr>
                <w:rFonts w:eastAsia="宋体"/>
                <w:sz w:val="18"/>
                <w:szCs w:val="18"/>
                <w:lang w:eastAsia="zh-CN"/>
              </w:rPr>
              <w:t>物排</w:t>
            </w:r>
            <w:r>
              <w:rPr>
                <w:rFonts w:eastAsia="宋体"/>
                <w:spacing w:val="2"/>
                <w:sz w:val="18"/>
                <w:szCs w:val="18"/>
                <w:lang w:eastAsia="zh-CN"/>
              </w:rPr>
              <w:t>放</w:t>
            </w:r>
            <w:r>
              <w:rPr>
                <w:rFonts w:eastAsia="宋体"/>
                <w:sz w:val="18"/>
                <w:szCs w:val="18"/>
                <w:lang w:eastAsia="zh-CN"/>
              </w:rPr>
              <w:t>适当从严控</w:t>
            </w:r>
            <w:r>
              <w:rPr>
                <w:rFonts w:eastAsia="宋体"/>
                <w:spacing w:val="2"/>
                <w:sz w:val="18"/>
                <w:szCs w:val="18"/>
                <w:lang w:eastAsia="zh-CN"/>
              </w:rPr>
              <w:t>制</w:t>
            </w:r>
            <w:r>
              <w:rPr>
                <w:rFonts w:eastAsia="宋体"/>
                <w:sz w:val="18"/>
                <w:szCs w:val="18"/>
                <w:lang w:eastAsia="zh-CN"/>
              </w:rPr>
              <w:t>；—</w:t>
            </w:r>
            <w:r>
              <w:rPr>
                <w:rFonts w:eastAsia="宋体"/>
                <w:spacing w:val="2"/>
                <w:sz w:val="18"/>
                <w:szCs w:val="18"/>
                <w:lang w:eastAsia="zh-CN"/>
              </w:rPr>
              <w:t>—</w:t>
            </w:r>
            <w:r>
              <w:rPr>
                <w:rFonts w:eastAsia="宋体"/>
                <w:sz w:val="18"/>
                <w:szCs w:val="18"/>
                <w:lang w:eastAsia="zh-CN"/>
              </w:rPr>
              <w:t>新增</w:t>
            </w:r>
            <w:r>
              <w:rPr>
                <w:rFonts w:eastAsia="宋体"/>
                <w:spacing w:val="2"/>
                <w:sz w:val="18"/>
                <w:szCs w:val="18"/>
                <w:lang w:eastAsia="zh-CN"/>
              </w:rPr>
              <w:t>控</w:t>
            </w:r>
            <w:r>
              <w:rPr>
                <w:rFonts w:eastAsia="宋体"/>
                <w:sz w:val="18"/>
                <w:szCs w:val="18"/>
                <w:lang w:eastAsia="zh-CN"/>
              </w:rPr>
              <w:t>制</w:t>
            </w:r>
            <w:r>
              <w:rPr>
                <w:rFonts w:eastAsia="宋体"/>
                <w:spacing w:val="2"/>
                <w:sz w:val="18"/>
                <w:szCs w:val="18"/>
                <w:lang w:eastAsia="zh-CN"/>
              </w:rPr>
              <w:t>项</w:t>
            </w:r>
            <w:r>
              <w:rPr>
                <w:rFonts w:eastAsia="宋体"/>
                <w:sz w:val="18"/>
                <w:szCs w:val="18"/>
                <w:lang w:eastAsia="zh-CN"/>
              </w:rPr>
              <w:t>目</w:t>
            </w:r>
            <w:r>
              <w:rPr>
                <w:rFonts w:eastAsia="宋体"/>
                <w:spacing w:val="1"/>
                <w:sz w:val="18"/>
                <w:szCs w:val="18"/>
                <w:lang w:eastAsia="zh-CN"/>
              </w:rPr>
              <w:t>1</w:t>
            </w:r>
            <w:r>
              <w:rPr>
                <w:rFonts w:eastAsia="宋体"/>
                <w:sz w:val="18"/>
                <w:szCs w:val="18"/>
                <w:lang w:eastAsia="zh-CN"/>
              </w:rPr>
              <w:t>8项，减少硫化氢、二</w:t>
            </w:r>
            <w:r>
              <w:rPr>
                <w:rFonts w:eastAsia="宋体"/>
                <w:spacing w:val="2"/>
                <w:sz w:val="18"/>
                <w:szCs w:val="18"/>
                <w:lang w:eastAsia="zh-CN"/>
              </w:rPr>
              <w:t>硫</w:t>
            </w:r>
            <w:r>
              <w:rPr>
                <w:rFonts w:eastAsia="宋体"/>
                <w:sz w:val="18"/>
                <w:szCs w:val="18"/>
                <w:lang w:eastAsia="zh-CN"/>
              </w:rPr>
              <w:t>化碳等2项，</w:t>
            </w:r>
            <w:r>
              <w:rPr>
                <w:rFonts w:eastAsia="宋体"/>
                <w:spacing w:val="2"/>
                <w:sz w:val="18"/>
                <w:szCs w:val="18"/>
                <w:lang w:eastAsia="zh-CN"/>
              </w:rPr>
              <w:t>将</w:t>
            </w:r>
            <w:r>
              <w:rPr>
                <w:rFonts w:eastAsia="宋体"/>
                <w:sz w:val="18"/>
                <w:szCs w:val="18"/>
                <w:lang w:eastAsia="zh-CN"/>
              </w:rPr>
              <w:t>苯、甲</w:t>
            </w:r>
            <w:r>
              <w:rPr>
                <w:rFonts w:eastAsia="宋体"/>
                <w:spacing w:val="2"/>
                <w:sz w:val="18"/>
                <w:szCs w:val="18"/>
                <w:lang w:eastAsia="zh-CN"/>
              </w:rPr>
              <w:t>苯</w:t>
            </w:r>
            <w:r>
              <w:rPr>
                <w:rFonts w:eastAsia="宋体"/>
                <w:sz w:val="18"/>
                <w:szCs w:val="18"/>
                <w:lang w:eastAsia="zh-CN"/>
              </w:rPr>
              <w:t>、二</w:t>
            </w:r>
            <w:r>
              <w:rPr>
                <w:rFonts w:eastAsia="宋体"/>
                <w:spacing w:val="2"/>
                <w:sz w:val="18"/>
                <w:szCs w:val="18"/>
                <w:lang w:eastAsia="zh-CN"/>
              </w:rPr>
              <w:t>甲</w:t>
            </w:r>
            <w:r>
              <w:rPr>
                <w:rFonts w:eastAsia="宋体"/>
                <w:sz w:val="18"/>
                <w:szCs w:val="18"/>
                <w:lang w:eastAsia="zh-CN"/>
              </w:rPr>
              <w:t>苯分别定值</w:t>
            </w:r>
            <w:r>
              <w:rPr>
                <w:rFonts w:eastAsia="宋体"/>
                <w:spacing w:val="2"/>
                <w:sz w:val="18"/>
                <w:szCs w:val="18"/>
                <w:lang w:eastAsia="zh-CN"/>
              </w:rPr>
              <w:t>；</w:t>
            </w:r>
            <w:r>
              <w:rPr>
                <w:rFonts w:eastAsia="宋体"/>
                <w:sz w:val="18"/>
                <w:szCs w:val="18"/>
                <w:lang w:eastAsia="zh-CN"/>
              </w:rPr>
              <w:t>——</w:t>
            </w:r>
            <w:r>
              <w:rPr>
                <w:rFonts w:eastAsia="宋体"/>
                <w:spacing w:val="2"/>
                <w:sz w:val="18"/>
                <w:szCs w:val="18"/>
                <w:lang w:eastAsia="zh-CN"/>
              </w:rPr>
              <w:t>二</w:t>
            </w:r>
            <w:r>
              <w:rPr>
                <w:rFonts w:eastAsia="宋体"/>
                <w:sz w:val="18"/>
                <w:szCs w:val="18"/>
                <w:lang w:eastAsia="zh-CN"/>
              </w:rPr>
              <w:t>氧化</w:t>
            </w:r>
            <w:r>
              <w:rPr>
                <w:rFonts w:eastAsia="宋体"/>
                <w:spacing w:val="2"/>
                <w:sz w:val="18"/>
                <w:szCs w:val="18"/>
                <w:lang w:eastAsia="zh-CN"/>
              </w:rPr>
              <w:t>硫</w:t>
            </w:r>
            <w:r>
              <w:rPr>
                <w:rFonts w:eastAsia="宋体"/>
                <w:sz w:val="18"/>
                <w:szCs w:val="18"/>
                <w:lang w:eastAsia="zh-CN"/>
              </w:rPr>
              <w:t>、</w:t>
            </w:r>
            <w:r>
              <w:rPr>
                <w:rFonts w:eastAsia="宋体"/>
                <w:spacing w:val="2"/>
                <w:sz w:val="18"/>
                <w:szCs w:val="18"/>
                <w:lang w:eastAsia="zh-CN"/>
              </w:rPr>
              <w:t>氟</w:t>
            </w:r>
            <w:r>
              <w:rPr>
                <w:rFonts w:eastAsia="宋体"/>
                <w:sz w:val="18"/>
                <w:szCs w:val="18"/>
                <w:lang w:eastAsia="zh-CN"/>
              </w:rPr>
              <w:t>化物、</w:t>
            </w:r>
            <w:r>
              <w:rPr>
                <w:rFonts w:eastAsia="宋体"/>
                <w:spacing w:val="2"/>
                <w:sz w:val="18"/>
                <w:szCs w:val="18"/>
                <w:lang w:eastAsia="zh-CN"/>
              </w:rPr>
              <w:t>氯</w:t>
            </w:r>
            <w:r>
              <w:rPr>
                <w:rFonts w:eastAsia="宋体"/>
                <w:sz w:val="18"/>
                <w:szCs w:val="18"/>
                <w:lang w:eastAsia="zh-CN"/>
              </w:rPr>
              <w:t>气、</w:t>
            </w:r>
            <w:r>
              <w:rPr>
                <w:rFonts w:eastAsia="宋体"/>
                <w:spacing w:val="2"/>
                <w:sz w:val="18"/>
                <w:szCs w:val="18"/>
                <w:lang w:eastAsia="zh-CN"/>
              </w:rPr>
              <w:t>铅</w:t>
            </w:r>
            <w:r>
              <w:rPr>
                <w:rFonts w:eastAsia="宋体"/>
                <w:sz w:val="18"/>
                <w:szCs w:val="18"/>
                <w:lang w:eastAsia="zh-CN"/>
              </w:rPr>
              <w:t>及其化合物</w:t>
            </w:r>
            <w:r>
              <w:rPr>
                <w:rFonts w:eastAsia="宋体"/>
                <w:spacing w:val="2"/>
                <w:sz w:val="18"/>
                <w:szCs w:val="18"/>
                <w:lang w:eastAsia="zh-CN"/>
              </w:rPr>
              <w:t>、</w:t>
            </w:r>
            <w:r>
              <w:rPr>
                <w:rFonts w:eastAsia="宋体"/>
                <w:sz w:val="18"/>
                <w:szCs w:val="18"/>
                <w:lang w:eastAsia="zh-CN"/>
              </w:rPr>
              <w:t>镉及</w:t>
            </w:r>
            <w:r>
              <w:rPr>
                <w:rFonts w:eastAsia="宋体"/>
                <w:spacing w:val="2"/>
                <w:sz w:val="18"/>
                <w:szCs w:val="18"/>
                <w:lang w:eastAsia="zh-CN"/>
              </w:rPr>
              <w:t>其</w:t>
            </w:r>
            <w:r>
              <w:rPr>
                <w:rFonts w:eastAsia="宋体"/>
                <w:sz w:val="18"/>
                <w:szCs w:val="18"/>
                <w:lang w:eastAsia="zh-CN"/>
              </w:rPr>
              <w:t>化合</w:t>
            </w:r>
            <w:r>
              <w:rPr>
                <w:rFonts w:eastAsia="宋体"/>
                <w:spacing w:val="2"/>
                <w:sz w:val="18"/>
                <w:szCs w:val="18"/>
                <w:lang w:eastAsia="zh-CN"/>
              </w:rPr>
              <w:t>物</w:t>
            </w:r>
            <w:r>
              <w:rPr>
                <w:rFonts w:eastAsia="宋体"/>
                <w:sz w:val="18"/>
                <w:szCs w:val="18"/>
                <w:lang w:eastAsia="zh-CN"/>
              </w:rPr>
              <w:t>、</w:t>
            </w:r>
            <w:r>
              <w:rPr>
                <w:rFonts w:eastAsia="宋体"/>
                <w:spacing w:val="2"/>
                <w:sz w:val="18"/>
                <w:szCs w:val="18"/>
                <w:lang w:eastAsia="zh-CN"/>
              </w:rPr>
              <w:t>硝</w:t>
            </w:r>
            <w:r>
              <w:rPr>
                <w:rFonts w:eastAsia="宋体"/>
                <w:sz w:val="18"/>
                <w:szCs w:val="18"/>
                <w:lang w:eastAsia="zh-CN"/>
              </w:rPr>
              <w:t>基苯类</w:t>
            </w:r>
            <w:r>
              <w:rPr>
                <w:rFonts w:eastAsia="宋体"/>
                <w:spacing w:val="2"/>
                <w:sz w:val="18"/>
                <w:szCs w:val="18"/>
                <w:lang w:eastAsia="zh-CN"/>
              </w:rPr>
              <w:t>等</w:t>
            </w:r>
            <w:r>
              <w:rPr>
                <w:rFonts w:eastAsia="宋体"/>
                <w:sz w:val="18"/>
                <w:szCs w:val="18"/>
                <w:lang w:eastAsia="zh-CN"/>
              </w:rPr>
              <w:t>项目</w:t>
            </w:r>
            <w:r>
              <w:rPr>
                <w:rFonts w:eastAsia="宋体"/>
                <w:spacing w:val="2"/>
                <w:sz w:val="18"/>
                <w:szCs w:val="18"/>
                <w:lang w:eastAsia="zh-CN"/>
              </w:rPr>
              <w:t>的</w:t>
            </w:r>
            <w:r>
              <w:rPr>
                <w:rFonts w:eastAsia="宋体"/>
                <w:sz w:val="18"/>
                <w:szCs w:val="18"/>
                <w:lang w:eastAsia="zh-CN"/>
              </w:rPr>
              <w:t>最高允许排</w:t>
            </w:r>
            <w:r>
              <w:rPr>
                <w:rFonts w:eastAsia="宋体"/>
                <w:spacing w:val="2"/>
                <w:sz w:val="18"/>
                <w:szCs w:val="18"/>
                <w:lang w:eastAsia="zh-CN"/>
              </w:rPr>
              <w:t>放</w:t>
            </w:r>
            <w:r>
              <w:rPr>
                <w:rFonts w:eastAsia="宋体"/>
                <w:sz w:val="18"/>
                <w:szCs w:val="18"/>
                <w:lang w:eastAsia="zh-CN"/>
              </w:rPr>
              <w:t>浓度</w:t>
            </w:r>
            <w:r>
              <w:rPr>
                <w:rFonts w:eastAsia="宋体"/>
                <w:spacing w:val="2"/>
                <w:sz w:val="18"/>
                <w:szCs w:val="18"/>
                <w:lang w:eastAsia="zh-CN"/>
              </w:rPr>
              <w:t>适</w:t>
            </w:r>
            <w:r>
              <w:rPr>
                <w:rFonts w:eastAsia="宋体"/>
                <w:sz w:val="18"/>
                <w:szCs w:val="18"/>
                <w:lang w:eastAsia="zh-CN"/>
              </w:rPr>
              <w:t>当从</w:t>
            </w:r>
            <w:r>
              <w:rPr>
                <w:rFonts w:eastAsia="宋体"/>
                <w:spacing w:val="2"/>
                <w:sz w:val="18"/>
                <w:szCs w:val="18"/>
                <w:lang w:eastAsia="zh-CN"/>
              </w:rPr>
              <w:t>严</w:t>
            </w:r>
            <w:r>
              <w:rPr>
                <w:rFonts w:eastAsia="宋体"/>
                <w:sz w:val="18"/>
                <w:szCs w:val="18"/>
                <w:lang w:eastAsia="zh-CN"/>
              </w:rPr>
              <w:t>；</w:t>
            </w:r>
            <w:r>
              <w:rPr>
                <w:rFonts w:eastAsia="宋体"/>
                <w:spacing w:val="2"/>
                <w:sz w:val="18"/>
                <w:szCs w:val="18"/>
                <w:lang w:eastAsia="zh-CN"/>
              </w:rPr>
              <w:t>—</w:t>
            </w:r>
            <w:r>
              <w:rPr>
                <w:rFonts w:eastAsia="宋体"/>
                <w:sz w:val="18"/>
                <w:szCs w:val="18"/>
                <w:lang w:eastAsia="zh-CN"/>
              </w:rPr>
              <w:t>—氮氧</w:t>
            </w:r>
            <w:r>
              <w:rPr>
                <w:rFonts w:eastAsia="宋体"/>
                <w:spacing w:val="2"/>
                <w:sz w:val="18"/>
                <w:szCs w:val="18"/>
                <w:lang w:eastAsia="zh-CN"/>
              </w:rPr>
              <w:t>化</w:t>
            </w:r>
            <w:r>
              <w:rPr>
                <w:rFonts w:eastAsia="宋体"/>
                <w:sz w:val="18"/>
                <w:szCs w:val="18"/>
                <w:lang w:eastAsia="zh-CN"/>
              </w:rPr>
              <w:t>物、</w:t>
            </w:r>
            <w:r>
              <w:rPr>
                <w:rFonts w:eastAsia="宋体"/>
                <w:spacing w:val="2"/>
                <w:sz w:val="18"/>
                <w:szCs w:val="18"/>
                <w:lang w:eastAsia="zh-CN"/>
              </w:rPr>
              <w:t>氯</w:t>
            </w:r>
            <w:r>
              <w:rPr>
                <w:rFonts w:eastAsia="宋体"/>
                <w:sz w:val="18"/>
                <w:szCs w:val="18"/>
                <w:lang w:eastAsia="zh-CN"/>
              </w:rPr>
              <w:t>化氢的最高</w:t>
            </w:r>
            <w:r>
              <w:rPr>
                <w:rFonts w:eastAsia="宋体"/>
                <w:spacing w:val="2"/>
                <w:sz w:val="18"/>
                <w:szCs w:val="18"/>
                <w:lang w:eastAsia="zh-CN"/>
              </w:rPr>
              <w:t>允</w:t>
            </w:r>
            <w:r>
              <w:rPr>
                <w:rFonts w:eastAsia="宋体"/>
                <w:sz w:val="18"/>
                <w:szCs w:val="18"/>
                <w:lang w:eastAsia="zh-CN"/>
              </w:rPr>
              <w:t>许排</w:t>
            </w:r>
            <w:r>
              <w:rPr>
                <w:rFonts w:eastAsia="宋体"/>
                <w:spacing w:val="2"/>
                <w:sz w:val="18"/>
                <w:szCs w:val="18"/>
                <w:lang w:eastAsia="zh-CN"/>
              </w:rPr>
              <w:t>放</w:t>
            </w:r>
            <w:r>
              <w:rPr>
                <w:rFonts w:eastAsia="宋体"/>
                <w:sz w:val="18"/>
                <w:szCs w:val="18"/>
                <w:lang w:eastAsia="zh-CN"/>
              </w:rPr>
              <w:t>浓度</w:t>
            </w:r>
            <w:r>
              <w:rPr>
                <w:rFonts w:eastAsia="宋体"/>
                <w:spacing w:val="2"/>
                <w:sz w:val="18"/>
                <w:szCs w:val="18"/>
                <w:lang w:eastAsia="zh-CN"/>
              </w:rPr>
              <w:t>适</w:t>
            </w:r>
            <w:r>
              <w:rPr>
                <w:rFonts w:eastAsia="宋体"/>
                <w:sz w:val="18"/>
                <w:szCs w:val="18"/>
                <w:lang w:eastAsia="zh-CN"/>
              </w:rPr>
              <w:t>当</w:t>
            </w:r>
            <w:r>
              <w:rPr>
                <w:rFonts w:eastAsia="宋体"/>
                <w:spacing w:val="2"/>
                <w:sz w:val="18"/>
                <w:szCs w:val="18"/>
                <w:lang w:eastAsia="zh-CN"/>
              </w:rPr>
              <w:t>放</w:t>
            </w:r>
            <w:r>
              <w:rPr>
                <w:rFonts w:eastAsia="宋体"/>
                <w:sz w:val="18"/>
                <w:szCs w:val="18"/>
                <w:lang w:eastAsia="zh-CN"/>
              </w:rPr>
              <w:t>宽；</w:t>
            </w:r>
          </w:p>
        </w:tc>
        <w:tc>
          <w:tcPr>
            <w:tcW w:w="855" w:type="pct"/>
            <w:tcBorders>
              <w:top w:val="single" w:color="auto" w:sz="4" w:space="0"/>
              <w:left w:val="single" w:color="000000" w:sz="4" w:space="0"/>
              <w:bottom w:val="single" w:color="auto" w:sz="4" w:space="0"/>
              <w:right w:val="single" w:color="000000" w:sz="4" w:space="0"/>
            </w:tcBorders>
            <w:vAlign w:val="center"/>
          </w:tcPr>
          <w:p>
            <w:pPr>
              <w:pStyle w:val="122"/>
              <w:spacing w:line="229" w:lineRule="exact"/>
              <w:jc w:val="both"/>
              <w:rPr>
                <w:rFonts w:eastAsia="宋体"/>
                <w:sz w:val="18"/>
                <w:szCs w:val="18"/>
                <w:lang w:eastAsia="zh-CN"/>
              </w:rPr>
            </w:pPr>
            <w:r>
              <w:rPr>
                <w:rFonts w:eastAsia="宋体"/>
                <w:spacing w:val="1"/>
                <w:sz w:val="18"/>
                <w:szCs w:val="18"/>
                <w:lang w:eastAsia="zh-CN"/>
              </w:rPr>
              <w:t>1</w:t>
            </w:r>
            <w:r>
              <w:rPr>
                <w:rFonts w:eastAsia="宋体"/>
                <w:sz w:val="18"/>
                <w:szCs w:val="18"/>
                <w:lang w:eastAsia="zh-CN"/>
              </w:rPr>
              <w:t>、与</w:t>
            </w:r>
            <w:r>
              <w:rPr>
                <w:rFonts w:eastAsia="宋体"/>
                <w:spacing w:val="-60"/>
                <w:sz w:val="18"/>
                <w:szCs w:val="18"/>
                <w:lang w:eastAsia="zh-CN"/>
              </w:rPr>
              <w:t xml:space="preserve"> </w:t>
            </w:r>
            <w:r>
              <w:rPr>
                <w:rFonts w:eastAsia="宋体"/>
                <w:spacing w:val="1"/>
                <w:sz w:val="18"/>
                <w:szCs w:val="18"/>
                <w:lang w:eastAsia="zh-CN"/>
              </w:rPr>
              <w:t>GB16</w:t>
            </w:r>
            <w:r>
              <w:rPr>
                <w:rFonts w:eastAsia="宋体"/>
                <w:spacing w:val="-2"/>
                <w:sz w:val="18"/>
                <w:szCs w:val="18"/>
                <w:lang w:eastAsia="zh-CN"/>
              </w:rPr>
              <w:t>2</w:t>
            </w:r>
            <w:r>
              <w:rPr>
                <w:rFonts w:eastAsia="宋体"/>
                <w:spacing w:val="1"/>
                <w:sz w:val="18"/>
                <w:szCs w:val="18"/>
                <w:lang w:eastAsia="zh-CN"/>
              </w:rPr>
              <w:t>9</w:t>
            </w:r>
            <w:r>
              <w:rPr>
                <w:rFonts w:eastAsia="宋体"/>
                <w:spacing w:val="2"/>
                <w:sz w:val="18"/>
                <w:szCs w:val="18"/>
                <w:lang w:eastAsia="zh-CN"/>
              </w:rPr>
              <w:t>7</w:t>
            </w:r>
            <w:r>
              <w:rPr>
                <w:rFonts w:eastAsia="宋体"/>
                <w:spacing w:val="-2"/>
                <w:sz w:val="18"/>
                <w:szCs w:val="18"/>
                <w:lang w:eastAsia="zh-CN"/>
              </w:rPr>
              <w:t>-</w:t>
            </w:r>
            <w:r>
              <w:rPr>
                <w:rFonts w:eastAsia="宋体"/>
                <w:spacing w:val="1"/>
                <w:sz w:val="18"/>
                <w:szCs w:val="18"/>
                <w:lang w:eastAsia="zh-CN"/>
              </w:rPr>
              <w:t>19</w:t>
            </w:r>
            <w:r>
              <w:rPr>
                <w:rFonts w:eastAsia="宋体"/>
                <w:spacing w:val="-2"/>
                <w:sz w:val="18"/>
                <w:szCs w:val="18"/>
                <w:lang w:eastAsia="zh-CN"/>
              </w:rPr>
              <w:t>9</w:t>
            </w:r>
            <w:r>
              <w:rPr>
                <w:rFonts w:eastAsia="宋体"/>
                <w:sz w:val="18"/>
                <w:szCs w:val="18"/>
                <w:lang w:eastAsia="zh-CN"/>
              </w:rPr>
              <w:t>6</w:t>
            </w:r>
            <w:r>
              <w:rPr>
                <w:rFonts w:eastAsia="宋体"/>
                <w:spacing w:val="-57"/>
                <w:sz w:val="18"/>
                <w:szCs w:val="18"/>
                <w:lang w:eastAsia="zh-CN"/>
              </w:rPr>
              <w:t xml:space="preserve"> </w:t>
            </w:r>
            <w:r>
              <w:rPr>
                <w:rFonts w:eastAsia="宋体"/>
                <w:sz w:val="18"/>
                <w:szCs w:val="18"/>
                <w:lang w:eastAsia="zh-CN"/>
              </w:rPr>
              <w:t>体系一样</w:t>
            </w:r>
          </w:p>
          <w:p>
            <w:pPr>
              <w:pStyle w:val="122"/>
              <w:spacing w:line="229" w:lineRule="exact"/>
              <w:jc w:val="both"/>
              <w:rPr>
                <w:rFonts w:eastAsia="宋体"/>
                <w:sz w:val="18"/>
                <w:szCs w:val="18"/>
                <w:lang w:eastAsia="zh-CN"/>
              </w:rPr>
            </w:pPr>
            <w:r>
              <w:rPr>
                <w:rFonts w:eastAsia="宋体"/>
                <w:spacing w:val="1"/>
                <w:sz w:val="18"/>
                <w:szCs w:val="18"/>
                <w:lang w:eastAsia="zh-CN"/>
              </w:rPr>
              <w:t>2</w:t>
            </w:r>
            <w:r>
              <w:rPr>
                <w:rFonts w:eastAsia="宋体"/>
                <w:sz w:val="18"/>
                <w:szCs w:val="18"/>
                <w:lang w:eastAsia="zh-CN"/>
              </w:rPr>
              <w:t>、增加了</w:t>
            </w:r>
            <w:r>
              <w:rPr>
                <w:rFonts w:eastAsia="宋体"/>
                <w:spacing w:val="2"/>
                <w:sz w:val="18"/>
                <w:szCs w:val="18"/>
                <w:lang w:eastAsia="zh-CN"/>
              </w:rPr>
              <w:t>一</w:t>
            </w:r>
            <w:r>
              <w:rPr>
                <w:rFonts w:eastAsia="宋体"/>
                <w:sz w:val="18"/>
                <w:szCs w:val="18"/>
                <w:lang w:eastAsia="zh-CN"/>
              </w:rPr>
              <w:t>氧化</w:t>
            </w:r>
            <w:r>
              <w:rPr>
                <w:rFonts w:eastAsia="宋体"/>
                <w:spacing w:val="2"/>
                <w:sz w:val="18"/>
                <w:szCs w:val="18"/>
                <w:lang w:eastAsia="zh-CN"/>
              </w:rPr>
              <w:t>碳</w:t>
            </w:r>
            <w:r>
              <w:rPr>
                <w:rFonts w:eastAsia="宋体"/>
                <w:sz w:val="18"/>
                <w:szCs w:val="18"/>
                <w:lang w:eastAsia="zh-CN"/>
              </w:rPr>
              <w:t>等项目</w:t>
            </w:r>
          </w:p>
        </w:tc>
        <w:tc>
          <w:tcPr>
            <w:tcW w:w="1414" w:type="pct"/>
            <w:tcBorders>
              <w:top w:val="single" w:color="000000" w:sz="4" w:space="0"/>
              <w:left w:val="single" w:color="000000" w:sz="4" w:space="0"/>
              <w:bottom w:val="single" w:color="auto" w:sz="4" w:space="0"/>
              <w:right w:val="single" w:color="000000" w:sz="4" w:space="0"/>
            </w:tcBorders>
            <w:vAlign w:val="center"/>
          </w:tcPr>
          <w:p>
            <w:pPr>
              <w:pStyle w:val="122"/>
              <w:spacing w:line="229" w:lineRule="exact"/>
              <w:jc w:val="both"/>
              <w:rPr>
                <w:rFonts w:eastAsia="宋体"/>
                <w:sz w:val="18"/>
                <w:szCs w:val="18"/>
                <w:lang w:eastAsia="zh-CN"/>
              </w:rPr>
            </w:pPr>
            <w:r>
              <w:rPr>
                <w:rFonts w:eastAsia="宋体"/>
                <w:spacing w:val="1"/>
                <w:sz w:val="18"/>
                <w:szCs w:val="18"/>
                <w:lang w:eastAsia="zh-CN"/>
              </w:rPr>
              <w:t>1</w:t>
            </w:r>
            <w:r>
              <w:rPr>
                <w:rFonts w:eastAsia="宋体"/>
                <w:sz w:val="18"/>
                <w:szCs w:val="18"/>
                <w:lang w:eastAsia="zh-CN"/>
              </w:rPr>
              <w:t>、仍按照</w:t>
            </w:r>
            <w:r>
              <w:rPr>
                <w:rFonts w:eastAsia="宋体"/>
                <w:spacing w:val="2"/>
                <w:sz w:val="18"/>
                <w:szCs w:val="18"/>
                <w:lang w:eastAsia="zh-CN"/>
              </w:rPr>
              <w:t>烟</w:t>
            </w:r>
            <w:r>
              <w:rPr>
                <w:rFonts w:eastAsia="宋体"/>
                <w:sz w:val="18"/>
                <w:szCs w:val="18"/>
                <w:lang w:eastAsia="zh-CN"/>
              </w:rPr>
              <w:t>囱高</w:t>
            </w:r>
            <w:r>
              <w:rPr>
                <w:rFonts w:eastAsia="宋体"/>
                <w:spacing w:val="2"/>
                <w:sz w:val="18"/>
                <w:szCs w:val="18"/>
                <w:lang w:eastAsia="zh-CN"/>
              </w:rPr>
              <w:t>度</w:t>
            </w:r>
            <w:r>
              <w:rPr>
                <w:rFonts w:eastAsia="宋体"/>
                <w:sz w:val="18"/>
                <w:szCs w:val="18"/>
                <w:lang w:eastAsia="zh-CN"/>
              </w:rPr>
              <w:t>规定标准值；</w:t>
            </w:r>
          </w:p>
          <w:p>
            <w:pPr>
              <w:pStyle w:val="122"/>
              <w:spacing w:line="229" w:lineRule="exact"/>
              <w:jc w:val="both"/>
              <w:rPr>
                <w:rFonts w:eastAsia="宋体"/>
                <w:sz w:val="18"/>
                <w:szCs w:val="18"/>
                <w:lang w:eastAsia="zh-CN"/>
              </w:rPr>
            </w:pPr>
            <w:r>
              <w:rPr>
                <w:rFonts w:eastAsia="宋体"/>
                <w:spacing w:val="1"/>
                <w:sz w:val="18"/>
                <w:szCs w:val="18"/>
                <w:lang w:eastAsia="zh-CN"/>
              </w:rPr>
              <w:t>2</w:t>
            </w:r>
            <w:r>
              <w:rPr>
                <w:rFonts w:eastAsia="宋体"/>
                <w:sz w:val="18"/>
                <w:szCs w:val="18"/>
                <w:lang w:eastAsia="zh-CN"/>
              </w:rPr>
              <w:t>、标准值</w:t>
            </w:r>
            <w:r>
              <w:rPr>
                <w:rFonts w:eastAsia="宋体"/>
                <w:spacing w:val="2"/>
                <w:sz w:val="18"/>
                <w:szCs w:val="18"/>
                <w:lang w:eastAsia="zh-CN"/>
              </w:rPr>
              <w:t>仍</w:t>
            </w:r>
            <w:r>
              <w:rPr>
                <w:rFonts w:eastAsia="宋体"/>
                <w:sz w:val="18"/>
                <w:szCs w:val="18"/>
                <w:lang w:eastAsia="zh-CN"/>
              </w:rPr>
              <w:t>偏宽</w:t>
            </w:r>
            <w:r>
              <w:rPr>
                <w:rFonts w:eastAsia="宋体"/>
                <w:spacing w:val="2"/>
                <w:sz w:val="18"/>
                <w:szCs w:val="18"/>
                <w:lang w:eastAsia="zh-CN"/>
              </w:rPr>
              <w:t>松</w:t>
            </w:r>
            <w:r>
              <w:rPr>
                <w:rFonts w:eastAsia="宋体"/>
                <w:sz w:val="18"/>
                <w:szCs w:val="18"/>
                <w:lang w:eastAsia="zh-CN"/>
              </w:rPr>
              <w:t>；</w:t>
            </w:r>
          </w:p>
          <w:p>
            <w:pPr>
              <w:pStyle w:val="122"/>
              <w:spacing w:line="229" w:lineRule="exact"/>
              <w:jc w:val="both"/>
              <w:rPr>
                <w:rFonts w:eastAsia="宋体"/>
                <w:sz w:val="18"/>
                <w:szCs w:val="18"/>
                <w:lang w:eastAsia="zh-CN"/>
              </w:rPr>
            </w:pPr>
            <w:r>
              <w:rPr>
                <w:rFonts w:eastAsia="宋体"/>
                <w:spacing w:val="1"/>
                <w:sz w:val="18"/>
                <w:szCs w:val="18"/>
                <w:lang w:eastAsia="zh-CN"/>
              </w:rPr>
              <w:t>3</w:t>
            </w:r>
            <w:r>
              <w:rPr>
                <w:rFonts w:eastAsia="宋体"/>
                <w:sz w:val="18"/>
                <w:szCs w:val="18"/>
                <w:lang w:eastAsia="zh-CN"/>
              </w:rPr>
              <w:t>、没有</w:t>
            </w:r>
            <w:r>
              <w:rPr>
                <w:rFonts w:eastAsia="宋体"/>
                <w:spacing w:val="-58"/>
                <w:sz w:val="18"/>
                <w:szCs w:val="18"/>
                <w:lang w:eastAsia="zh-CN"/>
              </w:rPr>
              <w:t xml:space="preserve"> </w:t>
            </w:r>
            <w:r>
              <w:rPr>
                <w:rFonts w:eastAsia="宋体"/>
                <w:spacing w:val="1"/>
                <w:sz w:val="18"/>
                <w:szCs w:val="18"/>
                <w:lang w:eastAsia="zh-CN"/>
              </w:rPr>
              <w:t>VOC</w:t>
            </w:r>
            <w:r>
              <w:rPr>
                <w:rFonts w:eastAsia="宋体"/>
                <w:sz w:val="18"/>
                <w:szCs w:val="18"/>
                <w:lang w:eastAsia="zh-CN"/>
              </w:rPr>
              <w:t>s</w:t>
            </w:r>
            <w:r>
              <w:rPr>
                <w:rFonts w:eastAsia="宋体"/>
                <w:spacing w:val="-56"/>
                <w:sz w:val="18"/>
                <w:szCs w:val="18"/>
                <w:lang w:eastAsia="zh-CN"/>
              </w:rPr>
              <w:t xml:space="preserve"> </w:t>
            </w:r>
            <w:r>
              <w:rPr>
                <w:rFonts w:eastAsia="宋体"/>
                <w:sz w:val="18"/>
                <w:szCs w:val="18"/>
                <w:lang w:eastAsia="zh-CN"/>
              </w:rPr>
              <w:t>标准</w:t>
            </w:r>
          </w:p>
        </w:tc>
      </w:tr>
      <w:tr>
        <w:trPr>
          <w:trHeight w:val="20" w:hRule="atLeast"/>
        </w:trPr>
        <w:tc>
          <w:tcPr>
            <w:tcW w:w="678" w:type="pct"/>
            <w:tcBorders>
              <w:top w:val="single" w:color="auto" w:sz="4" w:space="0"/>
              <w:left w:val="single" w:color="000000" w:sz="4" w:space="0"/>
              <w:bottom w:val="single" w:color="000000" w:sz="4" w:space="0"/>
              <w:right w:val="single" w:color="000000" w:sz="4" w:space="0"/>
            </w:tcBorders>
            <w:vAlign w:val="center"/>
          </w:tcPr>
          <w:p>
            <w:pPr>
              <w:pStyle w:val="122"/>
              <w:spacing w:line="231" w:lineRule="exact"/>
              <w:rPr>
                <w:rFonts w:eastAsia="宋体"/>
                <w:sz w:val="18"/>
                <w:szCs w:val="18"/>
                <w:lang w:eastAsia="zh-CN"/>
              </w:rPr>
            </w:pPr>
            <w:r>
              <w:rPr>
                <w:rFonts w:eastAsia="宋体"/>
                <w:sz w:val="18"/>
                <w:szCs w:val="18"/>
                <w:lang w:eastAsia="zh-CN"/>
              </w:rPr>
              <w:t>天津市</w:t>
            </w:r>
            <w:r>
              <w:rPr>
                <w:rFonts w:eastAsia="宋体"/>
                <w:spacing w:val="2"/>
                <w:sz w:val="18"/>
                <w:szCs w:val="18"/>
                <w:lang w:eastAsia="zh-CN"/>
              </w:rPr>
              <w:t>工</w:t>
            </w:r>
            <w:r>
              <w:rPr>
                <w:rFonts w:eastAsia="宋体"/>
                <w:sz w:val="18"/>
                <w:szCs w:val="18"/>
                <w:lang w:eastAsia="zh-CN"/>
              </w:rPr>
              <w:t>业企业挥发性</w:t>
            </w:r>
            <w:r>
              <w:rPr>
                <w:rFonts w:eastAsia="宋体"/>
                <w:spacing w:val="2"/>
                <w:sz w:val="18"/>
                <w:szCs w:val="18"/>
                <w:lang w:eastAsia="zh-CN"/>
              </w:rPr>
              <w:t>有</w:t>
            </w:r>
            <w:r>
              <w:rPr>
                <w:rFonts w:eastAsia="宋体"/>
                <w:sz w:val="18"/>
                <w:szCs w:val="18"/>
                <w:lang w:eastAsia="zh-CN"/>
              </w:rPr>
              <w:t>机物排放控制</w:t>
            </w:r>
            <w:r>
              <w:rPr>
                <w:rFonts w:eastAsia="宋体"/>
                <w:spacing w:val="2"/>
                <w:sz w:val="18"/>
                <w:szCs w:val="18"/>
                <w:lang w:eastAsia="zh-CN"/>
              </w:rPr>
              <w:t>标</w:t>
            </w:r>
            <w:r>
              <w:rPr>
                <w:rFonts w:eastAsia="宋体"/>
                <w:sz w:val="18"/>
                <w:szCs w:val="18"/>
                <w:lang w:eastAsia="zh-CN"/>
              </w:rPr>
              <w:t>准</w:t>
            </w:r>
            <w:r>
              <w:rPr>
                <w:rFonts w:eastAsia="宋体"/>
                <w:spacing w:val="-64"/>
                <w:sz w:val="18"/>
                <w:szCs w:val="18"/>
                <w:lang w:eastAsia="zh-CN"/>
              </w:rPr>
              <w:t xml:space="preserve"> </w:t>
            </w:r>
            <w:r>
              <w:rPr>
                <w:rFonts w:eastAsia="宋体"/>
                <w:spacing w:val="1"/>
                <w:sz w:val="18"/>
                <w:szCs w:val="18"/>
                <w:lang w:eastAsia="zh-CN"/>
              </w:rPr>
              <w:t>DB12/524-2014</w:t>
            </w:r>
          </w:p>
        </w:tc>
        <w:tc>
          <w:tcPr>
            <w:tcW w:w="678" w:type="pct"/>
            <w:tcBorders>
              <w:top w:val="single" w:color="auto" w:sz="4" w:space="0"/>
              <w:left w:val="single" w:color="000000" w:sz="4" w:space="0"/>
              <w:bottom w:val="single" w:color="000000" w:sz="4" w:space="0"/>
              <w:right w:val="single" w:color="000000" w:sz="4" w:space="0"/>
            </w:tcBorders>
            <w:vAlign w:val="center"/>
          </w:tcPr>
          <w:p>
            <w:pPr>
              <w:pStyle w:val="122"/>
              <w:spacing w:line="231" w:lineRule="exact"/>
              <w:jc w:val="both"/>
              <w:rPr>
                <w:rFonts w:eastAsia="宋体"/>
                <w:sz w:val="18"/>
                <w:szCs w:val="18"/>
                <w:lang w:eastAsia="zh-CN"/>
              </w:rPr>
            </w:pPr>
            <w:r>
              <w:rPr>
                <w:rFonts w:eastAsia="宋体"/>
                <w:sz w:val="18"/>
                <w:szCs w:val="18"/>
                <w:lang w:eastAsia="zh-CN"/>
              </w:rPr>
              <w:t>石油炼</w:t>
            </w:r>
            <w:r>
              <w:rPr>
                <w:rFonts w:eastAsia="宋体"/>
                <w:spacing w:val="2"/>
                <w:sz w:val="18"/>
                <w:szCs w:val="18"/>
                <w:lang w:eastAsia="zh-CN"/>
              </w:rPr>
              <w:t>制</w:t>
            </w:r>
            <w:r>
              <w:rPr>
                <w:rFonts w:eastAsia="宋体"/>
                <w:sz w:val="18"/>
                <w:szCs w:val="18"/>
                <w:lang w:eastAsia="zh-CN"/>
              </w:rPr>
              <w:t>与石油化学、</w:t>
            </w:r>
            <w:r>
              <w:rPr>
                <w:rFonts w:eastAsia="宋体"/>
                <w:spacing w:val="2"/>
                <w:sz w:val="18"/>
                <w:szCs w:val="18"/>
                <w:lang w:eastAsia="zh-CN"/>
              </w:rPr>
              <w:t>涂</w:t>
            </w:r>
            <w:r>
              <w:rPr>
                <w:rFonts w:eastAsia="宋体"/>
                <w:sz w:val="18"/>
                <w:szCs w:val="18"/>
                <w:lang w:eastAsia="zh-CN"/>
              </w:rPr>
              <w:t>料与油墨生产</w:t>
            </w:r>
            <w:r>
              <w:rPr>
                <w:rFonts w:eastAsia="宋体"/>
                <w:spacing w:val="2"/>
                <w:sz w:val="18"/>
                <w:szCs w:val="18"/>
                <w:lang w:eastAsia="zh-CN"/>
              </w:rPr>
              <w:t>、</w:t>
            </w:r>
            <w:r>
              <w:rPr>
                <w:rFonts w:eastAsia="宋体"/>
                <w:sz w:val="18"/>
                <w:szCs w:val="18"/>
                <w:lang w:eastAsia="zh-CN"/>
              </w:rPr>
              <w:t>塑料制品制造等行业挥发性有机物排放的控制要求</w:t>
            </w:r>
          </w:p>
        </w:tc>
        <w:tc>
          <w:tcPr>
            <w:tcW w:w="1375" w:type="pct"/>
            <w:tcBorders>
              <w:top w:val="single" w:color="auto" w:sz="4" w:space="0"/>
              <w:left w:val="single" w:color="000000" w:sz="4" w:space="0"/>
              <w:bottom w:val="single" w:color="000000" w:sz="4" w:space="0"/>
              <w:right w:val="single" w:color="000000" w:sz="4" w:space="0"/>
            </w:tcBorders>
            <w:vAlign w:val="center"/>
          </w:tcPr>
          <w:p>
            <w:pPr>
              <w:pStyle w:val="122"/>
              <w:spacing w:line="231" w:lineRule="exact"/>
              <w:jc w:val="both"/>
              <w:rPr>
                <w:rFonts w:eastAsia="宋体"/>
                <w:sz w:val="18"/>
                <w:szCs w:val="18"/>
                <w:lang w:eastAsia="zh-CN"/>
              </w:rPr>
            </w:pPr>
            <w:r>
              <w:rPr>
                <w:rFonts w:eastAsia="宋体"/>
                <w:sz w:val="18"/>
                <w:szCs w:val="18"/>
                <w:lang w:eastAsia="zh-CN"/>
              </w:rPr>
              <w:t>1、规定了苯、甲苯+二甲苯、VOC的排放控制要求</w:t>
            </w:r>
          </w:p>
          <w:p>
            <w:pPr>
              <w:pStyle w:val="122"/>
              <w:spacing w:line="229" w:lineRule="exact"/>
              <w:jc w:val="both"/>
              <w:rPr>
                <w:rFonts w:eastAsia="宋体"/>
                <w:sz w:val="18"/>
                <w:szCs w:val="18"/>
                <w:lang w:eastAsia="zh-CN"/>
              </w:rPr>
            </w:pPr>
            <w:r>
              <w:rPr>
                <w:rFonts w:eastAsia="宋体"/>
                <w:sz w:val="18"/>
                <w:szCs w:val="18"/>
                <w:lang w:eastAsia="zh-CN"/>
              </w:rPr>
              <w:t>2、选择美国的分析方法，提出了 VOC 的分析方法</w:t>
            </w:r>
          </w:p>
        </w:tc>
        <w:tc>
          <w:tcPr>
            <w:tcW w:w="855"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sz w:val="18"/>
                <w:szCs w:val="18"/>
                <w:lang w:eastAsia="zh-CN"/>
              </w:rPr>
            </w:pPr>
          </w:p>
        </w:tc>
        <w:tc>
          <w:tcPr>
            <w:tcW w:w="1414" w:type="pct"/>
            <w:tcBorders>
              <w:top w:val="single" w:color="000000" w:sz="4" w:space="0"/>
              <w:left w:val="single" w:color="000000" w:sz="4" w:space="0"/>
              <w:bottom w:val="single" w:color="000000" w:sz="4" w:space="0"/>
              <w:right w:val="single" w:color="000000" w:sz="4" w:space="0"/>
            </w:tcBorders>
            <w:vAlign w:val="center"/>
          </w:tcPr>
          <w:p>
            <w:pPr>
              <w:pStyle w:val="122"/>
              <w:spacing w:line="231" w:lineRule="exact"/>
              <w:jc w:val="both"/>
              <w:rPr>
                <w:rFonts w:eastAsia="宋体"/>
                <w:sz w:val="18"/>
                <w:szCs w:val="18"/>
                <w:lang w:eastAsia="zh-CN"/>
              </w:rPr>
            </w:pPr>
            <w:r>
              <w:rPr>
                <w:rFonts w:eastAsia="宋体"/>
                <w:spacing w:val="1"/>
                <w:sz w:val="18"/>
                <w:szCs w:val="18"/>
                <w:lang w:eastAsia="zh-CN"/>
              </w:rPr>
              <w:t>1</w:t>
            </w:r>
            <w:r>
              <w:rPr>
                <w:rFonts w:eastAsia="宋体"/>
                <w:sz w:val="18"/>
                <w:szCs w:val="18"/>
                <w:lang w:eastAsia="zh-CN"/>
              </w:rPr>
              <w:t>、仍按照</w:t>
            </w:r>
            <w:r>
              <w:rPr>
                <w:rFonts w:eastAsia="宋体"/>
                <w:spacing w:val="2"/>
                <w:sz w:val="18"/>
                <w:szCs w:val="18"/>
                <w:lang w:eastAsia="zh-CN"/>
              </w:rPr>
              <w:t>排</w:t>
            </w:r>
            <w:r>
              <w:rPr>
                <w:rFonts w:eastAsia="宋体"/>
                <w:sz w:val="18"/>
                <w:szCs w:val="18"/>
                <w:lang w:eastAsia="zh-CN"/>
              </w:rPr>
              <w:t>气筒</w:t>
            </w:r>
            <w:r>
              <w:rPr>
                <w:rFonts w:eastAsia="宋体"/>
                <w:spacing w:val="2"/>
                <w:sz w:val="18"/>
                <w:szCs w:val="18"/>
                <w:lang w:eastAsia="zh-CN"/>
              </w:rPr>
              <w:t>高</w:t>
            </w:r>
            <w:r>
              <w:rPr>
                <w:rFonts w:eastAsia="宋体"/>
                <w:sz w:val="18"/>
                <w:szCs w:val="18"/>
                <w:lang w:eastAsia="zh-CN"/>
              </w:rPr>
              <w:t>度进行制定排</w:t>
            </w:r>
            <w:r>
              <w:rPr>
                <w:rFonts w:eastAsia="宋体"/>
                <w:spacing w:val="2"/>
                <w:sz w:val="18"/>
                <w:szCs w:val="18"/>
                <w:lang w:eastAsia="zh-CN"/>
              </w:rPr>
              <w:t>放</w:t>
            </w:r>
            <w:r>
              <w:rPr>
                <w:rFonts w:eastAsia="宋体"/>
                <w:sz w:val="18"/>
                <w:szCs w:val="18"/>
                <w:lang w:eastAsia="zh-CN"/>
              </w:rPr>
              <w:t>速率</w:t>
            </w:r>
            <w:r>
              <w:rPr>
                <w:rFonts w:eastAsia="宋体"/>
                <w:spacing w:val="2"/>
                <w:sz w:val="18"/>
                <w:szCs w:val="18"/>
                <w:lang w:eastAsia="zh-CN"/>
              </w:rPr>
              <w:t>的</w:t>
            </w:r>
            <w:r>
              <w:rPr>
                <w:rFonts w:eastAsia="宋体"/>
                <w:sz w:val="18"/>
                <w:szCs w:val="18"/>
                <w:lang w:eastAsia="zh-CN"/>
              </w:rPr>
              <w:t>标准</w:t>
            </w:r>
          </w:p>
          <w:p>
            <w:pPr>
              <w:pStyle w:val="122"/>
              <w:spacing w:line="229" w:lineRule="exact"/>
              <w:jc w:val="both"/>
              <w:rPr>
                <w:rFonts w:eastAsia="宋体"/>
                <w:sz w:val="18"/>
                <w:szCs w:val="18"/>
                <w:lang w:eastAsia="zh-CN"/>
              </w:rPr>
            </w:pPr>
            <w:r>
              <w:rPr>
                <w:rFonts w:eastAsia="宋体"/>
                <w:spacing w:val="1"/>
                <w:sz w:val="18"/>
                <w:szCs w:val="18"/>
                <w:lang w:eastAsia="zh-CN"/>
              </w:rPr>
              <w:t>2</w:t>
            </w:r>
            <w:r>
              <w:rPr>
                <w:rFonts w:eastAsia="宋体"/>
                <w:sz w:val="18"/>
                <w:szCs w:val="18"/>
                <w:lang w:eastAsia="zh-CN"/>
              </w:rPr>
              <w:t>、特征污</w:t>
            </w:r>
            <w:r>
              <w:rPr>
                <w:rFonts w:eastAsia="宋体"/>
                <w:spacing w:val="2"/>
                <w:sz w:val="18"/>
                <w:szCs w:val="18"/>
                <w:lang w:eastAsia="zh-CN"/>
              </w:rPr>
              <w:t>染</w:t>
            </w:r>
            <w:r>
              <w:rPr>
                <w:rFonts w:eastAsia="宋体"/>
                <w:sz w:val="18"/>
                <w:szCs w:val="18"/>
                <w:lang w:eastAsia="zh-CN"/>
              </w:rPr>
              <w:t>物因</w:t>
            </w:r>
            <w:r>
              <w:rPr>
                <w:rFonts w:eastAsia="宋体"/>
                <w:spacing w:val="2"/>
                <w:sz w:val="18"/>
                <w:szCs w:val="18"/>
                <w:lang w:eastAsia="zh-CN"/>
              </w:rPr>
              <w:t>子</w:t>
            </w:r>
            <w:r>
              <w:rPr>
                <w:rFonts w:eastAsia="宋体"/>
                <w:sz w:val="18"/>
                <w:szCs w:val="18"/>
                <w:lang w:eastAsia="zh-CN"/>
              </w:rPr>
              <w:t>太少</w:t>
            </w:r>
          </w:p>
        </w:tc>
      </w:tr>
    </w:tbl>
    <w:p>
      <w:pPr>
        <w:pStyle w:val="4"/>
        <w:ind w:left="0" w:firstLine="0"/>
      </w:pPr>
      <w:bookmarkStart w:id="113" w:name="_Toc21679720"/>
      <w:bookmarkEnd w:id="113"/>
      <w:bookmarkStart w:id="114" w:name="_Toc21679719"/>
      <w:bookmarkEnd w:id="114"/>
      <w:bookmarkStart w:id="115" w:name="_Toc21679673"/>
      <w:bookmarkEnd w:id="115"/>
      <w:bookmarkStart w:id="116" w:name="_Toc21679671"/>
      <w:bookmarkEnd w:id="116"/>
      <w:bookmarkStart w:id="117" w:name="_Toc21679672"/>
      <w:bookmarkEnd w:id="117"/>
      <w:bookmarkStart w:id="118" w:name="_Toc21679670"/>
      <w:bookmarkEnd w:id="118"/>
      <w:bookmarkStart w:id="119" w:name="_Toc21679722"/>
      <w:bookmarkEnd w:id="119"/>
      <w:bookmarkStart w:id="120" w:name="_Toc21679721"/>
      <w:bookmarkEnd w:id="120"/>
      <w:bookmarkStart w:id="121" w:name="_Toc26350773"/>
      <w:r>
        <w:t>香港</w:t>
      </w:r>
      <w:bookmarkEnd w:id="121"/>
    </w:p>
    <w:p>
      <w:pPr>
        <w:pStyle w:val="68"/>
        <w:rPr>
          <w:rFonts w:cs="Times New Roman"/>
        </w:rPr>
      </w:pPr>
      <w:r>
        <w:rPr>
          <w:rFonts w:eastAsia="Times New Roman" w:cs="Times New Roman"/>
        </w:rPr>
        <w:t>2009</w:t>
      </w:r>
      <w:r>
        <w:rPr>
          <w:rFonts w:cs="Times New Roman"/>
        </w:rPr>
        <w:t>年</w:t>
      </w:r>
      <w:r>
        <w:rPr>
          <w:rFonts w:eastAsia="Times New Roman" w:cs="Times New Roman"/>
        </w:rPr>
        <w:t>10</w:t>
      </w:r>
      <w:r>
        <w:rPr>
          <w:rFonts w:cs="Times New Roman"/>
          <w:spacing w:val="7"/>
        </w:rPr>
        <w:t>月，香港特区政府修订了《空气污染管控（挥发性有机化合</w:t>
      </w:r>
      <w:r>
        <w:rPr>
          <w:rFonts w:cs="Times New Roman"/>
          <w:spacing w:val="2"/>
        </w:rPr>
        <w:t>物）条</w:t>
      </w:r>
      <w:r>
        <w:rPr>
          <w:rFonts w:cs="Times New Roman"/>
        </w:rPr>
        <w:t>例</w:t>
      </w:r>
      <w:r>
        <w:rPr>
          <w:rFonts w:cs="Times New Roman"/>
          <w:spacing w:val="2"/>
        </w:rPr>
        <w:t>》（</w:t>
      </w:r>
      <w:r>
        <w:rPr>
          <w:rFonts w:cs="Times New Roman"/>
          <w:spacing w:val="3"/>
        </w:rPr>
        <w:t>即</w:t>
      </w:r>
      <w:r>
        <w:rPr>
          <w:rFonts w:eastAsia="Times New Roman" w:cs="Times New Roman"/>
          <w:spacing w:val="-1"/>
        </w:rPr>
        <w:t>“</w:t>
      </w:r>
      <w:r>
        <w:rPr>
          <w:rFonts w:eastAsia="Times New Roman" w:cs="Times New Roman"/>
        </w:rPr>
        <w:t>V</w:t>
      </w:r>
      <w:r>
        <w:rPr>
          <w:rFonts w:eastAsia="Times New Roman" w:cs="Times New Roman"/>
          <w:spacing w:val="-1"/>
        </w:rPr>
        <w:t>O</w:t>
      </w:r>
      <w:r>
        <w:rPr>
          <w:rFonts w:eastAsia="Times New Roman" w:cs="Times New Roman"/>
        </w:rPr>
        <w:t>C</w:t>
      </w:r>
      <w:r>
        <w:rPr>
          <w:rFonts w:cs="Times New Roman"/>
          <w:spacing w:val="2"/>
        </w:rPr>
        <w:t>管理条例</w:t>
      </w:r>
      <w:r>
        <w:rPr>
          <w:rFonts w:eastAsia="Times New Roman" w:cs="Times New Roman"/>
          <w:spacing w:val="-1"/>
        </w:rPr>
        <w:t>”</w:t>
      </w:r>
      <w:r>
        <w:rPr>
          <w:rFonts w:cs="Times New Roman"/>
          <w:spacing w:val="2"/>
        </w:rPr>
        <w:t>），</w:t>
      </w:r>
      <w:r>
        <w:rPr>
          <w:rFonts w:cs="Times New Roman"/>
        </w:rPr>
        <w:t>以</w:t>
      </w:r>
      <w:r>
        <w:rPr>
          <w:rFonts w:cs="Times New Roman"/>
          <w:spacing w:val="2"/>
        </w:rPr>
        <w:t>此</w:t>
      </w:r>
      <w:r>
        <w:rPr>
          <w:rFonts w:cs="Times New Roman"/>
        </w:rPr>
        <w:t>作</w:t>
      </w:r>
      <w:r>
        <w:rPr>
          <w:rFonts w:cs="Times New Roman"/>
          <w:spacing w:val="2"/>
        </w:rPr>
        <w:t>为实</w:t>
      </w:r>
      <w:r>
        <w:rPr>
          <w:rFonts w:cs="Times New Roman"/>
        </w:rPr>
        <w:t>现</w:t>
      </w:r>
      <w:r>
        <w:rPr>
          <w:rFonts w:eastAsia="Times New Roman" w:cs="Times New Roman"/>
          <w:spacing w:val="-1"/>
        </w:rPr>
        <w:t>VO</w:t>
      </w:r>
      <w:r>
        <w:rPr>
          <w:rFonts w:eastAsia="Times New Roman" w:cs="Times New Roman"/>
        </w:rPr>
        <w:t>Cs</w:t>
      </w:r>
      <w:r>
        <w:rPr>
          <w:rFonts w:cs="Times New Roman"/>
        </w:rPr>
        <w:t>减</w:t>
      </w:r>
      <w:r>
        <w:rPr>
          <w:rFonts w:cs="Times New Roman"/>
          <w:spacing w:val="2"/>
        </w:rPr>
        <w:t>排目</w:t>
      </w:r>
      <w:r>
        <w:rPr>
          <w:rFonts w:cs="Times New Roman"/>
        </w:rPr>
        <w:t>标</w:t>
      </w:r>
      <w:r>
        <w:rPr>
          <w:rFonts w:cs="Times New Roman"/>
          <w:spacing w:val="2"/>
        </w:rPr>
        <w:t>的一部分</w:t>
      </w:r>
      <w:r>
        <w:rPr>
          <w:rFonts w:cs="Times New Roman"/>
        </w:rPr>
        <w:t>。根据修订内容，</w:t>
      </w:r>
      <w:r>
        <w:rPr>
          <w:rFonts w:hint="eastAsia" w:cs="Times New Roman"/>
        </w:rPr>
        <w:t>香港</w:t>
      </w:r>
      <w:r>
        <w:rPr>
          <w:rFonts w:cs="Times New Roman"/>
        </w:rPr>
        <w:t>从</w:t>
      </w:r>
      <w:r>
        <w:rPr>
          <w:rFonts w:cs="Times New Roman"/>
          <w:spacing w:val="-43"/>
        </w:rPr>
        <w:t xml:space="preserve"> </w:t>
      </w:r>
      <w:r>
        <w:rPr>
          <w:rFonts w:eastAsia="Times New Roman" w:cs="Times New Roman"/>
        </w:rPr>
        <w:t>2010</w:t>
      </w:r>
      <w:r>
        <w:rPr>
          <w:rFonts w:cs="Times New Roman"/>
        </w:rPr>
        <w:t>年</w:t>
      </w:r>
      <w:r>
        <w:rPr>
          <w:rFonts w:eastAsia="Times New Roman" w:cs="Times New Roman"/>
        </w:rPr>
        <w:t>1</w:t>
      </w:r>
      <w:r>
        <w:rPr>
          <w:rFonts w:cs="Times New Roman"/>
        </w:rPr>
        <w:t>月</w:t>
      </w:r>
      <w:r>
        <w:rPr>
          <w:rFonts w:eastAsia="Times New Roman" w:cs="Times New Roman"/>
        </w:rPr>
        <w:t>1</w:t>
      </w:r>
      <w:r>
        <w:rPr>
          <w:rFonts w:cs="Times New Roman"/>
        </w:rPr>
        <w:t>日起，</w:t>
      </w:r>
      <w:r>
        <w:rPr>
          <w:rFonts w:cs="Times New Roman"/>
          <w:spacing w:val="-3"/>
        </w:rPr>
        <w:t>分</w:t>
      </w:r>
      <w:r>
        <w:rPr>
          <w:rFonts w:cs="Times New Roman"/>
        </w:rPr>
        <w:t>阶段加大控制力度，控制范围也将</w:t>
      </w:r>
      <w:r>
        <w:rPr>
          <w:rFonts w:cs="Times New Roman"/>
          <w:spacing w:val="4"/>
        </w:rPr>
        <w:t>扩大到</w:t>
      </w:r>
      <w:r>
        <w:rPr>
          <w:rFonts w:hint="eastAsia" w:cs="Times New Roman"/>
          <w:spacing w:val="4"/>
        </w:rPr>
        <w:t>1</w:t>
      </w:r>
      <w:r>
        <w:rPr>
          <w:rFonts w:cs="Times New Roman"/>
          <w:spacing w:val="4"/>
        </w:rPr>
        <w:t>4种车辆修</w:t>
      </w:r>
      <w:r>
        <w:rPr>
          <w:rFonts w:cs="Times New Roman"/>
          <w:spacing w:val="2"/>
        </w:rPr>
        <w:t>补</w:t>
      </w:r>
      <w:r>
        <w:rPr>
          <w:rFonts w:cs="Times New Roman"/>
          <w:spacing w:val="4"/>
        </w:rPr>
        <w:t>漆和涂料、</w:t>
      </w:r>
      <w:r>
        <w:rPr>
          <w:rFonts w:hint="eastAsia" w:cs="Times New Roman"/>
          <w:spacing w:val="4"/>
        </w:rPr>
        <w:t>3</w:t>
      </w:r>
      <w:r>
        <w:rPr>
          <w:rFonts w:cs="Times New Roman"/>
          <w:spacing w:val="4"/>
        </w:rPr>
        <w:t>6种</w:t>
      </w:r>
      <w:r>
        <w:rPr>
          <w:rFonts w:cs="Times New Roman"/>
          <w:spacing w:val="2"/>
        </w:rPr>
        <w:t>船</w:t>
      </w:r>
      <w:r>
        <w:rPr>
          <w:rFonts w:cs="Times New Roman"/>
          <w:spacing w:val="4"/>
        </w:rPr>
        <w:t>舶和工艺品油漆和涂</w:t>
      </w:r>
      <w:r>
        <w:rPr>
          <w:rFonts w:cs="Times New Roman"/>
          <w:spacing w:val="2"/>
        </w:rPr>
        <w:t>料</w:t>
      </w:r>
      <w:r>
        <w:rPr>
          <w:rFonts w:cs="Times New Roman"/>
          <w:spacing w:val="4"/>
        </w:rPr>
        <w:t>以及</w:t>
      </w:r>
      <w:r>
        <w:rPr>
          <w:rFonts w:hint="eastAsia" w:cs="Times New Roman"/>
          <w:spacing w:val="2"/>
        </w:rPr>
        <w:t>4</w:t>
      </w:r>
      <w:r>
        <w:rPr>
          <w:rFonts w:cs="Times New Roman"/>
          <w:spacing w:val="2"/>
        </w:rPr>
        <w:t>7</w:t>
      </w:r>
      <w:r>
        <w:rPr>
          <w:rFonts w:cs="Times New Roman"/>
          <w:spacing w:val="4"/>
        </w:rPr>
        <w:t>种粘合剂和密封剂</w:t>
      </w:r>
      <w:r>
        <w:rPr>
          <w:rFonts w:cs="Times New Roman"/>
          <w:spacing w:val="2"/>
        </w:rPr>
        <w:t>。</w:t>
      </w:r>
      <w:r>
        <w:rPr>
          <w:rFonts w:cs="Times New Roman"/>
        </w:rPr>
        <w:t>具体管制建筑涂料、印刷油墨、消费</w:t>
      </w:r>
      <w:r>
        <w:rPr>
          <w:rFonts w:cs="Times New Roman"/>
          <w:spacing w:val="4"/>
        </w:rPr>
        <w:t>品、汽车修补涂料、</w:t>
      </w:r>
      <w:r>
        <w:rPr>
          <w:rFonts w:cs="Times New Roman"/>
          <w:spacing w:val="2"/>
        </w:rPr>
        <w:t>船</w:t>
      </w:r>
      <w:r>
        <w:rPr>
          <w:rFonts w:cs="Times New Roman"/>
          <w:spacing w:val="4"/>
        </w:rPr>
        <w:t>舶和游艇船只、粘合</w:t>
      </w:r>
      <w:r>
        <w:rPr>
          <w:rFonts w:cs="Times New Roman"/>
          <w:spacing w:val="2"/>
        </w:rPr>
        <w:t>剂</w:t>
      </w:r>
      <w:r>
        <w:rPr>
          <w:rFonts w:cs="Times New Roman"/>
          <w:spacing w:val="4"/>
        </w:rPr>
        <w:t>和密封剂的挥发性有</w:t>
      </w:r>
      <w:r>
        <w:rPr>
          <w:rFonts w:cs="Times New Roman"/>
          <w:spacing w:val="2"/>
        </w:rPr>
        <w:t>机</w:t>
      </w:r>
      <w:r>
        <w:rPr>
          <w:rFonts w:cs="Times New Roman"/>
          <w:spacing w:val="4"/>
        </w:rPr>
        <w:t>污染</w:t>
      </w:r>
      <w:r>
        <w:rPr>
          <w:rFonts w:cs="Times New Roman"/>
          <w:spacing w:val="2"/>
        </w:rPr>
        <w:t>物</w:t>
      </w:r>
      <w:r>
        <w:rPr>
          <w:rFonts w:cs="Times New Roman"/>
        </w:rPr>
        <w:t>农药和医药中的活性组分总胺（以二甲胺计）、苯、溴、二硫化碳、氯、</w:t>
      </w:r>
      <w:r>
        <w:rPr>
          <w:rFonts w:eastAsia="Times New Roman" w:cs="Times New Roman"/>
        </w:rPr>
        <w:t>1,2</w:t>
      </w:r>
      <w:r>
        <w:rPr>
          <w:rFonts w:eastAsia="Times New Roman" w:cs="Times New Roman"/>
          <w:spacing w:val="-1"/>
        </w:rPr>
        <w:t>-</w:t>
      </w:r>
      <w:r>
        <w:rPr>
          <w:rFonts w:cs="Times New Roman"/>
        </w:rPr>
        <w:t>二氯乙烷、甲醛、溴化氢、氰化氢、氟化氢、碘化氢、硫化氢、碘。</w:t>
      </w:r>
    </w:p>
    <w:p>
      <w:pPr>
        <w:pStyle w:val="68"/>
        <w:rPr>
          <w:rFonts w:cs="Times New Roman"/>
        </w:rPr>
      </w:pPr>
      <w:r>
        <w:rPr>
          <w:rFonts w:cs="Times New Roman"/>
        </w:rPr>
        <w:t>香港</w:t>
      </w:r>
      <w:r>
        <w:rPr>
          <w:rFonts w:hint="eastAsia" w:cs="Times New Roman"/>
        </w:rPr>
        <w:t>还</w:t>
      </w:r>
      <w:r>
        <w:rPr>
          <w:rFonts w:cs="Times New Roman"/>
        </w:rPr>
        <w:t>制定了石油加工、铜加工、电子制造、铝业加工、钢铁工业、矿业加工、石油加工、铅工业、有机化学品加工、镀锌、鱼粉加工等25个行业（或工业）的</w:t>
      </w:r>
      <w:r>
        <w:rPr>
          <w:rFonts w:hint="eastAsia" w:cs="Times New Roman"/>
        </w:rPr>
        <w:t>污染物</w:t>
      </w:r>
      <w:r>
        <w:rPr>
          <w:rFonts w:cs="Times New Roman"/>
        </w:rPr>
        <w:t>排放标准，涉及到污染物40余项，其中也包括部分VOCs化合物。</w:t>
      </w:r>
    </w:p>
    <w:p>
      <w:pPr>
        <w:pStyle w:val="4"/>
        <w:ind w:left="0" w:firstLine="0"/>
      </w:pPr>
      <w:bookmarkStart w:id="122" w:name="_Toc26350774"/>
      <w:r>
        <w:t>台湾</w:t>
      </w:r>
      <w:bookmarkEnd w:id="122"/>
    </w:p>
    <w:p>
      <w:pPr>
        <w:pStyle w:val="68"/>
        <w:ind w:firstLine="476"/>
        <w:rPr>
          <w:rFonts w:cs="Times New Roman"/>
        </w:rPr>
      </w:pPr>
      <w:r>
        <w:rPr>
          <w:rFonts w:cs="Times New Roman"/>
          <w:spacing w:val="-1"/>
        </w:rPr>
        <w:t>（</w:t>
      </w:r>
      <w:r>
        <w:rPr>
          <w:rFonts w:eastAsia="Times New Roman" w:cs="Times New Roman"/>
        </w:rPr>
        <w:t>1</w:t>
      </w:r>
      <w:r>
        <w:rPr>
          <w:rFonts w:cs="Times New Roman"/>
        </w:rPr>
        <w:t>）固定源大气污染物排放标准</w:t>
      </w:r>
    </w:p>
    <w:p>
      <w:pPr>
        <w:pStyle w:val="68"/>
        <w:rPr>
          <w:rFonts w:cs="Times New Roman"/>
        </w:rPr>
      </w:pPr>
      <w:r>
        <w:rPr>
          <w:rFonts w:cs="Times New Roman"/>
        </w:rPr>
        <w:t>台湾地区针对</w:t>
      </w:r>
      <w:r>
        <w:rPr>
          <w:rFonts w:eastAsia="Times New Roman" w:cs="Times New Roman"/>
        </w:rPr>
        <w:t>V</w:t>
      </w:r>
      <w:r>
        <w:rPr>
          <w:rFonts w:eastAsia="Times New Roman" w:cs="Times New Roman"/>
          <w:spacing w:val="-1"/>
        </w:rPr>
        <w:t>O</w:t>
      </w:r>
      <w:r>
        <w:rPr>
          <w:rFonts w:eastAsia="Times New Roman" w:cs="Times New Roman"/>
        </w:rPr>
        <w:t>Cs</w:t>
      </w:r>
      <w:r>
        <w:rPr>
          <w:rFonts w:cs="Times New Roman"/>
        </w:rPr>
        <w:t>控制有一套成熟</w:t>
      </w:r>
      <w:r>
        <w:rPr>
          <w:rFonts w:cs="Times New Roman"/>
          <w:spacing w:val="-3"/>
        </w:rPr>
        <w:t>的</w:t>
      </w:r>
      <w:r>
        <w:rPr>
          <w:rFonts w:cs="Times New Roman"/>
        </w:rPr>
        <w:t>控制理论，</w:t>
      </w:r>
      <w:r>
        <w:rPr>
          <w:rFonts w:eastAsia="Times New Roman" w:cs="Times New Roman"/>
        </w:rPr>
        <w:t>2012</w:t>
      </w:r>
      <w:r>
        <w:rPr>
          <w:rFonts w:cs="Times New Roman"/>
        </w:rPr>
        <w:t>年修订了固定</w:t>
      </w:r>
      <w:r>
        <w:rPr>
          <w:rFonts w:cs="Times New Roman"/>
          <w:spacing w:val="4"/>
        </w:rPr>
        <w:t>源大气污染物排放标</w:t>
      </w:r>
      <w:r>
        <w:rPr>
          <w:rFonts w:cs="Times New Roman"/>
          <w:spacing w:val="2"/>
        </w:rPr>
        <w:t>准</w:t>
      </w:r>
      <w:r>
        <w:rPr>
          <w:rFonts w:cs="Times New Roman"/>
          <w:spacing w:val="4"/>
        </w:rPr>
        <w:t>，包括了排放浓度、</w:t>
      </w:r>
      <w:r>
        <w:rPr>
          <w:rFonts w:cs="Times New Roman"/>
          <w:spacing w:val="2"/>
        </w:rPr>
        <w:t>排</w:t>
      </w:r>
      <w:r>
        <w:rPr>
          <w:rFonts w:cs="Times New Roman"/>
          <w:spacing w:val="4"/>
        </w:rPr>
        <w:t>放速率以及无组织排</w:t>
      </w:r>
      <w:r>
        <w:rPr>
          <w:rFonts w:cs="Times New Roman"/>
          <w:spacing w:val="2"/>
        </w:rPr>
        <w:t>放</w:t>
      </w:r>
      <w:r>
        <w:rPr>
          <w:rFonts w:cs="Times New Roman"/>
          <w:spacing w:val="4"/>
        </w:rPr>
        <w:t>的厂</w:t>
      </w:r>
      <w:r>
        <w:rPr>
          <w:rFonts w:cs="Times New Roman"/>
          <w:spacing w:val="2"/>
        </w:rPr>
        <w:t>界</w:t>
      </w:r>
      <w:r>
        <w:rPr>
          <w:rFonts w:cs="Times New Roman"/>
        </w:rPr>
        <w:t>监控浓度。具</w:t>
      </w:r>
      <w:r>
        <w:rPr>
          <w:rFonts w:cs="Times New Roman"/>
          <w:spacing w:val="-1"/>
        </w:rPr>
        <w:t>有</w:t>
      </w:r>
      <w:r>
        <w:rPr>
          <w:rFonts w:cs="Times New Roman"/>
        </w:rPr>
        <w:t>以下几个特点：排气筒分为低排气筒（不高于</w:t>
      </w:r>
      <w:r>
        <w:rPr>
          <w:rFonts w:eastAsia="Times New Roman" w:cs="Times New Roman"/>
        </w:rPr>
        <w:t>6 m</w:t>
      </w:r>
      <w:r>
        <w:rPr>
          <w:rFonts w:cs="Times New Roman"/>
        </w:rPr>
        <w:t>）和较高排气筒</w:t>
      </w:r>
      <w:r>
        <w:rPr>
          <w:rFonts w:cs="Times New Roman"/>
          <w:spacing w:val="-1"/>
        </w:rPr>
        <w:t>（</w:t>
      </w:r>
      <w:r>
        <w:rPr>
          <w:rFonts w:eastAsia="Times New Roman" w:cs="Times New Roman"/>
        </w:rPr>
        <w:t>6 m</w:t>
      </w:r>
      <w:r>
        <w:rPr>
          <w:rFonts w:cs="Times New Roman"/>
        </w:rPr>
        <w:t>以上），按照与周界的距离以及周界最近建筑物的高度进行计算。</w:t>
      </w:r>
      <w:r>
        <w:rPr>
          <w:rFonts w:cs="Times New Roman"/>
          <w:spacing w:val="4"/>
        </w:rPr>
        <w:t>均设置</w:t>
      </w:r>
      <w:r>
        <w:rPr>
          <w:rFonts w:cs="Times New Roman"/>
        </w:rPr>
        <w:t>排放浓</w:t>
      </w:r>
      <w:r>
        <w:rPr>
          <w:rFonts w:cs="Times New Roman"/>
          <w:spacing w:val="4"/>
        </w:rPr>
        <w:t>度，但排放速率给出计算公式，每</w:t>
      </w:r>
      <w:r>
        <w:rPr>
          <w:rFonts w:cs="Times New Roman"/>
          <w:spacing w:val="2"/>
        </w:rPr>
        <w:t>个</w:t>
      </w:r>
      <w:r>
        <w:rPr>
          <w:rFonts w:cs="Times New Roman"/>
          <w:spacing w:val="4"/>
        </w:rPr>
        <w:t>工厂需要根据实际情</w:t>
      </w:r>
      <w:r>
        <w:rPr>
          <w:rFonts w:cs="Times New Roman"/>
          <w:spacing w:val="2"/>
        </w:rPr>
        <w:t>况</w:t>
      </w:r>
      <w:r>
        <w:rPr>
          <w:rFonts w:cs="Times New Roman"/>
          <w:spacing w:val="4"/>
        </w:rPr>
        <w:t>计算</w:t>
      </w:r>
      <w:r>
        <w:rPr>
          <w:rFonts w:cs="Times New Roman"/>
          <w:spacing w:val="3"/>
        </w:rPr>
        <w:t>。</w:t>
      </w:r>
      <w:r>
        <w:rPr>
          <w:rFonts w:cs="Times New Roman"/>
        </w:rPr>
        <w:t>控制项目</w:t>
      </w:r>
      <w:r>
        <w:rPr>
          <w:rFonts w:cs="Times New Roman"/>
          <w:spacing w:val="-61"/>
        </w:rPr>
        <w:t xml:space="preserve"> </w:t>
      </w:r>
      <w:r>
        <w:rPr>
          <w:rFonts w:eastAsia="Times New Roman" w:cs="Times New Roman"/>
        </w:rPr>
        <w:t>512</w:t>
      </w:r>
      <w:r>
        <w:rPr>
          <w:rFonts w:cs="Times New Roman"/>
        </w:rPr>
        <w:t>种，其中列出了其他空气污染物和异味物质的要求。</w:t>
      </w:r>
    </w:p>
    <w:p>
      <w:pPr>
        <w:pStyle w:val="68"/>
        <w:ind w:firstLine="496"/>
        <w:rPr>
          <w:rFonts w:cs="Times New Roman"/>
        </w:rPr>
      </w:pPr>
      <w:r>
        <w:rPr>
          <w:rFonts w:cs="Times New Roman"/>
          <w:spacing w:val="4"/>
        </w:rPr>
        <w:t>在台湾地区固定源标准中，规定了颗粒物、硫氧化物、硫酸雾、氮氧化物、一氧化碳、总</w:t>
      </w:r>
      <w:r>
        <w:rPr>
          <w:rFonts w:cs="Times New Roman"/>
          <w:spacing w:val="2"/>
        </w:rPr>
        <w:t>氟</w:t>
      </w:r>
      <w:r>
        <w:rPr>
          <w:rFonts w:cs="Times New Roman"/>
          <w:spacing w:val="4"/>
        </w:rPr>
        <w:t>量、氯化氢、氯气、</w:t>
      </w:r>
      <w:r>
        <w:rPr>
          <w:rFonts w:cs="Times New Roman"/>
          <w:spacing w:val="2"/>
        </w:rPr>
        <w:t>氨</w:t>
      </w:r>
      <w:r>
        <w:rPr>
          <w:rFonts w:cs="Times New Roman"/>
          <w:spacing w:val="4"/>
        </w:rPr>
        <w:t>气、硫化氢、硫醇、</w:t>
      </w:r>
      <w:r>
        <w:rPr>
          <w:rFonts w:cs="Times New Roman"/>
          <w:spacing w:val="2"/>
        </w:rPr>
        <w:t>二</w:t>
      </w:r>
      <w:r>
        <w:rPr>
          <w:rFonts w:cs="Times New Roman"/>
          <w:spacing w:val="4"/>
        </w:rPr>
        <w:t>甲基</w:t>
      </w:r>
      <w:r>
        <w:rPr>
          <w:rFonts w:cs="Times New Roman"/>
          <w:spacing w:val="2"/>
        </w:rPr>
        <w:t>硫</w:t>
      </w:r>
      <w:r>
        <w:rPr>
          <w:rFonts w:cs="Times New Roman"/>
        </w:rPr>
        <w:t>、</w:t>
      </w:r>
      <w:r>
        <w:rPr>
          <w:rFonts w:cs="Times New Roman"/>
          <w:spacing w:val="4"/>
        </w:rPr>
        <w:t>二甲二硫、一甲胺、</w:t>
      </w:r>
      <w:r>
        <w:rPr>
          <w:rFonts w:cs="Times New Roman"/>
          <w:spacing w:val="2"/>
        </w:rPr>
        <w:t>二</w:t>
      </w:r>
      <w:r>
        <w:rPr>
          <w:rFonts w:cs="Times New Roman"/>
          <w:spacing w:val="4"/>
        </w:rPr>
        <w:t>甲胺、三甲胺、二硫</w:t>
      </w:r>
      <w:r>
        <w:rPr>
          <w:rFonts w:cs="Times New Roman"/>
          <w:spacing w:val="2"/>
        </w:rPr>
        <w:t>化</w:t>
      </w:r>
      <w:r>
        <w:rPr>
          <w:rFonts w:cs="Times New Roman"/>
          <w:spacing w:val="4"/>
        </w:rPr>
        <w:t>碳、甲醛、苯、甲苯</w:t>
      </w:r>
      <w:r>
        <w:rPr>
          <w:rFonts w:cs="Times New Roman"/>
          <w:spacing w:val="2"/>
        </w:rPr>
        <w:t>、</w:t>
      </w:r>
      <w:r>
        <w:rPr>
          <w:rFonts w:cs="Times New Roman"/>
          <w:spacing w:val="4"/>
        </w:rPr>
        <w:t>二甲</w:t>
      </w:r>
      <w:r>
        <w:rPr>
          <w:rFonts w:cs="Times New Roman"/>
          <w:spacing w:val="2"/>
        </w:rPr>
        <w:t>苯</w:t>
      </w:r>
      <w:r>
        <w:rPr>
          <w:rFonts w:cs="Times New Roman"/>
        </w:rPr>
        <w:t>、</w:t>
      </w:r>
      <w:r>
        <w:rPr>
          <w:rFonts w:cs="Times New Roman"/>
          <w:spacing w:val="12"/>
        </w:rPr>
        <w:t>铅及其化合物、镉及其化合物、石棉及含石棉物质、氯乙烯、其他空气污染</w:t>
      </w:r>
      <w:r>
        <w:rPr>
          <w:rFonts w:cs="Times New Roman"/>
        </w:rPr>
        <w:t>物、恶臭污染物。由于该标准较老，因此其大部分排放限值均相对</w:t>
      </w:r>
      <w:r>
        <w:rPr>
          <w:rFonts w:hint="eastAsia" w:cs="Times New Roman"/>
        </w:rPr>
        <w:t>宽松</w:t>
      </w:r>
      <w:r>
        <w:rPr>
          <w:rFonts w:cs="Times New Roman"/>
        </w:rPr>
        <w:t>。</w:t>
      </w:r>
    </w:p>
    <w:p>
      <w:pPr>
        <w:pStyle w:val="68"/>
        <w:ind w:firstLine="476"/>
        <w:rPr>
          <w:rFonts w:cs="Times New Roman"/>
          <w:kern w:val="0"/>
          <w:szCs w:val="24"/>
        </w:rPr>
      </w:pPr>
      <w:r>
        <w:rPr>
          <w:rFonts w:cs="Times New Roman"/>
          <w:spacing w:val="-1"/>
          <w:kern w:val="0"/>
          <w:szCs w:val="24"/>
        </w:rPr>
        <w:t>（</w:t>
      </w:r>
      <w:r>
        <w:rPr>
          <w:rFonts w:eastAsia="Times New Roman" w:cs="Times New Roman"/>
          <w:kern w:val="0"/>
          <w:szCs w:val="24"/>
        </w:rPr>
        <w:t>2</w:t>
      </w:r>
      <w:r>
        <w:rPr>
          <w:rFonts w:cs="Times New Roman"/>
          <w:kern w:val="0"/>
          <w:szCs w:val="24"/>
        </w:rPr>
        <w:t>）石化行业</w:t>
      </w:r>
      <w:r>
        <w:rPr>
          <w:rFonts w:cs="Times New Roman"/>
          <w:spacing w:val="-60"/>
          <w:kern w:val="0"/>
          <w:szCs w:val="24"/>
        </w:rPr>
        <w:t xml:space="preserve"> </w:t>
      </w:r>
      <w:r>
        <w:rPr>
          <w:rFonts w:eastAsia="Times New Roman" w:cs="Times New Roman"/>
          <w:kern w:val="0"/>
          <w:szCs w:val="24"/>
        </w:rPr>
        <w:t>V</w:t>
      </w:r>
      <w:r>
        <w:rPr>
          <w:rFonts w:eastAsia="Times New Roman" w:cs="Times New Roman"/>
          <w:spacing w:val="-1"/>
          <w:kern w:val="0"/>
          <w:szCs w:val="24"/>
        </w:rPr>
        <w:t>O</w:t>
      </w:r>
      <w:r>
        <w:rPr>
          <w:rFonts w:eastAsia="Times New Roman" w:cs="Times New Roman"/>
          <w:kern w:val="0"/>
          <w:szCs w:val="24"/>
        </w:rPr>
        <w:t>Cs</w:t>
      </w:r>
      <w:r>
        <w:rPr>
          <w:rFonts w:cs="Times New Roman"/>
          <w:kern w:val="0"/>
          <w:szCs w:val="24"/>
        </w:rPr>
        <w:t>控制标准</w:t>
      </w:r>
    </w:p>
    <w:p>
      <w:pPr>
        <w:pStyle w:val="68"/>
        <w:rPr>
          <w:rFonts w:cs="Times New Roman"/>
          <w:kern w:val="0"/>
          <w:szCs w:val="24"/>
        </w:rPr>
      </w:pPr>
      <w:r>
        <w:rPr>
          <w:rFonts w:eastAsia="Times New Roman" w:cs="Times New Roman"/>
          <w:kern w:val="0"/>
          <w:szCs w:val="24"/>
        </w:rPr>
        <w:t>2012</w:t>
      </w:r>
      <w:r>
        <w:rPr>
          <w:rFonts w:cs="Times New Roman"/>
          <w:spacing w:val="2"/>
          <w:kern w:val="0"/>
          <w:szCs w:val="24"/>
        </w:rPr>
        <w:t>年针对</w:t>
      </w:r>
      <w:r>
        <w:rPr>
          <w:rFonts w:cs="Times New Roman"/>
          <w:kern w:val="0"/>
          <w:szCs w:val="24"/>
        </w:rPr>
        <w:t>石化</w:t>
      </w:r>
      <w:r>
        <w:rPr>
          <w:rFonts w:cs="Times New Roman"/>
          <w:spacing w:val="2"/>
          <w:kern w:val="0"/>
          <w:szCs w:val="24"/>
        </w:rPr>
        <w:t>工业更</w:t>
      </w:r>
      <w:r>
        <w:rPr>
          <w:rFonts w:cs="Times New Roman"/>
          <w:kern w:val="0"/>
          <w:szCs w:val="24"/>
        </w:rPr>
        <w:t>新</w:t>
      </w:r>
      <w:r>
        <w:rPr>
          <w:rFonts w:cs="Times New Roman"/>
          <w:spacing w:val="2"/>
          <w:kern w:val="0"/>
          <w:szCs w:val="24"/>
        </w:rPr>
        <w:t>了挥</w:t>
      </w:r>
      <w:r>
        <w:rPr>
          <w:rFonts w:cs="Times New Roman"/>
          <w:kern w:val="0"/>
          <w:szCs w:val="24"/>
        </w:rPr>
        <w:t>发</w:t>
      </w:r>
      <w:r>
        <w:rPr>
          <w:rFonts w:cs="Times New Roman"/>
          <w:spacing w:val="2"/>
          <w:kern w:val="0"/>
          <w:szCs w:val="24"/>
        </w:rPr>
        <w:t>性</w:t>
      </w:r>
      <w:r>
        <w:rPr>
          <w:rFonts w:cs="Times New Roman"/>
          <w:kern w:val="0"/>
          <w:szCs w:val="24"/>
        </w:rPr>
        <w:t>有</w:t>
      </w:r>
      <w:r>
        <w:rPr>
          <w:rFonts w:cs="Times New Roman"/>
          <w:spacing w:val="2"/>
          <w:kern w:val="0"/>
          <w:szCs w:val="24"/>
        </w:rPr>
        <w:t>机物管</w:t>
      </w:r>
      <w:r>
        <w:rPr>
          <w:rFonts w:cs="Times New Roman"/>
          <w:kern w:val="0"/>
          <w:szCs w:val="24"/>
        </w:rPr>
        <w:t>制</w:t>
      </w:r>
      <w:r>
        <w:rPr>
          <w:rFonts w:cs="Times New Roman"/>
          <w:spacing w:val="2"/>
          <w:kern w:val="0"/>
          <w:szCs w:val="24"/>
        </w:rPr>
        <w:t>和排放</w:t>
      </w:r>
      <w:r>
        <w:rPr>
          <w:rFonts w:cs="Times New Roman"/>
          <w:spacing w:val="4"/>
          <w:kern w:val="0"/>
          <w:szCs w:val="24"/>
        </w:rPr>
        <w:t>标</w:t>
      </w:r>
      <w:r>
        <w:rPr>
          <w:rFonts w:cs="Times New Roman"/>
          <w:spacing w:val="2"/>
          <w:kern w:val="0"/>
          <w:szCs w:val="24"/>
        </w:rPr>
        <w:t>准</w:t>
      </w:r>
      <w:r>
        <w:rPr>
          <w:rFonts w:cs="Times New Roman"/>
          <w:kern w:val="0"/>
          <w:szCs w:val="24"/>
        </w:rPr>
        <w:t>的</w:t>
      </w:r>
      <w:r>
        <w:rPr>
          <w:rFonts w:cs="Times New Roman"/>
          <w:spacing w:val="2"/>
          <w:kern w:val="0"/>
          <w:szCs w:val="24"/>
        </w:rPr>
        <w:t>修订工作</w:t>
      </w:r>
      <w:r>
        <w:rPr>
          <w:rFonts w:cs="Times New Roman"/>
          <w:kern w:val="0"/>
          <w:szCs w:val="24"/>
        </w:rPr>
        <w:t>。</w:t>
      </w:r>
      <w:r>
        <w:rPr>
          <w:rFonts w:cs="Times New Roman"/>
          <w:spacing w:val="4"/>
          <w:kern w:val="0"/>
          <w:szCs w:val="24"/>
        </w:rPr>
        <w:t>针对废气燃烧塔、制</w:t>
      </w:r>
      <w:r>
        <w:rPr>
          <w:rFonts w:cs="Times New Roman"/>
          <w:spacing w:val="2"/>
          <w:kern w:val="0"/>
          <w:szCs w:val="24"/>
        </w:rPr>
        <w:t>程</w:t>
      </w:r>
      <w:r>
        <w:rPr>
          <w:rFonts w:cs="Times New Roman"/>
          <w:spacing w:val="4"/>
          <w:kern w:val="0"/>
          <w:szCs w:val="24"/>
        </w:rPr>
        <w:t>设施、液体储罐、装</w:t>
      </w:r>
      <w:r>
        <w:rPr>
          <w:rFonts w:cs="Times New Roman"/>
          <w:spacing w:val="2"/>
          <w:kern w:val="0"/>
          <w:szCs w:val="24"/>
        </w:rPr>
        <w:t>卸</w:t>
      </w:r>
      <w:r>
        <w:rPr>
          <w:rFonts w:cs="Times New Roman"/>
          <w:spacing w:val="4"/>
          <w:kern w:val="0"/>
          <w:szCs w:val="24"/>
        </w:rPr>
        <w:t>操作设施、设备元件</w:t>
      </w:r>
      <w:r>
        <w:rPr>
          <w:rFonts w:cs="Times New Roman"/>
          <w:spacing w:val="2"/>
          <w:kern w:val="0"/>
          <w:szCs w:val="24"/>
        </w:rPr>
        <w:t>泄</w:t>
      </w:r>
      <w:r>
        <w:rPr>
          <w:rFonts w:cs="Times New Roman"/>
          <w:spacing w:val="4"/>
          <w:kern w:val="0"/>
          <w:szCs w:val="24"/>
        </w:rPr>
        <w:t>漏、</w:t>
      </w:r>
      <w:r>
        <w:rPr>
          <w:rFonts w:cs="Times New Roman"/>
          <w:spacing w:val="2"/>
          <w:kern w:val="0"/>
          <w:szCs w:val="24"/>
        </w:rPr>
        <w:t>废</w:t>
      </w:r>
      <w:r>
        <w:rPr>
          <w:rFonts w:cs="Times New Roman"/>
          <w:kern w:val="0"/>
          <w:szCs w:val="24"/>
        </w:rPr>
        <w:t>水</w:t>
      </w:r>
      <w:r>
        <w:rPr>
          <w:rFonts w:cs="Times New Roman"/>
          <w:spacing w:val="4"/>
          <w:kern w:val="0"/>
          <w:szCs w:val="24"/>
        </w:rPr>
        <w:t>处理设施等</w:t>
      </w:r>
      <w:r>
        <w:rPr>
          <w:rFonts w:hint="eastAsia" w:cs="Times New Roman"/>
          <w:spacing w:val="4"/>
          <w:kern w:val="0"/>
          <w:szCs w:val="24"/>
        </w:rPr>
        <w:t>6</w:t>
      </w:r>
      <w:r>
        <w:rPr>
          <w:rFonts w:cs="Times New Roman"/>
          <w:spacing w:val="4"/>
          <w:kern w:val="0"/>
          <w:szCs w:val="24"/>
        </w:rPr>
        <w:t>个方面</w:t>
      </w:r>
      <w:r>
        <w:rPr>
          <w:rFonts w:cs="Times New Roman"/>
          <w:spacing w:val="2"/>
          <w:kern w:val="0"/>
          <w:szCs w:val="24"/>
        </w:rPr>
        <w:t>，</w:t>
      </w:r>
      <w:r>
        <w:rPr>
          <w:rFonts w:cs="Times New Roman"/>
          <w:spacing w:val="4"/>
          <w:kern w:val="0"/>
          <w:szCs w:val="24"/>
        </w:rPr>
        <w:t>进行了更新。增加了</w:t>
      </w:r>
      <w:r>
        <w:rPr>
          <w:rFonts w:cs="Times New Roman"/>
          <w:spacing w:val="2"/>
          <w:kern w:val="0"/>
          <w:szCs w:val="24"/>
        </w:rPr>
        <w:t>大</w:t>
      </w:r>
      <w:r>
        <w:rPr>
          <w:rFonts w:cs="Times New Roman"/>
          <w:spacing w:val="4"/>
          <w:kern w:val="0"/>
          <w:szCs w:val="24"/>
        </w:rPr>
        <w:t>量的工艺要求，比如</w:t>
      </w:r>
      <w:r>
        <w:rPr>
          <w:rFonts w:cs="Times New Roman"/>
          <w:spacing w:val="2"/>
          <w:kern w:val="0"/>
          <w:szCs w:val="24"/>
        </w:rPr>
        <w:t>燃</w:t>
      </w:r>
      <w:r>
        <w:rPr>
          <w:rFonts w:cs="Times New Roman"/>
          <w:spacing w:val="4"/>
          <w:kern w:val="0"/>
          <w:szCs w:val="24"/>
        </w:rPr>
        <w:t>烧塔</w:t>
      </w:r>
      <w:r>
        <w:rPr>
          <w:rFonts w:cs="Times New Roman"/>
          <w:spacing w:val="2"/>
          <w:kern w:val="0"/>
          <w:szCs w:val="24"/>
        </w:rPr>
        <w:t>排</w:t>
      </w:r>
      <w:r>
        <w:rPr>
          <w:rFonts w:cs="Times New Roman"/>
          <w:kern w:val="0"/>
          <w:szCs w:val="24"/>
        </w:rPr>
        <w:t>放</w:t>
      </w:r>
      <w:r>
        <w:rPr>
          <w:rFonts w:cs="Times New Roman"/>
          <w:spacing w:val="4"/>
          <w:kern w:val="0"/>
          <w:szCs w:val="24"/>
        </w:rPr>
        <w:t>成分及操作条件、燃</w:t>
      </w:r>
      <w:r>
        <w:rPr>
          <w:rFonts w:cs="Times New Roman"/>
          <w:spacing w:val="2"/>
          <w:kern w:val="0"/>
          <w:szCs w:val="24"/>
        </w:rPr>
        <w:t>烧</w:t>
      </w:r>
      <w:r>
        <w:rPr>
          <w:rFonts w:cs="Times New Roman"/>
          <w:spacing w:val="4"/>
          <w:kern w:val="0"/>
          <w:szCs w:val="24"/>
        </w:rPr>
        <w:t>塔使用事件通报、石</w:t>
      </w:r>
      <w:r>
        <w:rPr>
          <w:rFonts w:cs="Times New Roman"/>
          <w:spacing w:val="2"/>
          <w:kern w:val="0"/>
          <w:szCs w:val="24"/>
        </w:rPr>
        <w:t>化</w:t>
      </w:r>
      <w:r>
        <w:rPr>
          <w:rFonts w:cs="Times New Roman"/>
          <w:spacing w:val="4"/>
          <w:kern w:val="0"/>
          <w:szCs w:val="24"/>
        </w:rPr>
        <w:t>制程原物料或产品输</w:t>
      </w:r>
      <w:r>
        <w:rPr>
          <w:rFonts w:cs="Times New Roman"/>
          <w:spacing w:val="2"/>
          <w:kern w:val="0"/>
          <w:szCs w:val="24"/>
        </w:rPr>
        <w:t>送</w:t>
      </w:r>
      <w:r>
        <w:rPr>
          <w:rFonts w:cs="Times New Roman"/>
          <w:spacing w:val="4"/>
          <w:kern w:val="0"/>
          <w:szCs w:val="24"/>
        </w:rPr>
        <w:t>管线</w:t>
      </w:r>
      <w:r>
        <w:rPr>
          <w:rFonts w:cs="Times New Roman"/>
          <w:spacing w:val="2"/>
          <w:kern w:val="0"/>
          <w:szCs w:val="24"/>
        </w:rPr>
        <w:t>不</w:t>
      </w:r>
      <w:r>
        <w:rPr>
          <w:rFonts w:cs="Times New Roman"/>
          <w:kern w:val="0"/>
          <w:szCs w:val="24"/>
        </w:rPr>
        <w:t>得</w:t>
      </w:r>
      <w:r>
        <w:rPr>
          <w:rFonts w:cs="Times New Roman"/>
          <w:spacing w:val="4"/>
          <w:kern w:val="0"/>
          <w:szCs w:val="24"/>
        </w:rPr>
        <w:t>破损坏；针对储罐，</w:t>
      </w:r>
      <w:r>
        <w:rPr>
          <w:rFonts w:cs="Times New Roman"/>
          <w:spacing w:val="2"/>
          <w:kern w:val="0"/>
          <w:szCs w:val="24"/>
        </w:rPr>
        <w:t>扩</w:t>
      </w:r>
      <w:r>
        <w:rPr>
          <w:rFonts w:cs="Times New Roman"/>
          <w:spacing w:val="4"/>
          <w:kern w:val="0"/>
          <w:szCs w:val="24"/>
        </w:rPr>
        <w:t>大管制范围，规定了</w:t>
      </w:r>
      <w:r>
        <w:rPr>
          <w:rFonts w:cs="Times New Roman"/>
          <w:spacing w:val="2"/>
          <w:kern w:val="0"/>
          <w:szCs w:val="24"/>
        </w:rPr>
        <w:t>含</w:t>
      </w:r>
      <w:r>
        <w:rPr>
          <w:rFonts w:cs="Times New Roman"/>
          <w:spacing w:val="4"/>
          <w:kern w:val="0"/>
          <w:szCs w:val="24"/>
        </w:rPr>
        <w:t>有苯乙烯、二甲苯、</w:t>
      </w:r>
      <w:r>
        <w:rPr>
          <w:rFonts w:cs="Times New Roman"/>
          <w:spacing w:val="2"/>
          <w:kern w:val="0"/>
          <w:szCs w:val="24"/>
        </w:rPr>
        <w:t>甲</w:t>
      </w:r>
      <w:r>
        <w:rPr>
          <w:rFonts w:cs="Times New Roman"/>
          <w:spacing w:val="4"/>
          <w:kern w:val="0"/>
          <w:szCs w:val="24"/>
        </w:rPr>
        <w:t>苯、</w:t>
      </w:r>
      <w:r>
        <w:rPr>
          <w:rFonts w:cs="Times New Roman"/>
          <w:spacing w:val="2"/>
          <w:kern w:val="0"/>
          <w:szCs w:val="24"/>
        </w:rPr>
        <w:t>苯</w:t>
      </w:r>
      <w:r>
        <w:rPr>
          <w:rFonts w:cs="Times New Roman"/>
          <w:spacing w:val="4"/>
          <w:kern w:val="0"/>
          <w:szCs w:val="24"/>
        </w:rPr>
        <w:t>乙苯、三氯甲烷、二</w:t>
      </w:r>
      <w:r>
        <w:rPr>
          <w:rFonts w:cs="Times New Roman"/>
          <w:spacing w:val="2"/>
          <w:kern w:val="0"/>
          <w:szCs w:val="24"/>
        </w:rPr>
        <w:t>氯</w:t>
      </w:r>
      <w:r>
        <w:rPr>
          <w:rFonts w:cs="Times New Roman"/>
          <w:spacing w:val="4"/>
          <w:kern w:val="0"/>
          <w:szCs w:val="24"/>
        </w:rPr>
        <w:t>甲烷、三甲苯、乙酸</w:t>
      </w:r>
      <w:r>
        <w:rPr>
          <w:rFonts w:cs="Times New Roman"/>
          <w:spacing w:val="2"/>
          <w:kern w:val="0"/>
          <w:szCs w:val="24"/>
        </w:rPr>
        <w:t>乙</w:t>
      </w:r>
      <w:r>
        <w:rPr>
          <w:rFonts w:cs="Times New Roman"/>
          <w:spacing w:val="4"/>
          <w:kern w:val="0"/>
          <w:szCs w:val="24"/>
        </w:rPr>
        <w:t>酯、丙烯酸酯类中之</w:t>
      </w:r>
      <w:r>
        <w:rPr>
          <w:rFonts w:cs="Times New Roman"/>
          <w:spacing w:val="2"/>
          <w:kern w:val="0"/>
          <w:szCs w:val="24"/>
        </w:rPr>
        <w:t>一</w:t>
      </w:r>
      <w:r>
        <w:rPr>
          <w:rFonts w:cs="Times New Roman"/>
          <w:spacing w:val="4"/>
          <w:kern w:val="0"/>
          <w:szCs w:val="24"/>
        </w:rPr>
        <w:t>的储</w:t>
      </w:r>
      <w:r>
        <w:rPr>
          <w:rFonts w:cs="Times New Roman"/>
          <w:spacing w:val="2"/>
          <w:kern w:val="0"/>
          <w:szCs w:val="24"/>
        </w:rPr>
        <w:t>罐</w:t>
      </w:r>
      <w:r>
        <w:rPr>
          <w:rFonts w:cs="Times New Roman"/>
          <w:kern w:val="0"/>
          <w:szCs w:val="24"/>
        </w:rPr>
        <w:t>的管制范围等</w:t>
      </w:r>
      <w:r>
        <w:rPr>
          <w:rFonts w:cs="Times New Roman"/>
          <w:spacing w:val="-1"/>
          <w:kern w:val="0"/>
          <w:szCs w:val="24"/>
        </w:rPr>
        <w:t>。</w:t>
      </w:r>
      <w:r>
        <w:rPr>
          <w:rFonts w:eastAsia="Times New Roman" w:cs="Times New Roman"/>
          <w:kern w:val="0"/>
          <w:szCs w:val="24"/>
        </w:rPr>
        <w:t>2012</w:t>
      </w:r>
      <w:r>
        <w:rPr>
          <w:rFonts w:cs="Times New Roman"/>
          <w:kern w:val="0"/>
          <w:szCs w:val="24"/>
        </w:rPr>
        <w:t>年进行调整后，进一步加严了要求。</w:t>
      </w:r>
    </w:p>
    <w:p>
      <w:pPr>
        <w:pStyle w:val="68"/>
        <w:ind w:firstLine="476"/>
        <w:rPr>
          <w:rFonts w:cs="Times New Roman"/>
          <w:kern w:val="0"/>
          <w:szCs w:val="24"/>
        </w:rPr>
      </w:pPr>
      <w:r>
        <w:rPr>
          <w:rFonts w:cs="Times New Roman"/>
          <w:spacing w:val="-1"/>
          <w:kern w:val="0"/>
          <w:szCs w:val="24"/>
        </w:rPr>
        <w:t>（</w:t>
      </w:r>
      <w:r>
        <w:rPr>
          <w:rFonts w:eastAsia="Times New Roman" w:cs="Times New Roman"/>
          <w:kern w:val="0"/>
          <w:szCs w:val="24"/>
        </w:rPr>
        <w:t>3</w:t>
      </w:r>
      <w:r>
        <w:rPr>
          <w:rFonts w:cs="Times New Roman"/>
          <w:kern w:val="0"/>
          <w:szCs w:val="24"/>
        </w:rPr>
        <w:t>）地区行业</w:t>
      </w:r>
      <w:r>
        <w:rPr>
          <w:rFonts w:cs="Times New Roman"/>
          <w:spacing w:val="-60"/>
          <w:kern w:val="0"/>
          <w:szCs w:val="24"/>
        </w:rPr>
        <w:t xml:space="preserve"> </w:t>
      </w:r>
      <w:r>
        <w:rPr>
          <w:rFonts w:eastAsia="Times New Roman" w:cs="Times New Roman"/>
          <w:kern w:val="0"/>
          <w:szCs w:val="24"/>
        </w:rPr>
        <w:t>V</w:t>
      </w:r>
      <w:r>
        <w:rPr>
          <w:rFonts w:eastAsia="Times New Roman" w:cs="Times New Roman"/>
          <w:spacing w:val="-1"/>
          <w:kern w:val="0"/>
          <w:szCs w:val="24"/>
        </w:rPr>
        <w:t>O</w:t>
      </w:r>
      <w:r>
        <w:rPr>
          <w:rFonts w:eastAsia="Times New Roman" w:cs="Times New Roman"/>
          <w:kern w:val="0"/>
          <w:szCs w:val="24"/>
        </w:rPr>
        <w:t>Cs</w:t>
      </w:r>
      <w:r>
        <w:rPr>
          <w:rFonts w:eastAsia="Times New Roman" w:cs="Times New Roman"/>
          <w:spacing w:val="-12"/>
          <w:kern w:val="0"/>
          <w:szCs w:val="24"/>
        </w:rPr>
        <w:t xml:space="preserve"> </w:t>
      </w:r>
      <w:r>
        <w:rPr>
          <w:rFonts w:cs="Times New Roman"/>
          <w:kern w:val="0"/>
          <w:szCs w:val="24"/>
        </w:rPr>
        <w:t>控制标准</w:t>
      </w:r>
    </w:p>
    <w:p>
      <w:pPr>
        <w:pStyle w:val="68"/>
        <w:rPr>
          <w:rFonts w:cs="Times New Roman"/>
          <w:kern w:val="0"/>
          <w:szCs w:val="24"/>
        </w:rPr>
      </w:pPr>
      <w:r>
        <w:rPr>
          <w:rFonts w:cs="Times New Roman"/>
          <w:kern w:val="0"/>
          <w:szCs w:val="24"/>
        </w:rPr>
        <w:t>台湾地区于</w:t>
      </w:r>
      <w:r>
        <w:rPr>
          <w:rFonts w:eastAsia="Times New Roman" w:cs="Times New Roman"/>
          <w:kern w:val="0"/>
          <w:szCs w:val="24"/>
        </w:rPr>
        <w:t>2007</w:t>
      </w:r>
      <w:r>
        <w:rPr>
          <w:rFonts w:cs="Times New Roman"/>
          <w:kern w:val="0"/>
          <w:szCs w:val="24"/>
        </w:rPr>
        <w:t>年颁布了《光电材</w:t>
      </w:r>
      <w:r>
        <w:rPr>
          <w:rFonts w:cs="Times New Roman"/>
          <w:spacing w:val="2"/>
          <w:kern w:val="0"/>
          <w:szCs w:val="24"/>
        </w:rPr>
        <w:t>料</w:t>
      </w:r>
      <w:r>
        <w:rPr>
          <w:rFonts w:cs="Times New Roman"/>
          <w:kern w:val="0"/>
          <w:szCs w:val="24"/>
        </w:rPr>
        <w:t>及元件制造业空气污染管制及排放标</w:t>
      </w:r>
      <w:r>
        <w:rPr>
          <w:rFonts w:cs="Times New Roman"/>
          <w:spacing w:val="-99"/>
          <w:kern w:val="0"/>
          <w:szCs w:val="24"/>
        </w:rPr>
        <w:t xml:space="preserve"> </w:t>
      </w:r>
      <w:r>
        <w:rPr>
          <w:rFonts w:cs="Times New Roman"/>
          <w:kern w:val="0"/>
          <w:szCs w:val="24"/>
        </w:rPr>
        <w:t>准</w:t>
      </w:r>
      <w:r>
        <w:rPr>
          <w:rFonts w:cs="Times New Roman"/>
          <w:spacing w:val="-99"/>
          <w:kern w:val="0"/>
          <w:szCs w:val="24"/>
        </w:rPr>
        <w:t xml:space="preserve"> </w:t>
      </w:r>
      <w:r>
        <w:rPr>
          <w:rFonts w:cs="Times New Roman"/>
          <w:kern w:val="0"/>
          <w:szCs w:val="24"/>
        </w:rPr>
        <w:t>》</w:t>
      </w:r>
      <w:r>
        <w:rPr>
          <w:rFonts w:hint="eastAsia" w:cs="Times New Roman"/>
          <w:kern w:val="0"/>
          <w:szCs w:val="24"/>
        </w:rPr>
        <w:t>，</w:t>
      </w:r>
      <w:r>
        <w:rPr>
          <w:rFonts w:cs="Times New Roman"/>
          <w:kern w:val="0"/>
          <w:szCs w:val="24"/>
        </w:rPr>
        <w:t>规</w:t>
      </w:r>
      <w:r>
        <w:rPr>
          <w:rFonts w:cs="Times New Roman"/>
          <w:spacing w:val="-99"/>
          <w:kern w:val="0"/>
          <w:szCs w:val="24"/>
        </w:rPr>
        <w:t xml:space="preserve"> </w:t>
      </w:r>
      <w:r>
        <w:rPr>
          <w:rFonts w:cs="Times New Roman"/>
          <w:spacing w:val="18"/>
          <w:kern w:val="0"/>
          <w:szCs w:val="24"/>
        </w:rPr>
        <w:t>定</w:t>
      </w:r>
      <w:r>
        <w:rPr>
          <w:rFonts w:cs="Times New Roman"/>
          <w:kern w:val="0"/>
          <w:szCs w:val="24"/>
        </w:rPr>
        <w:t>了</w:t>
      </w:r>
      <w:r>
        <w:rPr>
          <w:rFonts w:hint="eastAsia" w:cs="Times New Roman"/>
          <w:kern w:val="0"/>
          <w:szCs w:val="24"/>
        </w:rPr>
        <w:t>VOC</w:t>
      </w:r>
      <w:r>
        <w:rPr>
          <w:rFonts w:cs="Times New Roman"/>
          <w:kern w:val="0"/>
          <w:szCs w:val="24"/>
        </w:rPr>
        <w:t>s</w:t>
      </w:r>
      <w:r>
        <w:rPr>
          <w:rFonts w:cs="Times New Roman"/>
          <w:spacing w:val="-99"/>
          <w:kern w:val="0"/>
          <w:szCs w:val="24"/>
        </w:rPr>
        <w:t xml:space="preserve"> </w:t>
      </w:r>
      <w:r>
        <w:rPr>
          <w:rFonts w:cs="Times New Roman"/>
          <w:kern w:val="0"/>
          <w:szCs w:val="24"/>
        </w:rPr>
        <w:t>如</w:t>
      </w:r>
      <w:r>
        <w:rPr>
          <w:rFonts w:cs="Times New Roman"/>
          <w:spacing w:val="-99"/>
          <w:kern w:val="0"/>
          <w:szCs w:val="24"/>
        </w:rPr>
        <w:t xml:space="preserve"> </w:t>
      </w:r>
      <w:r>
        <w:rPr>
          <w:rFonts w:cs="Times New Roman"/>
          <w:spacing w:val="18"/>
          <w:kern w:val="0"/>
          <w:szCs w:val="24"/>
        </w:rPr>
        <w:t>果</w:t>
      </w:r>
      <w:r>
        <w:rPr>
          <w:rFonts w:cs="Times New Roman"/>
          <w:kern w:val="0"/>
          <w:szCs w:val="24"/>
        </w:rPr>
        <w:t>达</w:t>
      </w:r>
      <w:r>
        <w:rPr>
          <w:rFonts w:cs="Times New Roman"/>
          <w:spacing w:val="-99"/>
          <w:kern w:val="0"/>
          <w:szCs w:val="24"/>
        </w:rPr>
        <w:t xml:space="preserve"> </w:t>
      </w:r>
      <w:r>
        <w:rPr>
          <w:rFonts w:cs="Times New Roman"/>
          <w:kern w:val="0"/>
          <w:szCs w:val="24"/>
        </w:rPr>
        <w:t>到</w:t>
      </w:r>
      <w:r>
        <w:rPr>
          <w:rFonts w:eastAsia="Times New Roman" w:cs="Times New Roman"/>
          <w:kern w:val="0"/>
          <w:szCs w:val="24"/>
        </w:rPr>
        <w:t>0</w:t>
      </w:r>
      <w:r>
        <w:rPr>
          <w:rFonts w:eastAsia="Times New Roman" w:cs="Times New Roman"/>
          <w:spacing w:val="-3"/>
          <w:kern w:val="0"/>
          <w:szCs w:val="24"/>
        </w:rPr>
        <w:t>.</w:t>
      </w:r>
      <w:r>
        <w:rPr>
          <w:rFonts w:eastAsia="Times New Roman" w:cs="Times New Roman"/>
          <w:kern w:val="0"/>
          <w:szCs w:val="24"/>
        </w:rPr>
        <w:t>4 K</w:t>
      </w:r>
      <w:r>
        <w:rPr>
          <w:rFonts w:eastAsia="Times New Roman" w:cs="Times New Roman"/>
          <w:spacing w:val="-3"/>
          <w:kern w:val="0"/>
          <w:szCs w:val="24"/>
        </w:rPr>
        <w:t>g</w:t>
      </w:r>
      <w:r>
        <w:rPr>
          <w:rFonts w:eastAsia="Times New Roman" w:cs="Times New Roman"/>
          <w:kern w:val="0"/>
          <w:szCs w:val="24"/>
        </w:rPr>
        <w:t>/h</w:t>
      </w:r>
      <w:r>
        <w:rPr>
          <w:rFonts w:cs="Times New Roman"/>
          <w:spacing w:val="21"/>
          <w:kern w:val="0"/>
          <w:szCs w:val="24"/>
        </w:rPr>
        <w:t>以上，处理效率需要达</w:t>
      </w:r>
      <w:r>
        <w:rPr>
          <w:rFonts w:cs="Times New Roman"/>
          <w:kern w:val="0"/>
          <w:szCs w:val="24"/>
        </w:rPr>
        <w:t>到</w:t>
      </w:r>
      <w:r>
        <w:rPr>
          <w:rFonts w:cs="Times New Roman"/>
          <w:spacing w:val="-99"/>
          <w:kern w:val="0"/>
          <w:szCs w:val="24"/>
        </w:rPr>
        <w:t xml:space="preserve"> </w:t>
      </w:r>
      <w:r>
        <w:rPr>
          <w:rFonts w:eastAsia="Times New Roman" w:cs="Times New Roman"/>
          <w:kern w:val="0"/>
          <w:szCs w:val="24"/>
        </w:rPr>
        <w:t>85</w:t>
      </w:r>
      <w:r>
        <w:rPr>
          <w:rFonts w:eastAsia="Times New Roman" w:cs="Times New Roman"/>
          <w:spacing w:val="-1"/>
          <w:kern w:val="0"/>
          <w:szCs w:val="24"/>
        </w:rPr>
        <w:t>%</w:t>
      </w:r>
      <w:r>
        <w:rPr>
          <w:rFonts w:cs="Times New Roman"/>
          <w:kern w:val="0"/>
          <w:szCs w:val="24"/>
        </w:rPr>
        <w:t>。</w:t>
      </w:r>
    </w:p>
    <w:p>
      <w:pPr>
        <w:pStyle w:val="68"/>
        <w:rPr>
          <w:rFonts w:cs="Times New Roman"/>
          <w:kern w:val="0"/>
          <w:szCs w:val="24"/>
        </w:rPr>
      </w:pPr>
      <w:r>
        <w:rPr>
          <w:rFonts w:eastAsia="Times New Roman" w:cs="Times New Roman"/>
          <w:kern w:val="0"/>
          <w:szCs w:val="24"/>
        </w:rPr>
        <w:t>2009</w:t>
      </w:r>
      <w:r>
        <w:rPr>
          <w:rFonts w:cs="Times New Roman"/>
          <w:spacing w:val="2"/>
          <w:kern w:val="0"/>
          <w:szCs w:val="24"/>
        </w:rPr>
        <w:t>年颁布</w:t>
      </w:r>
      <w:r>
        <w:rPr>
          <w:rFonts w:cs="Times New Roman"/>
          <w:kern w:val="0"/>
          <w:szCs w:val="24"/>
        </w:rPr>
        <w:t>了</w:t>
      </w:r>
      <w:r>
        <w:rPr>
          <w:rFonts w:cs="Times New Roman"/>
          <w:spacing w:val="2"/>
          <w:kern w:val="0"/>
          <w:szCs w:val="24"/>
        </w:rPr>
        <w:t>《胶带制</w:t>
      </w:r>
      <w:r>
        <w:rPr>
          <w:rFonts w:cs="Times New Roman"/>
          <w:kern w:val="0"/>
          <w:szCs w:val="24"/>
        </w:rPr>
        <w:t>造</w:t>
      </w:r>
      <w:r>
        <w:rPr>
          <w:rFonts w:cs="Times New Roman"/>
          <w:spacing w:val="2"/>
          <w:kern w:val="0"/>
          <w:szCs w:val="24"/>
        </w:rPr>
        <w:t>业挥发</w:t>
      </w:r>
      <w:r>
        <w:rPr>
          <w:rFonts w:cs="Times New Roman"/>
          <w:kern w:val="0"/>
          <w:szCs w:val="24"/>
        </w:rPr>
        <w:t>性有</w:t>
      </w:r>
      <w:r>
        <w:rPr>
          <w:rFonts w:cs="Times New Roman"/>
          <w:spacing w:val="2"/>
          <w:kern w:val="0"/>
          <w:szCs w:val="24"/>
        </w:rPr>
        <w:t>机物空气</w:t>
      </w:r>
      <w:r>
        <w:rPr>
          <w:rFonts w:cs="Times New Roman"/>
          <w:kern w:val="0"/>
          <w:szCs w:val="24"/>
        </w:rPr>
        <w:t>污</w:t>
      </w:r>
      <w:r>
        <w:rPr>
          <w:rFonts w:cs="Times New Roman"/>
          <w:spacing w:val="2"/>
          <w:kern w:val="0"/>
          <w:szCs w:val="24"/>
        </w:rPr>
        <w:t>染管制</w:t>
      </w:r>
      <w:r>
        <w:rPr>
          <w:rFonts w:cs="Times New Roman"/>
          <w:kern w:val="0"/>
          <w:szCs w:val="24"/>
        </w:rPr>
        <w:t>及排</w:t>
      </w:r>
      <w:r>
        <w:rPr>
          <w:rFonts w:cs="Times New Roman"/>
          <w:spacing w:val="2"/>
          <w:kern w:val="0"/>
          <w:szCs w:val="24"/>
        </w:rPr>
        <w:t>放标准》</w:t>
      </w:r>
      <w:r>
        <w:rPr>
          <w:rFonts w:cs="Times New Roman"/>
          <w:kern w:val="0"/>
          <w:szCs w:val="24"/>
        </w:rPr>
        <w:t>，</w:t>
      </w:r>
      <w:r>
        <w:rPr>
          <w:rFonts w:eastAsia="Times New Roman" w:cs="Times New Roman"/>
          <w:kern w:val="0"/>
          <w:szCs w:val="24"/>
        </w:rPr>
        <w:t>2011</w:t>
      </w:r>
      <w:r>
        <w:rPr>
          <w:rFonts w:cs="Times New Roman"/>
          <w:spacing w:val="9"/>
          <w:kern w:val="0"/>
          <w:szCs w:val="24"/>
        </w:rPr>
        <w:t>年</w:t>
      </w:r>
      <w:r>
        <w:rPr>
          <w:rFonts w:cs="Times New Roman"/>
          <w:spacing w:val="11"/>
          <w:kern w:val="0"/>
          <w:szCs w:val="24"/>
        </w:rPr>
        <w:t>进</w:t>
      </w:r>
      <w:r>
        <w:rPr>
          <w:rFonts w:cs="Times New Roman"/>
          <w:spacing w:val="9"/>
          <w:kern w:val="0"/>
          <w:szCs w:val="24"/>
        </w:rPr>
        <w:t>行了</w:t>
      </w:r>
      <w:r>
        <w:rPr>
          <w:rFonts w:cs="Times New Roman"/>
          <w:spacing w:val="11"/>
          <w:kern w:val="0"/>
          <w:szCs w:val="24"/>
        </w:rPr>
        <w:t>修</w:t>
      </w:r>
      <w:r>
        <w:rPr>
          <w:rFonts w:cs="Times New Roman"/>
          <w:spacing w:val="9"/>
          <w:kern w:val="0"/>
          <w:szCs w:val="24"/>
        </w:rPr>
        <w:t>订</w:t>
      </w:r>
      <w:r>
        <w:rPr>
          <w:rFonts w:cs="Times New Roman"/>
          <w:spacing w:val="11"/>
          <w:kern w:val="0"/>
          <w:szCs w:val="24"/>
        </w:rPr>
        <w:t>，</w:t>
      </w:r>
      <w:r>
        <w:rPr>
          <w:rFonts w:cs="Times New Roman"/>
          <w:spacing w:val="9"/>
          <w:kern w:val="0"/>
          <w:szCs w:val="24"/>
        </w:rPr>
        <w:t>规定了</w:t>
      </w:r>
      <w:r>
        <w:rPr>
          <w:rFonts w:cs="Times New Roman"/>
          <w:spacing w:val="11"/>
          <w:kern w:val="0"/>
          <w:szCs w:val="24"/>
        </w:rPr>
        <w:t>含</w:t>
      </w:r>
      <w:r>
        <w:rPr>
          <w:rFonts w:cs="Times New Roman"/>
          <w:spacing w:val="9"/>
          <w:kern w:val="0"/>
          <w:szCs w:val="24"/>
        </w:rPr>
        <w:t>挥</w:t>
      </w:r>
      <w:r>
        <w:rPr>
          <w:rFonts w:cs="Times New Roman"/>
          <w:spacing w:val="11"/>
          <w:kern w:val="0"/>
          <w:szCs w:val="24"/>
        </w:rPr>
        <w:t>发</w:t>
      </w:r>
      <w:r>
        <w:rPr>
          <w:rFonts w:cs="Times New Roman"/>
          <w:spacing w:val="9"/>
          <w:kern w:val="0"/>
          <w:szCs w:val="24"/>
        </w:rPr>
        <w:t>性有</w:t>
      </w:r>
      <w:r>
        <w:rPr>
          <w:rFonts w:cs="Times New Roman"/>
          <w:spacing w:val="11"/>
          <w:kern w:val="0"/>
          <w:szCs w:val="24"/>
        </w:rPr>
        <w:t>机</w:t>
      </w:r>
      <w:r>
        <w:rPr>
          <w:rFonts w:cs="Times New Roman"/>
          <w:spacing w:val="9"/>
          <w:kern w:val="0"/>
          <w:szCs w:val="24"/>
        </w:rPr>
        <w:t>原料</w:t>
      </w:r>
      <w:r>
        <w:rPr>
          <w:rFonts w:cs="Times New Roman"/>
          <w:spacing w:val="11"/>
          <w:kern w:val="0"/>
          <w:szCs w:val="24"/>
        </w:rPr>
        <w:t>年</w:t>
      </w:r>
      <w:r>
        <w:rPr>
          <w:rFonts w:cs="Times New Roman"/>
          <w:spacing w:val="9"/>
          <w:kern w:val="0"/>
          <w:szCs w:val="24"/>
        </w:rPr>
        <w:t>许</w:t>
      </w:r>
      <w:r>
        <w:rPr>
          <w:rFonts w:cs="Times New Roman"/>
          <w:spacing w:val="11"/>
          <w:kern w:val="0"/>
          <w:szCs w:val="24"/>
        </w:rPr>
        <w:t>可</w:t>
      </w:r>
      <w:r>
        <w:rPr>
          <w:rFonts w:cs="Times New Roman"/>
          <w:spacing w:val="9"/>
          <w:kern w:val="0"/>
          <w:szCs w:val="24"/>
        </w:rPr>
        <w:t>用</w:t>
      </w:r>
      <w:r>
        <w:rPr>
          <w:rFonts w:cs="Times New Roman"/>
          <w:kern w:val="0"/>
          <w:szCs w:val="24"/>
        </w:rPr>
        <w:t>量</w:t>
      </w:r>
      <w:r>
        <w:rPr>
          <w:rFonts w:eastAsia="Times New Roman" w:cs="Times New Roman"/>
          <w:spacing w:val="2"/>
          <w:kern w:val="0"/>
          <w:szCs w:val="24"/>
        </w:rPr>
        <w:t>5</w:t>
      </w:r>
      <w:r>
        <w:rPr>
          <w:rFonts w:eastAsia="Times New Roman" w:cs="Times New Roman"/>
          <w:kern w:val="0"/>
          <w:szCs w:val="24"/>
        </w:rPr>
        <w:t>0</w:t>
      </w:r>
      <w:r>
        <w:rPr>
          <w:rFonts w:cs="Times New Roman"/>
          <w:spacing w:val="9"/>
          <w:kern w:val="0"/>
          <w:szCs w:val="24"/>
        </w:rPr>
        <w:t>吨</w:t>
      </w:r>
      <w:r>
        <w:rPr>
          <w:rFonts w:cs="Times New Roman"/>
          <w:spacing w:val="11"/>
          <w:kern w:val="0"/>
          <w:szCs w:val="24"/>
        </w:rPr>
        <w:t>以</w:t>
      </w:r>
      <w:r>
        <w:rPr>
          <w:rFonts w:cs="Times New Roman"/>
          <w:spacing w:val="9"/>
          <w:kern w:val="0"/>
          <w:szCs w:val="24"/>
        </w:rPr>
        <w:t>上时</w:t>
      </w:r>
      <w:r>
        <w:rPr>
          <w:rFonts w:cs="Times New Roman"/>
          <w:kern w:val="0"/>
          <w:szCs w:val="24"/>
        </w:rPr>
        <w:t>，</w:t>
      </w:r>
      <w:r>
        <w:rPr>
          <w:rFonts w:eastAsia="Times New Roman" w:cs="Times New Roman"/>
          <w:spacing w:val="-1"/>
          <w:kern w:val="0"/>
          <w:szCs w:val="24"/>
        </w:rPr>
        <w:t>VO</w:t>
      </w:r>
      <w:r>
        <w:rPr>
          <w:rFonts w:eastAsia="Times New Roman" w:cs="Times New Roman"/>
          <w:kern w:val="0"/>
          <w:szCs w:val="24"/>
        </w:rPr>
        <w:t>Cs</w:t>
      </w:r>
      <w:r>
        <w:rPr>
          <w:rFonts w:cs="Times New Roman"/>
          <w:kern w:val="0"/>
          <w:szCs w:val="24"/>
        </w:rPr>
        <w:t>处理效率达到</w:t>
      </w:r>
      <w:r>
        <w:rPr>
          <w:rFonts w:cs="Times New Roman"/>
          <w:spacing w:val="-60"/>
          <w:kern w:val="0"/>
          <w:szCs w:val="24"/>
        </w:rPr>
        <w:t xml:space="preserve"> </w:t>
      </w:r>
      <w:r>
        <w:rPr>
          <w:rFonts w:eastAsia="Times New Roman" w:cs="Times New Roman"/>
          <w:kern w:val="0"/>
          <w:szCs w:val="24"/>
        </w:rPr>
        <w:t>92</w:t>
      </w:r>
      <w:r>
        <w:rPr>
          <w:rFonts w:eastAsia="Times New Roman" w:cs="Times New Roman"/>
          <w:spacing w:val="-1"/>
          <w:kern w:val="0"/>
          <w:szCs w:val="24"/>
        </w:rPr>
        <w:t>%</w:t>
      </w:r>
      <w:r>
        <w:rPr>
          <w:rFonts w:cs="Times New Roman"/>
          <w:kern w:val="0"/>
          <w:szCs w:val="24"/>
        </w:rPr>
        <w:t>以上或者排放速率小于</w:t>
      </w:r>
      <w:r>
        <w:rPr>
          <w:rFonts w:cs="Times New Roman"/>
          <w:spacing w:val="-60"/>
          <w:kern w:val="0"/>
          <w:szCs w:val="24"/>
        </w:rPr>
        <w:t xml:space="preserve"> </w:t>
      </w:r>
      <w:r>
        <w:rPr>
          <w:rFonts w:eastAsia="Times New Roman" w:cs="Times New Roman"/>
          <w:kern w:val="0"/>
          <w:szCs w:val="24"/>
        </w:rPr>
        <w:t>3.8 K</w:t>
      </w:r>
      <w:r>
        <w:rPr>
          <w:rFonts w:eastAsia="Times New Roman" w:cs="Times New Roman"/>
          <w:spacing w:val="-3"/>
          <w:kern w:val="0"/>
          <w:szCs w:val="24"/>
        </w:rPr>
        <w:t>g</w:t>
      </w:r>
      <w:r>
        <w:rPr>
          <w:rFonts w:eastAsia="Times New Roman" w:cs="Times New Roman"/>
          <w:kern w:val="0"/>
          <w:szCs w:val="24"/>
        </w:rPr>
        <w:t>/h</w:t>
      </w:r>
      <w:r>
        <w:rPr>
          <w:rFonts w:cs="Times New Roman"/>
          <w:kern w:val="0"/>
          <w:szCs w:val="24"/>
        </w:rPr>
        <w:t>。</w:t>
      </w:r>
    </w:p>
    <w:p>
      <w:pPr>
        <w:pStyle w:val="68"/>
        <w:rPr>
          <w:rFonts w:cs="Times New Roman"/>
          <w:kern w:val="0"/>
          <w:szCs w:val="24"/>
        </w:rPr>
      </w:pPr>
      <w:r>
        <w:rPr>
          <w:rFonts w:eastAsia="Times New Roman" w:cs="Times New Roman"/>
          <w:kern w:val="0"/>
          <w:szCs w:val="24"/>
        </w:rPr>
        <w:t>1998</w:t>
      </w:r>
      <w:r>
        <w:rPr>
          <w:rFonts w:cs="Times New Roman"/>
          <w:spacing w:val="4"/>
          <w:kern w:val="0"/>
          <w:szCs w:val="24"/>
        </w:rPr>
        <w:t>年</w:t>
      </w:r>
      <w:r>
        <w:rPr>
          <w:rFonts w:cs="Times New Roman"/>
          <w:spacing w:val="2"/>
          <w:kern w:val="0"/>
          <w:szCs w:val="24"/>
        </w:rPr>
        <w:t>颁</w:t>
      </w:r>
      <w:r>
        <w:rPr>
          <w:rFonts w:cs="Times New Roman"/>
          <w:spacing w:val="4"/>
          <w:kern w:val="0"/>
          <w:szCs w:val="24"/>
        </w:rPr>
        <w:t>布了</w:t>
      </w:r>
      <w:r>
        <w:rPr>
          <w:rFonts w:cs="Times New Roman"/>
          <w:spacing w:val="2"/>
          <w:kern w:val="0"/>
          <w:szCs w:val="24"/>
        </w:rPr>
        <w:t>《</w:t>
      </w:r>
      <w:r>
        <w:rPr>
          <w:rFonts w:cs="Times New Roman"/>
          <w:spacing w:val="4"/>
          <w:kern w:val="0"/>
          <w:szCs w:val="24"/>
        </w:rPr>
        <w:t>聚氨</w:t>
      </w:r>
      <w:r>
        <w:rPr>
          <w:rFonts w:cs="Times New Roman"/>
          <w:spacing w:val="2"/>
          <w:kern w:val="0"/>
          <w:szCs w:val="24"/>
        </w:rPr>
        <w:t>酯</w:t>
      </w:r>
      <w:r>
        <w:rPr>
          <w:rFonts w:cs="Times New Roman"/>
          <w:spacing w:val="4"/>
          <w:kern w:val="0"/>
          <w:szCs w:val="24"/>
        </w:rPr>
        <w:t>甲酸</w:t>
      </w:r>
      <w:r>
        <w:rPr>
          <w:rFonts w:cs="Times New Roman"/>
          <w:spacing w:val="2"/>
          <w:kern w:val="0"/>
          <w:szCs w:val="24"/>
        </w:rPr>
        <w:t>酯</w:t>
      </w:r>
      <w:r>
        <w:rPr>
          <w:rFonts w:cs="Times New Roman"/>
          <w:spacing w:val="4"/>
          <w:kern w:val="0"/>
          <w:szCs w:val="24"/>
        </w:rPr>
        <w:t>合</w:t>
      </w:r>
      <w:r>
        <w:rPr>
          <w:rFonts w:cs="Times New Roman"/>
          <w:spacing w:val="2"/>
          <w:kern w:val="0"/>
          <w:szCs w:val="24"/>
        </w:rPr>
        <w:t>成</w:t>
      </w:r>
      <w:r>
        <w:rPr>
          <w:rFonts w:cs="Times New Roman"/>
          <w:spacing w:val="4"/>
          <w:kern w:val="0"/>
          <w:szCs w:val="24"/>
        </w:rPr>
        <w:t>皮</w:t>
      </w:r>
      <w:r>
        <w:rPr>
          <w:rFonts w:cs="Times New Roman"/>
          <w:spacing w:val="2"/>
          <w:kern w:val="0"/>
          <w:szCs w:val="24"/>
        </w:rPr>
        <w:t>业</w:t>
      </w:r>
      <w:r>
        <w:rPr>
          <w:rFonts w:cs="Times New Roman"/>
          <w:spacing w:val="4"/>
          <w:kern w:val="0"/>
          <w:szCs w:val="24"/>
        </w:rPr>
        <w:t>挥发</w:t>
      </w:r>
      <w:r>
        <w:rPr>
          <w:rFonts w:cs="Times New Roman"/>
          <w:spacing w:val="2"/>
          <w:kern w:val="0"/>
          <w:szCs w:val="24"/>
        </w:rPr>
        <w:t>性</w:t>
      </w:r>
      <w:r>
        <w:rPr>
          <w:rFonts w:cs="Times New Roman"/>
          <w:spacing w:val="4"/>
          <w:kern w:val="0"/>
          <w:szCs w:val="24"/>
        </w:rPr>
        <w:t>有机</w:t>
      </w:r>
      <w:r>
        <w:rPr>
          <w:rFonts w:cs="Times New Roman"/>
          <w:spacing w:val="2"/>
          <w:kern w:val="0"/>
          <w:szCs w:val="24"/>
        </w:rPr>
        <w:t>物</w:t>
      </w:r>
      <w:r>
        <w:rPr>
          <w:rFonts w:cs="Times New Roman"/>
          <w:spacing w:val="4"/>
          <w:kern w:val="0"/>
          <w:szCs w:val="24"/>
        </w:rPr>
        <w:t>空</w:t>
      </w:r>
      <w:r>
        <w:rPr>
          <w:rFonts w:cs="Times New Roman"/>
          <w:spacing w:val="2"/>
          <w:kern w:val="0"/>
          <w:szCs w:val="24"/>
        </w:rPr>
        <w:t>气</w:t>
      </w:r>
      <w:r>
        <w:rPr>
          <w:rFonts w:cs="Times New Roman"/>
          <w:spacing w:val="4"/>
          <w:kern w:val="0"/>
          <w:szCs w:val="24"/>
        </w:rPr>
        <w:t>污</w:t>
      </w:r>
      <w:r>
        <w:rPr>
          <w:rFonts w:cs="Times New Roman"/>
          <w:spacing w:val="2"/>
          <w:kern w:val="0"/>
          <w:szCs w:val="24"/>
        </w:rPr>
        <w:t>染</w:t>
      </w:r>
      <w:r>
        <w:rPr>
          <w:rFonts w:cs="Times New Roman"/>
          <w:spacing w:val="12"/>
          <w:kern w:val="0"/>
          <w:szCs w:val="24"/>
        </w:rPr>
        <w:t>管</w:t>
      </w:r>
      <w:r>
        <w:rPr>
          <w:rFonts w:cs="Times New Roman"/>
          <w:spacing w:val="4"/>
          <w:kern w:val="0"/>
          <w:szCs w:val="24"/>
        </w:rPr>
        <w:t>制及排</w:t>
      </w:r>
      <w:r>
        <w:rPr>
          <w:rFonts w:cs="Times New Roman"/>
          <w:kern w:val="0"/>
          <w:szCs w:val="24"/>
        </w:rPr>
        <w:t>放标准》，并于</w:t>
      </w:r>
      <w:r>
        <w:rPr>
          <w:rFonts w:cs="Times New Roman"/>
          <w:spacing w:val="-51"/>
          <w:kern w:val="0"/>
          <w:szCs w:val="24"/>
        </w:rPr>
        <w:t xml:space="preserve"> </w:t>
      </w:r>
      <w:r>
        <w:rPr>
          <w:rFonts w:eastAsia="Times New Roman" w:cs="Times New Roman"/>
          <w:kern w:val="0"/>
          <w:szCs w:val="24"/>
        </w:rPr>
        <w:t>2004</w:t>
      </w:r>
      <w:r>
        <w:rPr>
          <w:rFonts w:cs="Times New Roman"/>
          <w:kern w:val="0"/>
          <w:szCs w:val="24"/>
        </w:rPr>
        <w:t>年进行了修订。二甲基甲酰胺处理效率在</w:t>
      </w:r>
      <w:r>
        <w:rPr>
          <w:rFonts w:cs="Times New Roman"/>
          <w:spacing w:val="-51"/>
          <w:kern w:val="0"/>
          <w:szCs w:val="24"/>
        </w:rPr>
        <w:t xml:space="preserve"> </w:t>
      </w:r>
      <w:r>
        <w:rPr>
          <w:rFonts w:eastAsia="Times New Roman" w:cs="Times New Roman"/>
          <w:kern w:val="0"/>
          <w:szCs w:val="24"/>
        </w:rPr>
        <w:t>90</w:t>
      </w:r>
      <w:r>
        <w:rPr>
          <w:rFonts w:eastAsia="Times New Roman" w:cs="Times New Roman"/>
          <w:spacing w:val="1"/>
          <w:kern w:val="0"/>
          <w:szCs w:val="24"/>
        </w:rPr>
        <w:t>%</w:t>
      </w:r>
      <w:r>
        <w:rPr>
          <w:rFonts w:cs="Times New Roman"/>
          <w:kern w:val="0"/>
          <w:szCs w:val="24"/>
        </w:rPr>
        <w:t>以上或者浓度在</w:t>
      </w:r>
      <w:r>
        <w:rPr>
          <w:rFonts w:cs="Times New Roman"/>
          <w:spacing w:val="-61"/>
          <w:kern w:val="0"/>
          <w:szCs w:val="24"/>
        </w:rPr>
        <w:t xml:space="preserve"> </w:t>
      </w:r>
      <w:r>
        <w:rPr>
          <w:rFonts w:eastAsia="Times New Roman" w:cs="Times New Roman"/>
          <w:kern w:val="0"/>
          <w:szCs w:val="24"/>
        </w:rPr>
        <w:t>20 ppm</w:t>
      </w:r>
      <w:r>
        <w:rPr>
          <w:rFonts w:cs="Times New Roman"/>
          <w:kern w:val="0"/>
          <w:szCs w:val="24"/>
        </w:rPr>
        <w:t>以下；并规定了挥发性有机物的全场总量符合</w:t>
      </w:r>
      <w:r>
        <w:rPr>
          <w:rFonts w:cs="Times New Roman"/>
          <w:spacing w:val="-59"/>
          <w:kern w:val="0"/>
          <w:szCs w:val="24"/>
        </w:rPr>
        <w:t xml:space="preserve"> </w:t>
      </w:r>
      <w:r>
        <w:rPr>
          <w:rFonts w:eastAsia="Times New Roman" w:cs="Times New Roman"/>
          <w:kern w:val="0"/>
          <w:szCs w:val="24"/>
        </w:rPr>
        <w:t xml:space="preserve">65 </w:t>
      </w:r>
      <w:r>
        <w:rPr>
          <w:rFonts w:eastAsia="Times New Roman" w:cs="Times New Roman"/>
          <w:spacing w:val="-3"/>
          <w:kern w:val="0"/>
          <w:szCs w:val="24"/>
        </w:rPr>
        <w:t>g</w:t>
      </w:r>
      <w:r>
        <w:rPr>
          <w:rFonts w:eastAsia="Times New Roman" w:cs="Times New Roman"/>
          <w:kern w:val="0"/>
          <w:szCs w:val="24"/>
        </w:rPr>
        <w:t>/m</w:t>
      </w:r>
      <w:r>
        <w:rPr>
          <w:rFonts w:eastAsia="Times New Roman" w:cs="Times New Roman"/>
          <w:kern w:val="0"/>
          <w:position w:val="11"/>
          <w:sz w:val="16"/>
          <w:szCs w:val="16"/>
        </w:rPr>
        <w:t>3</w:t>
      </w:r>
      <w:r>
        <w:rPr>
          <w:rFonts w:eastAsia="Times New Roman" w:cs="Times New Roman"/>
          <w:spacing w:val="-8"/>
          <w:kern w:val="0"/>
          <w:position w:val="11"/>
          <w:sz w:val="16"/>
          <w:szCs w:val="16"/>
        </w:rPr>
        <w:t xml:space="preserve"> </w:t>
      </w:r>
      <w:r>
        <w:rPr>
          <w:rFonts w:cs="Times New Roman"/>
          <w:kern w:val="0"/>
          <w:szCs w:val="24"/>
        </w:rPr>
        <w:t>的要求。</w:t>
      </w:r>
    </w:p>
    <w:p>
      <w:pPr>
        <w:pStyle w:val="68"/>
        <w:rPr>
          <w:rFonts w:cs="Times New Roman"/>
        </w:rPr>
      </w:pPr>
      <w:r>
        <w:rPr>
          <w:rFonts w:eastAsia="Times New Roman" w:cs="Times New Roman"/>
          <w:kern w:val="0"/>
          <w:szCs w:val="24"/>
        </w:rPr>
        <w:t>1995</w:t>
      </w:r>
      <w:r>
        <w:rPr>
          <w:rFonts w:cs="Times New Roman"/>
          <w:spacing w:val="4"/>
          <w:kern w:val="0"/>
          <w:szCs w:val="24"/>
        </w:rPr>
        <w:t>年</w:t>
      </w:r>
      <w:r>
        <w:rPr>
          <w:rFonts w:cs="Times New Roman"/>
          <w:spacing w:val="2"/>
          <w:kern w:val="0"/>
          <w:szCs w:val="24"/>
        </w:rPr>
        <w:t>颁</w:t>
      </w:r>
      <w:r>
        <w:rPr>
          <w:rFonts w:cs="Times New Roman"/>
          <w:spacing w:val="4"/>
          <w:kern w:val="0"/>
          <w:szCs w:val="24"/>
        </w:rPr>
        <w:t>布了</w:t>
      </w:r>
      <w:r>
        <w:rPr>
          <w:rFonts w:cs="Times New Roman"/>
          <w:spacing w:val="2"/>
          <w:kern w:val="0"/>
          <w:szCs w:val="24"/>
        </w:rPr>
        <w:t>《</w:t>
      </w:r>
      <w:r>
        <w:rPr>
          <w:rFonts w:cs="Times New Roman"/>
          <w:spacing w:val="4"/>
          <w:kern w:val="0"/>
          <w:szCs w:val="24"/>
        </w:rPr>
        <w:t>汽车</w:t>
      </w:r>
      <w:r>
        <w:rPr>
          <w:rFonts w:cs="Times New Roman"/>
          <w:spacing w:val="2"/>
          <w:kern w:val="0"/>
          <w:szCs w:val="24"/>
        </w:rPr>
        <w:t>制</w:t>
      </w:r>
      <w:r>
        <w:rPr>
          <w:rFonts w:cs="Times New Roman"/>
          <w:spacing w:val="4"/>
          <w:kern w:val="0"/>
          <w:szCs w:val="24"/>
        </w:rPr>
        <w:t>造业</w:t>
      </w:r>
      <w:r>
        <w:rPr>
          <w:rFonts w:cs="Times New Roman"/>
          <w:spacing w:val="2"/>
          <w:kern w:val="0"/>
          <w:szCs w:val="24"/>
        </w:rPr>
        <w:t>表</w:t>
      </w:r>
      <w:r>
        <w:rPr>
          <w:rFonts w:cs="Times New Roman"/>
          <w:spacing w:val="4"/>
          <w:kern w:val="0"/>
          <w:szCs w:val="24"/>
        </w:rPr>
        <w:t>面</w:t>
      </w:r>
      <w:r>
        <w:rPr>
          <w:rFonts w:cs="Times New Roman"/>
          <w:spacing w:val="2"/>
          <w:kern w:val="0"/>
          <w:szCs w:val="24"/>
        </w:rPr>
        <w:t>涂</w:t>
      </w:r>
      <w:r>
        <w:rPr>
          <w:rFonts w:cs="Times New Roman"/>
          <w:spacing w:val="4"/>
          <w:kern w:val="0"/>
          <w:szCs w:val="24"/>
        </w:rPr>
        <w:t>装</w:t>
      </w:r>
      <w:r>
        <w:rPr>
          <w:rFonts w:cs="Times New Roman"/>
          <w:spacing w:val="2"/>
          <w:kern w:val="0"/>
          <w:szCs w:val="24"/>
        </w:rPr>
        <w:t>作</w:t>
      </w:r>
      <w:r>
        <w:rPr>
          <w:rFonts w:cs="Times New Roman"/>
          <w:spacing w:val="4"/>
          <w:kern w:val="0"/>
          <w:szCs w:val="24"/>
        </w:rPr>
        <w:t>业空</w:t>
      </w:r>
      <w:r>
        <w:rPr>
          <w:rFonts w:cs="Times New Roman"/>
          <w:spacing w:val="2"/>
          <w:kern w:val="0"/>
          <w:szCs w:val="24"/>
        </w:rPr>
        <w:t>气</w:t>
      </w:r>
      <w:r>
        <w:rPr>
          <w:rFonts w:cs="Times New Roman"/>
          <w:spacing w:val="4"/>
          <w:kern w:val="0"/>
          <w:szCs w:val="24"/>
        </w:rPr>
        <w:t>污染</w:t>
      </w:r>
      <w:r>
        <w:rPr>
          <w:rFonts w:cs="Times New Roman"/>
          <w:spacing w:val="2"/>
          <w:kern w:val="0"/>
          <w:szCs w:val="24"/>
        </w:rPr>
        <w:t>物</w:t>
      </w:r>
      <w:r>
        <w:rPr>
          <w:rFonts w:cs="Times New Roman"/>
          <w:spacing w:val="4"/>
          <w:kern w:val="0"/>
          <w:szCs w:val="24"/>
        </w:rPr>
        <w:t>排</w:t>
      </w:r>
      <w:r>
        <w:rPr>
          <w:rFonts w:cs="Times New Roman"/>
          <w:spacing w:val="2"/>
          <w:kern w:val="0"/>
          <w:szCs w:val="24"/>
        </w:rPr>
        <w:t>放</w:t>
      </w:r>
      <w:r>
        <w:rPr>
          <w:rFonts w:cs="Times New Roman"/>
          <w:spacing w:val="4"/>
          <w:kern w:val="0"/>
          <w:szCs w:val="24"/>
        </w:rPr>
        <w:t>标</w:t>
      </w:r>
      <w:r>
        <w:rPr>
          <w:rFonts w:cs="Times New Roman"/>
          <w:spacing w:val="2"/>
          <w:kern w:val="0"/>
          <w:szCs w:val="24"/>
        </w:rPr>
        <w:t>准</w:t>
      </w:r>
      <w:r>
        <w:rPr>
          <w:rFonts w:cs="Times New Roman"/>
          <w:spacing w:val="4"/>
          <w:kern w:val="0"/>
          <w:szCs w:val="24"/>
        </w:rPr>
        <w:t>》，并</w:t>
      </w:r>
      <w:r>
        <w:rPr>
          <w:rFonts w:cs="Times New Roman"/>
          <w:kern w:val="0"/>
          <w:szCs w:val="24"/>
        </w:rPr>
        <w:t>于</w:t>
      </w:r>
      <w:r>
        <w:rPr>
          <w:rFonts w:eastAsia="Times New Roman" w:cs="Times New Roman"/>
          <w:kern w:val="0"/>
          <w:szCs w:val="24"/>
        </w:rPr>
        <w:t>2006</w:t>
      </w:r>
      <w:r>
        <w:rPr>
          <w:rFonts w:cs="Times New Roman"/>
          <w:kern w:val="0"/>
          <w:szCs w:val="24"/>
        </w:rPr>
        <w:t>年进行了修订，规定汽车涂装的</w:t>
      </w:r>
      <w:r>
        <w:rPr>
          <w:rFonts w:eastAsia="Times New Roman" w:cs="Times New Roman"/>
          <w:kern w:val="0"/>
          <w:szCs w:val="24"/>
        </w:rPr>
        <w:t>V</w:t>
      </w:r>
      <w:r>
        <w:rPr>
          <w:rFonts w:eastAsia="Times New Roman" w:cs="Times New Roman"/>
          <w:spacing w:val="-1"/>
          <w:kern w:val="0"/>
          <w:szCs w:val="24"/>
        </w:rPr>
        <w:t>O</w:t>
      </w:r>
      <w:r>
        <w:rPr>
          <w:rFonts w:eastAsia="Times New Roman" w:cs="Times New Roman"/>
          <w:kern w:val="0"/>
          <w:szCs w:val="24"/>
        </w:rPr>
        <w:t>Cs</w:t>
      </w:r>
      <w:r>
        <w:rPr>
          <w:rFonts w:cs="Times New Roman"/>
          <w:kern w:val="0"/>
          <w:szCs w:val="24"/>
        </w:rPr>
        <w:t>破坏率为</w:t>
      </w:r>
      <w:r>
        <w:rPr>
          <w:rFonts w:eastAsia="Times New Roman" w:cs="Times New Roman"/>
          <w:kern w:val="0"/>
          <w:szCs w:val="24"/>
        </w:rPr>
        <w:t>90</w:t>
      </w:r>
      <w:r>
        <w:rPr>
          <w:rFonts w:eastAsia="Times New Roman" w:cs="Times New Roman"/>
          <w:spacing w:val="-1"/>
          <w:kern w:val="0"/>
          <w:szCs w:val="24"/>
        </w:rPr>
        <w:t>%</w:t>
      </w:r>
      <w:r>
        <w:rPr>
          <w:rFonts w:cs="Times New Roman"/>
          <w:kern w:val="0"/>
          <w:szCs w:val="24"/>
        </w:rPr>
        <w:t>或者排放管道浓度小于</w:t>
      </w:r>
      <w:r>
        <w:rPr>
          <w:rFonts w:cs="Times New Roman"/>
          <w:spacing w:val="-61"/>
          <w:kern w:val="0"/>
          <w:szCs w:val="24"/>
        </w:rPr>
        <w:t xml:space="preserve"> </w:t>
      </w:r>
      <w:r>
        <w:rPr>
          <w:rFonts w:eastAsia="Times New Roman" w:cs="Times New Roman"/>
          <w:kern w:val="0"/>
          <w:szCs w:val="24"/>
        </w:rPr>
        <w:t>60 m</w:t>
      </w:r>
      <w:r>
        <w:rPr>
          <w:rFonts w:eastAsia="Times New Roman" w:cs="Times New Roman"/>
          <w:spacing w:val="-2"/>
          <w:kern w:val="0"/>
          <w:szCs w:val="24"/>
        </w:rPr>
        <w:t>g</w:t>
      </w:r>
      <w:r>
        <w:rPr>
          <w:rFonts w:eastAsia="Times New Roman" w:cs="Times New Roman"/>
          <w:kern w:val="0"/>
          <w:szCs w:val="24"/>
        </w:rPr>
        <w:t>/m</w:t>
      </w:r>
      <w:r>
        <w:rPr>
          <w:rFonts w:eastAsia="Times New Roman" w:cs="Times New Roman"/>
          <w:spacing w:val="1"/>
          <w:kern w:val="0"/>
          <w:position w:val="11"/>
          <w:sz w:val="16"/>
          <w:szCs w:val="16"/>
        </w:rPr>
        <w:t>3</w:t>
      </w:r>
      <w:r>
        <w:rPr>
          <w:rFonts w:cs="Times New Roman"/>
          <w:kern w:val="0"/>
          <w:szCs w:val="24"/>
        </w:rPr>
        <w:t>。</w:t>
      </w:r>
      <w:r>
        <w:rPr>
          <w:rFonts w:eastAsia="Times New Roman" w:cs="Times New Roman"/>
          <w:kern w:val="0"/>
          <w:szCs w:val="24"/>
        </w:rPr>
        <w:t>2000</w:t>
      </w:r>
      <w:r>
        <w:rPr>
          <w:rFonts w:cs="Times New Roman"/>
          <w:kern w:val="0"/>
          <w:szCs w:val="24"/>
        </w:rPr>
        <w:t>年公布了干洗作业空气污染防制设施管制标准，对干洗环节</w:t>
      </w:r>
      <w:r>
        <w:rPr>
          <w:rFonts w:eastAsia="Times New Roman" w:cs="Times New Roman"/>
          <w:spacing w:val="-1"/>
          <w:kern w:val="0"/>
          <w:szCs w:val="24"/>
        </w:rPr>
        <w:t>VO</w:t>
      </w:r>
      <w:r>
        <w:rPr>
          <w:rFonts w:eastAsia="Times New Roman" w:cs="Times New Roman"/>
          <w:kern w:val="0"/>
          <w:szCs w:val="24"/>
        </w:rPr>
        <w:t>C</w:t>
      </w:r>
      <w:r>
        <w:rPr>
          <w:rFonts w:eastAsia="Times New Roman" w:cs="Times New Roman"/>
          <w:spacing w:val="12"/>
          <w:kern w:val="0"/>
          <w:szCs w:val="24"/>
        </w:rPr>
        <w:t>s</w:t>
      </w:r>
      <w:r>
        <w:rPr>
          <w:rFonts w:cs="Times New Roman"/>
          <w:kern w:val="0"/>
          <w:szCs w:val="24"/>
        </w:rPr>
        <w:t>排放提出了控制要求。</w:t>
      </w:r>
    </w:p>
    <w:p>
      <w:pPr>
        <w:pStyle w:val="3"/>
        <w:ind w:left="0" w:firstLine="0"/>
      </w:pPr>
      <w:r>
        <w:t xml:space="preserve"> </w:t>
      </w:r>
      <w:bookmarkStart w:id="123" w:name="_Toc75787644"/>
      <w:r>
        <w:t>国外标准</w:t>
      </w:r>
      <w:bookmarkEnd w:id="123"/>
    </w:p>
    <w:p>
      <w:pPr>
        <w:pStyle w:val="68"/>
        <w:rPr>
          <w:rFonts w:cs="Times New Roman"/>
        </w:rPr>
      </w:pPr>
      <w:r>
        <w:rPr>
          <w:rFonts w:cs="Times New Roman"/>
        </w:rPr>
        <w:t>目前国际上标准体系比较完备的有美国、欧盟、德国、日本、澳大利亚等。美国属于典型的单纯行业型标准体系，标准体系细致，数量多；欧盟则属于重点行业型标准+重点污染物和污染物综合预防指令，具有较好的针对性；德国的标准体系则是与欧盟一致；日本大气污染物标准体系则是综合标准+通用型标准体系。</w:t>
      </w:r>
    </w:p>
    <w:p>
      <w:pPr>
        <w:pStyle w:val="4"/>
        <w:ind w:left="0" w:firstLine="0"/>
      </w:pPr>
      <w:bookmarkStart w:id="124" w:name="_Toc26350776"/>
      <w:r>
        <w:t>美国</w:t>
      </w:r>
      <w:bookmarkEnd w:id="124"/>
    </w:p>
    <w:p>
      <w:pPr>
        <w:pStyle w:val="68"/>
        <w:rPr>
          <w:rFonts w:cs="Times New Roman"/>
        </w:rPr>
      </w:pPr>
      <w:r>
        <w:rPr>
          <w:rFonts w:cs="Times New Roman"/>
        </w:rPr>
        <w:t>美国大气污染物排放标准体系的构成是详细的行业排放标准为主。美国根据《空气清洁法》的规定，按照基准污染物（常规污染物）和有毒有害空气污染物分别制定标准，美国固定源大气污染物排放标准体系如</w:t>
      </w:r>
      <w:r>
        <w:rPr>
          <w:rFonts w:cs="Times New Roman"/>
        </w:rPr>
        <w:fldChar w:fldCharType="begin"/>
      </w:r>
      <w:r>
        <w:rPr>
          <w:rFonts w:cs="Times New Roman"/>
        </w:rPr>
        <w:instrText xml:space="preserve"> REF _Ref26352478 \h  \* MERGEFORMAT </w:instrText>
      </w:r>
      <w:r>
        <w:rPr>
          <w:rFonts w:cs="Times New Roman"/>
        </w:rPr>
        <w:fldChar w:fldCharType="separate"/>
      </w:r>
      <w:r>
        <w:rPr>
          <w:rFonts w:cs="Times New Roman"/>
        </w:rPr>
        <w:t>图 5</w:t>
      </w:r>
      <w:r>
        <w:rPr>
          <w:rFonts w:cs="Times New Roman"/>
        </w:rPr>
        <w:noBreakHyphen/>
      </w:r>
      <w:r>
        <w:rPr>
          <w:rFonts w:cs="Times New Roman"/>
        </w:rPr>
        <w:t>1</w:t>
      </w:r>
      <w:r>
        <w:rPr>
          <w:rFonts w:cs="Times New Roman"/>
        </w:rPr>
        <w:fldChar w:fldCharType="end"/>
      </w:r>
      <w:r>
        <w:rPr>
          <w:rFonts w:cs="Times New Roman"/>
        </w:rPr>
        <w:t>所示。</w:t>
      </w:r>
    </w:p>
    <w:p>
      <w:pPr>
        <w:pStyle w:val="68"/>
        <w:ind w:firstLine="0" w:firstLineChars="0"/>
        <w:jc w:val="center"/>
        <w:rPr>
          <w:rFonts w:cs="Times New Roman"/>
        </w:rPr>
      </w:pPr>
      <w:r>
        <w:rPr>
          <w:rFonts w:cs="Times New Roman"/>
        </w:rPr>
        <w:drawing>
          <wp:inline distT="0" distB="0" distL="0" distR="0">
            <wp:extent cx="5010785" cy="3579495"/>
            <wp:effectExtent l="0" t="0" r="0" b="190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7"/>
                    <a:srcRect b="6521"/>
                    <a:stretch>
                      <a:fillRect/>
                    </a:stretch>
                  </pic:blipFill>
                  <pic:spPr>
                    <a:xfrm>
                      <a:off x="0" y="0"/>
                      <a:ext cx="5023353" cy="3588901"/>
                    </a:xfrm>
                    <a:prstGeom prst="rect">
                      <a:avLst/>
                    </a:prstGeom>
                    <a:ln>
                      <a:noFill/>
                    </a:ln>
                  </pic:spPr>
                </pic:pic>
              </a:graphicData>
            </a:graphic>
          </wp:inline>
        </w:drawing>
      </w:r>
    </w:p>
    <w:p>
      <w:pPr>
        <w:pStyle w:val="13"/>
        <w:spacing w:before="156" w:beforeLines="50" w:after="156" w:afterLines="50"/>
      </w:pPr>
      <w:bookmarkStart w:id="125" w:name="_Ref26352478"/>
      <w:r>
        <w:t xml:space="preserve">图 </w:t>
      </w:r>
      <w:r>
        <w:fldChar w:fldCharType="begin"/>
      </w:r>
      <w:r>
        <w:instrText xml:space="preserve"> STYLEREF 1 \s </w:instrText>
      </w:r>
      <w:r>
        <w:fldChar w:fldCharType="separate"/>
      </w:r>
      <w:r>
        <w:t>5</w:t>
      </w:r>
      <w:r>
        <w:fldChar w:fldCharType="end"/>
      </w:r>
      <w:r>
        <w:noBreakHyphen/>
      </w:r>
      <w:r>
        <w:fldChar w:fldCharType="begin"/>
      </w:r>
      <w:r>
        <w:instrText xml:space="preserve"> SEQ 图 \* ARABIC \s 1 </w:instrText>
      </w:r>
      <w:r>
        <w:fldChar w:fldCharType="separate"/>
      </w:r>
      <w:r>
        <w:t>1</w:t>
      </w:r>
      <w:r>
        <w:fldChar w:fldCharType="end"/>
      </w:r>
      <w:bookmarkEnd w:id="125"/>
      <w:r>
        <w:t xml:space="preserve"> 美国固定源大气污染物排放标准体系</w:t>
      </w:r>
    </w:p>
    <w:p>
      <w:pPr>
        <w:pStyle w:val="68"/>
        <w:rPr>
          <w:rFonts w:cs="Times New Roman"/>
        </w:rPr>
      </w:pPr>
      <w:r>
        <w:rPr>
          <w:rFonts w:cs="Times New Roman"/>
        </w:rPr>
        <w:t>（1）新污染源控制标准</w:t>
      </w:r>
    </w:p>
    <w:p>
      <w:pPr>
        <w:pStyle w:val="68"/>
        <w:rPr>
          <w:rFonts w:cs="Times New Roman"/>
        </w:rPr>
      </w:pPr>
      <w:r>
        <w:rPr>
          <w:rFonts w:cs="Times New Roman"/>
        </w:rPr>
        <w:t>美国固定源新源控制标准针对常规污染物，自1971年以来，一共制定了25个大行业的90项排放标准。90项标准包括化石燃料的燃煤锅炉、焚烧炉、硅酸盐水泥厂、硝酸厂、硫酸厂、污水处理厂、热拌沥青设备、炼油厂、石油液体储罐、再生铅熔炼炉、炼油厂设备VOCs泄漏、工业/商业/机构蒸汽锅炉、乙烯基和聚氨酯涂料和印刷设备、石油干洗业、钢铁厂电弧炉、陆上天然气处理厂（SO</w:t>
      </w:r>
      <w:r>
        <w:rPr>
          <w:rFonts w:cs="Times New Roman"/>
          <w:vertAlign w:val="subscript"/>
        </w:rPr>
        <w:t>2</w:t>
      </w:r>
      <w:r>
        <w:rPr>
          <w:rFonts w:cs="Times New Roman"/>
        </w:rPr>
        <w:t>）、毛玻璃纤维绝缘材料制造、陆上天然气处理厂（VOCs设备泄漏）、钢铁厂氧气顶吹转炉排放、挥发性液体储存容器、再生铜、氧气顶吹转炉（主要排放）、磷肥工业（五种产品）、钢铁厂电弧炉、原声铜熔炼炉、原生锌熔炼炉、原生铅熔炼炉、铁合金生产设施、硫酸盐木浆厂、谷物升降机、电厂锅炉、固定式燃气轮机、石油液体储存容器、原生铝电解厂、玻璃制造厂、橡胶</w:t>
      </w:r>
      <w:r>
        <w:rPr>
          <w:rFonts w:hint="eastAsia" w:cs="Times New Roman"/>
        </w:rPr>
        <w:t>轮胎</w:t>
      </w:r>
      <w:r>
        <w:rPr>
          <w:rFonts w:cs="Times New Roman"/>
        </w:rPr>
        <w:t>制造、工业表面涂装、新住宅木材加热器、磁带涂层设施、炼油厂废水处理系统VOCs排放、小型工商业蒸汽锅炉、支撑基质设备聚合物涂层、有机化学合成工业蒸馏操作VOCs排放、有机化学合成工业空气氧化过程VOCs排放、聚合物制造业VOCs排放、市政垃圾燃烧炉、采矿业中煅烧和干燥排放、有机化学合成工业反应过程VOCs排放、大型市政垃圾燃烧炉、市政固废垃圾填埋场、医院/医疗/感染性废弃物焚化炉、工商业固体废物焚烧炉、工商业固体焚烧炉（1999年11月30日之前）、小型市政垃圾焚烧炉、小型垃圾焚烧炉（1999.8.30以后建设或者2001.6.6后改建）、小型市政垃圾焚烧炉（1999.8.30以前）、其他固废焚烧炉（2004.12.9以后建设或者2006.6.16后改建）、其他固废焚烧炉（2004.12.9以前建成）、硫酸铵制造、汽车和轻型卡车表面涂装、铅酸电池制造厂、磷矿石厂性能、沥青加工和沥青屋顶材料制造、工业表面涂装（大型装置）、金属家具表面涂装、金属线圈表面涂装、印刷行业（出版物凹版印刷）、储油库、饮料罐表面涂装、压敏磁带和标签表面涂装、有机化学合成工业VOCs设备渗漏1981.1.5~2006.11.7建成）、金属矿物采选、合成纤维生产设备、石灰制造厂、固定式燃气轮机、固定压燃式汽轮机、原油和天然气生产/输送和分配、有机合成化学品制造工业（2006.11.7以后建成）VOC泄漏、炼油厂VOC装置泄漏、固定点火式内燃机、炼油厂（2007.5.14以后建成）、非金属矿物采选、煤矿采选和煤加工厂、新建污泥焚烧炉、现有污泥焚烧炉、硝酸厂（2011</w:t>
      </w:r>
      <w:r>
        <w:rPr>
          <w:rFonts w:hint="eastAsia" w:cs="Times New Roman"/>
        </w:rPr>
        <w:t>.</w:t>
      </w:r>
      <w:r>
        <w:rPr>
          <w:rFonts w:cs="Times New Roman"/>
        </w:rPr>
        <w:t>10</w:t>
      </w:r>
      <w:r>
        <w:rPr>
          <w:rFonts w:hint="eastAsia" w:cs="Times New Roman"/>
        </w:rPr>
        <w:t>.</w:t>
      </w:r>
      <w:r>
        <w:rPr>
          <w:rFonts w:cs="Times New Roman"/>
        </w:rPr>
        <w:t>14之后建成）、硫酸盐木浆（2013.5.23后建成）。</w:t>
      </w:r>
    </w:p>
    <w:p>
      <w:pPr>
        <w:pStyle w:val="68"/>
        <w:rPr>
          <w:rFonts w:cs="Times New Roman"/>
        </w:rPr>
      </w:pPr>
      <w:r>
        <w:rPr>
          <w:rFonts w:cs="Times New Roman"/>
        </w:rPr>
        <w:t>（2）有毒有害空气污染物排放标准（NESHAP）</w:t>
      </w:r>
    </w:p>
    <w:p>
      <w:pPr>
        <w:pStyle w:val="68"/>
        <w:rPr>
          <w:rFonts w:cs="Times New Roman"/>
        </w:rPr>
      </w:pPr>
      <w:r>
        <w:rPr>
          <w:rFonts w:cs="Times New Roman"/>
        </w:rPr>
        <w:t>美国在 1990 年的《清洁空气法案》中规定了189种有害空气污染物 (HAPs，2003 年和 2005 年又从名录中剔除了乙二醇醚和甲基乙基酮，因此当前是 187 种有害空气污染物</w:t>
      </w:r>
      <w:r>
        <w:rPr>
          <w:rFonts w:hint="eastAsia" w:cs="Times New Roman"/>
        </w:rPr>
        <w:t>)</w:t>
      </w:r>
      <w:r>
        <w:rPr>
          <w:rFonts w:cs="Times New Roman"/>
        </w:rPr>
        <w:t>。在该方面，美国坚持最大可达技术（MACT）标准，达到最大程度的排放削减。该标准适用于所有新源和现有源排放的有害空气污染物，包括三种形式的标准：一般排放标准、设计/设备/操作和运行标准、保护人体健康和环境的标准。针对HAPs，美国将主要污染源分为16类，截止当前，共制订了106项标准，预留标准13项，主要集中在表面涂装、矿物采选及加工、黑色金属加工、有色金属冶炼、燃料燃烧等，也包括了干洗、消毒、电镀、储罐等。</w:t>
      </w:r>
    </w:p>
    <w:p>
      <w:pPr>
        <w:pStyle w:val="68"/>
        <w:rPr>
          <w:rFonts w:cs="Times New Roman"/>
          <w:lang w:eastAsia="en-US"/>
        </w:rPr>
      </w:pPr>
      <w:r>
        <w:rPr>
          <w:rFonts w:cs="Times New Roman"/>
          <w:lang w:eastAsia="en-US"/>
        </w:rPr>
        <w:t>美国</w:t>
      </w:r>
      <w:r>
        <w:rPr>
          <w:rFonts w:cs="Times New Roman"/>
          <w:spacing w:val="2"/>
          <w:lang w:eastAsia="en-US"/>
        </w:rPr>
        <w:t>标</w:t>
      </w:r>
      <w:r>
        <w:rPr>
          <w:rFonts w:cs="Times New Roman"/>
          <w:lang w:eastAsia="en-US"/>
        </w:rPr>
        <w:t>准将</w:t>
      </w:r>
      <w:r>
        <w:rPr>
          <w:rFonts w:cs="Times New Roman"/>
          <w:spacing w:val="2"/>
          <w:lang w:eastAsia="en-US"/>
        </w:rPr>
        <w:t>固</w:t>
      </w:r>
      <w:r>
        <w:rPr>
          <w:rFonts w:cs="Times New Roman"/>
          <w:lang w:eastAsia="en-US"/>
        </w:rPr>
        <w:t>定</w:t>
      </w:r>
      <w:r>
        <w:rPr>
          <w:rFonts w:cs="Times New Roman"/>
          <w:spacing w:val="2"/>
          <w:lang w:eastAsia="en-US"/>
        </w:rPr>
        <w:t>源</w:t>
      </w:r>
      <w:r>
        <w:rPr>
          <w:rFonts w:cs="Times New Roman"/>
          <w:lang w:eastAsia="en-US"/>
        </w:rPr>
        <w:t>分</w:t>
      </w:r>
      <w:r>
        <w:rPr>
          <w:rFonts w:cs="Times New Roman"/>
          <w:spacing w:val="2"/>
          <w:lang w:eastAsia="en-US"/>
        </w:rPr>
        <w:t>为</w:t>
      </w:r>
      <w:r>
        <w:rPr>
          <w:rFonts w:cs="Times New Roman"/>
          <w:lang w:eastAsia="en-US"/>
        </w:rPr>
        <w:t>主要</w:t>
      </w:r>
      <w:r>
        <w:rPr>
          <w:rFonts w:cs="Times New Roman"/>
          <w:spacing w:val="2"/>
          <w:lang w:eastAsia="en-US"/>
        </w:rPr>
        <w:t>污</w:t>
      </w:r>
      <w:r>
        <w:rPr>
          <w:rFonts w:cs="Times New Roman"/>
          <w:lang w:eastAsia="en-US"/>
        </w:rPr>
        <w:t>染源</w:t>
      </w:r>
      <w:r>
        <w:rPr>
          <w:rFonts w:cs="Times New Roman"/>
          <w:spacing w:val="1"/>
          <w:lang w:eastAsia="en-US"/>
        </w:rPr>
        <w:t>（</w:t>
      </w:r>
      <w:r>
        <w:rPr>
          <w:rFonts w:cs="Times New Roman"/>
          <w:lang w:eastAsia="en-US"/>
        </w:rPr>
        <w:t>Major</w:t>
      </w:r>
      <w:r>
        <w:rPr>
          <w:rFonts w:cs="Times New Roman"/>
          <w:spacing w:val="2"/>
          <w:lang w:eastAsia="en-US"/>
        </w:rPr>
        <w:t xml:space="preserve"> </w:t>
      </w:r>
      <w:r>
        <w:rPr>
          <w:rFonts w:cs="Times New Roman"/>
          <w:lang w:eastAsia="en-US"/>
        </w:rPr>
        <w:t>s</w:t>
      </w:r>
      <w:r>
        <w:rPr>
          <w:rFonts w:cs="Times New Roman"/>
          <w:spacing w:val="2"/>
          <w:lang w:eastAsia="en-US"/>
        </w:rPr>
        <w:t>o</w:t>
      </w:r>
      <w:r>
        <w:rPr>
          <w:rFonts w:cs="Times New Roman"/>
          <w:lang w:eastAsia="en-US"/>
        </w:rPr>
        <w:t>urces）</w:t>
      </w:r>
      <w:r>
        <w:rPr>
          <w:rFonts w:cs="Times New Roman"/>
          <w:spacing w:val="2"/>
          <w:lang w:eastAsia="en-US"/>
        </w:rPr>
        <w:t>：</w:t>
      </w:r>
      <w:r>
        <w:rPr>
          <w:rFonts w:cs="Times New Roman"/>
          <w:lang w:eastAsia="en-US"/>
        </w:rPr>
        <w:t>排放</w:t>
      </w:r>
      <w:r>
        <w:rPr>
          <w:rFonts w:cs="Times New Roman"/>
          <w:spacing w:val="2"/>
          <w:lang w:eastAsia="en-US"/>
        </w:rPr>
        <w:t>量</w:t>
      </w:r>
      <w:r>
        <w:rPr>
          <w:rFonts w:cs="Times New Roman"/>
          <w:lang w:eastAsia="en-US"/>
        </w:rPr>
        <w:t>比</w:t>
      </w:r>
      <w:r>
        <w:rPr>
          <w:rFonts w:cs="Times New Roman"/>
          <w:spacing w:val="2"/>
          <w:lang w:eastAsia="en-US"/>
        </w:rPr>
        <w:t>较</w:t>
      </w:r>
      <w:r>
        <w:rPr>
          <w:rFonts w:cs="Times New Roman"/>
          <w:lang w:eastAsia="en-US"/>
        </w:rPr>
        <w:t>大的，年排放量为</w:t>
      </w:r>
      <w:r>
        <w:rPr>
          <w:rFonts w:cs="Times New Roman"/>
          <w:spacing w:val="-56"/>
          <w:lang w:eastAsia="en-US"/>
        </w:rPr>
        <w:t xml:space="preserve"> </w:t>
      </w:r>
      <w:r>
        <w:rPr>
          <w:rFonts w:cs="Times New Roman"/>
          <w:lang w:eastAsia="en-US"/>
        </w:rPr>
        <w:t>10t/a</w:t>
      </w:r>
      <w:r>
        <w:rPr>
          <w:rFonts w:cs="Times New Roman"/>
          <w:spacing w:val="-56"/>
          <w:lang w:eastAsia="en-US"/>
        </w:rPr>
        <w:t xml:space="preserve"> </w:t>
      </w:r>
      <w:r>
        <w:rPr>
          <w:rFonts w:cs="Times New Roman"/>
          <w:lang w:eastAsia="en-US"/>
        </w:rPr>
        <w:t>以上的单个</w:t>
      </w:r>
      <w:r>
        <w:rPr>
          <w:rFonts w:cs="Times New Roman"/>
          <w:spacing w:val="-55"/>
          <w:lang w:eastAsia="en-US"/>
        </w:rPr>
        <w:t xml:space="preserve"> </w:t>
      </w:r>
      <w:r>
        <w:rPr>
          <w:rFonts w:cs="Times New Roman"/>
          <w:lang w:eastAsia="en-US"/>
        </w:rPr>
        <w:t>HAPs</w:t>
      </w:r>
      <w:r>
        <w:rPr>
          <w:rFonts w:cs="Times New Roman"/>
          <w:spacing w:val="-56"/>
          <w:lang w:eastAsia="en-US"/>
        </w:rPr>
        <w:t xml:space="preserve"> </w:t>
      </w:r>
      <w:r>
        <w:rPr>
          <w:rFonts w:cs="Times New Roman"/>
          <w:lang w:eastAsia="en-US"/>
        </w:rPr>
        <w:t>或混合排放</w:t>
      </w:r>
      <w:r>
        <w:rPr>
          <w:rFonts w:cs="Times New Roman"/>
          <w:spacing w:val="-55"/>
          <w:lang w:eastAsia="en-US"/>
        </w:rPr>
        <w:t xml:space="preserve"> </w:t>
      </w:r>
      <w:r>
        <w:rPr>
          <w:rFonts w:cs="Times New Roman"/>
          <w:lang w:eastAsia="en-US"/>
        </w:rPr>
        <w:t>25t/a</w:t>
      </w:r>
      <w:r>
        <w:rPr>
          <w:rFonts w:cs="Times New Roman"/>
          <w:spacing w:val="-56"/>
          <w:lang w:eastAsia="en-US"/>
        </w:rPr>
        <w:t xml:space="preserve"> </w:t>
      </w:r>
      <w:r>
        <w:rPr>
          <w:rFonts w:cs="Times New Roman"/>
          <w:lang w:eastAsia="en-US"/>
        </w:rPr>
        <w:t>以上的一组污染源；区域性（小源</w:t>
      </w:r>
      <w:r>
        <w:rPr>
          <w:rFonts w:cs="Times New Roman"/>
          <w:spacing w:val="-1"/>
          <w:lang w:eastAsia="en-US"/>
        </w:rPr>
        <w:t>）</w:t>
      </w:r>
      <w:r>
        <w:rPr>
          <w:rFonts w:cs="Times New Roman"/>
          <w:lang w:eastAsia="en-US"/>
        </w:rPr>
        <w:t>Area sources: 其余的污染源。</w:t>
      </w:r>
    </w:p>
    <w:p>
      <w:pPr>
        <w:pStyle w:val="68"/>
        <w:ind w:firstLine="496"/>
        <w:rPr>
          <w:rFonts w:cs="Times New Roman"/>
        </w:rPr>
      </w:pPr>
      <w:r>
        <w:rPr>
          <w:rFonts w:cs="Times New Roman"/>
          <w:spacing w:val="4"/>
        </w:rPr>
        <w:t>针对主要污染</w:t>
      </w:r>
      <w:r>
        <w:rPr>
          <w:rFonts w:cs="Times New Roman"/>
          <w:spacing w:val="5"/>
        </w:rPr>
        <w:t>源</w:t>
      </w:r>
      <w:r>
        <w:rPr>
          <w:rFonts w:cs="Times New Roman"/>
          <w:spacing w:val="4"/>
        </w:rPr>
        <w:t>美国标准几乎涵盖了所有的工业领</w:t>
      </w:r>
      <w:r>
        <w:rPr>
          <w:rFonts w:cs="Times New Roman"/>
          <w:spacing w:val="5"/>
        </w:rPr>
        <w:t>域</w:t>
      </w:r>
      <w:r>
        <w:rPr>
          <w:rFonts w:cs="Times New Roman"/>
          <w:spacing w:val="4"/>
        </w:rPr>
        <w:t>，融合了技术要求与排放控制标准。美国</w:t>
      </w:r>
      <w:r>
        <w:rPr>
          <w:rFonts w:cs="Times New Roman"/>
          <w:spacing w:val="2"/>
        </w:rPr>
        <w:t>大</w:t>
      </w:r>
      <w:r>
        <w:rPr>
          <w:rFonts w:cs="Times New Roman"/>
          <w:spacing w:val="4"/>
        </w:rPr>
        <w:t>气污染物排放标准涵</w:t>
      </w:r>
      <w:r>
        <w:rPr>
          <w:rFonts w:cs="Times New Roman"/>
          <w:spacing w:val="2"/>
        </w:rPr>
        <w:t>盖</w:t>
      </w:r>
      <w:r>
        <w:rPr>
          <w:rFonts w:cs="Times New Roman"/>
          <w:spacing w:val="4"/>
        </w:rPr>
        <w:t>了工艺排放、储存、</w:t>
      </w:r>
      <w:r>
        <w:rPr>
          <w:rFonts w:cs="Times New Roman"/>
          <w:spacing w:val="2"/>
        </w:rPr>
        <w:t>输</w:t>
      </w:r>
      <w:r>
        <w:rPr>
          <w:rFonts w:cs="Times New Roman"/>
          <w:spacing w:val="4"/>
        </w:rPr>
        <w:t>送以</w:t>
      </w:r>
      <w:r>
        <w:rPr>
          <w:rFonts w:cs="Times New Roman"/>
          <w:spacing w:val="2"/>
        </w:rPr>
        <w:t>及</w:t>
      </w:r>
      <w:r>
        <w:rPr>
          <w:rFonts w:cs="Times New Roman"/>
        </w:rPr>
        <w:t>污</w:t>
      </w:r>
      <w:r>
        <w:rPr>
          <w:rFonts w:cs="Times New Roman"/>
          <w:spacing w:val="4"/>
        </w:rPr>
        <w:t>水处理的排放控制要</w:t>
      </w:r>
      <w:r>
        <w:rPr>
          <w:rFonts w:cs="Times New Roman"/>
          <w:spacing w:val="2"/>
        </w:rPr>
        <w:t>求，</w:t>
      </w:r>
      <w:r>
        <w:rPr>
          <w:rFonts w:cs="Times New Roman"/>
          <w:spacing w:val="4"/>
        </w:rPr>
        <w:t>通常包括排放浓度限</w:t>
      </w:r>
      <w:r>
        <w:rPr>
          <w:rFonts w:cs="Times New Roman"/>
          <w:spacing w:val="2"/>
        </w:rPr>
        <w:t>值</w:t>
      </w:r>
      <w:r>
        <w:rPr>
          <w:rFonts w:cs="Times New Roman"/>
          <w:spacing w:val="4"/>
        </w:rPr>
        <w:t>（比如氯化氢、卤素</w:t>
      </w:r>
      <w:r>
        <w:rPr>
          <w:rFonts w:cs="Times New Roman"/>
          <w:spacing w:val="2"/>
        </w:rPr>
        <w:t>、</w:t>
      </w:r>
      <w:r>
        <w:rPr>
          <w:rFonts w:cs="Times New Roman"/>
          <w:spacing w:val="4"/>
        </w:rPr>
        <w:t>苯</w:t>
      </w:r>
      <w:r>
        <w:rPr>
          <w:rFonts w:cs="Times New Roman"/>
          <w:spacing w:val="5"/>
        </w:rPr>
        <w:t>等</w:t>
      </w:r>
      <w:r>
        <w:rPr>
          <w:rFonts w:cs="Times New Roman"/>
          <w:spacing w:val="2"/>
        </w:rPr>
        <w:t>单一</w:t>
      </w:r>
      <w:r>
        <w:rPr>
          <w:rFonts w:cs="Times New Roman"/>
        </w:rPr>
        <w:t>污染物排放浓度限值）、排放总量（规定了</w:t>
      </w:r>
      <w:r>
        <w:rPr>
          <w:rFonts w:cs="Times New Roman"/>
          <w:spacing w:val="-48"/>
        </w:rPr>
        <w:t xml:space="preserve"> </w:t>
      </w:r>
      <w:r>
        <w:rPr>
          <w:rFonts w:cs="Times New Roman"/>
        </w:rPr>
        <w:t>HAPs</w:t>
      </w:r>
      <w:r>
        <w:rPr>
          <w:rFonts w:cs="Times New Roman"/>
          <w:spacing w:val="-48"/>
        </w:rPr>
        <w:t xml:space="preserve"> </w:t>
      </w:r>
      <w:r>
        <w:rPr>
          <w:rFonts w:cs="Times New Roman"/>
        </w:rPr>
        <w:t>的排放总量的限值）、排放技</w:t>
      </w:r>
      <w:r>
        <w:rPr>
          <w:rFonts w:cs="Times New Roman"/>
          <w:spacing w:val="19"/>
        </w:rPr>
        <w:t>术要</w:t>
      </w:r>
      <w:r>
        <w:rPr>
          <w:rFonts w:cs="Times New Roman"/>
        </w:rPr>
        <w:t>求</w:t>
      </w:r>
      <w:r>
        <w:rPr>
          <w:rFonts w:cs="Times New Roman"/>
          <w:spacing w:val="-99"/>
        </w:rPr>
        <w:t xml:space="preserve"> </w:t>
      </w:r>
      <w:r>
        <w:rPr>
          <w:rFonts w:cs="Times New Roman"/>
          <w:spacing w:val="19"/>
        </w:rPr>
        <w:t>（</w:t>
      </w:r>
      <w:r>
        <w:rPr>
          <w:rFonts w:cs="Times New Roman"/>
        </w:rPr>
        <w:t>规</w:t>
      </w:r>
      <w:r>
        <w:rPr>
          <w:rFonts w:cs="Times New Roman"/>
          <w:spacing w:val="-99"/>
        </w:rPr>
        <w:t xml:space="preserve"> </w:t>
      </w:r>
      <w:r>
        <w:rPr>
          <w:rFonts w:cs="Times New Roman"/>
          <w:spacing w:val="18"/>
        </w:rPr>
        <w:t>定了</w:t>
      </w:r>
      <w:r>
        <w:rPr>
          <w:rFonts w:cs="Times New Roman"/>
        </w:rPr>
        <w:t>控</w:t>
      </w:r>
      <w:r>
        <w:rPr>
          <w:rFonts w:cs="Times New Roman"/>
          <w:spacing w:val="-99"/>
        </w:rPr>
        <w:t xml:space="preserve"> </w:t>
      </w:r>
      <w:r>
        <w:rPr>
          <w:rFonts w:cs="Times New Roman"/>
        </w:rPr>
        <w:t>制</w:t>
      </w:r>
      <w:r>
        <w:rPr>
          <w:rFonts w:cs="Times New Roman"/>
          <w:spacing w:val="-99"/>
        </w:rPr>
        <w:t xml:space="preserve"> </w:t>
      </w:r>
      <w:r>
        <w:rPr>
          <w:rFonts w:cs="Times New Roman"/>
          <w:spacing w:val="18"/>
        </w:rPr>
        <w:t>排放</w:t>
      </w:r>
      <w:r>
        <w:rPr>
          <w:rFonts w:cs="Times New Roman"/>
        </w:rPr>
        <w:t>的</w:t>
      </w:r>
      <w:r>
        <w:rPr>
          <w:rFonts w:cs="Times New Roman"/>
          <w:spacing w:val="-97"/>
        </w:rPr>
        <w:t xml:space="preserve"> </w:t>
      </w:r>
      <w:r>
        <w:rPr>
          <w:rFonts w:cs="Times New Roman"/>
          <w:spacing w:val="18"/>
        </w:rPr>
        <w:t>技</w:t>
      </w:r>
      <w:r>
        <w:rPr>
          <w:rFonts w:cs="Times New Roman"/>
        </w:rPr>
        <w:t>术</w:t>
      </w:r>
      <w:r>
        <w:rPr>
          <w:rFonts w:cs="Times New Roman"/>
          <w:spacing w:val="-99"/>
        </w:rPr>
        <w:t xml:space="preserve"> </w:t>
      </w:r>
      <w:r>
        <w:rPr>
          <w:rFonts w:cs="Times New Roman"/>
          <w:spacing w:val="18"/>
        </w:rPr>
        <w:t>形式</w:t>
      </w:r>
      <w:r>
        <w:rPr>
          <w:rFonts w:cs="Times New Roman"/>
        </w:rPr>
        <w:t>以</w:t>
      </w:r>
      <w:r>
        <w:rPr>
          <w:rFonts w:cs="Times New Roman"/>
          <w:spacing w:val="-99"/>
        </w:rPr>
        <w:t xml:space="preserve"> </w:t>
      </w:r>
      <w:r>
        <w:rPr>
          <w:rFonts w:cs="Times New Roman"/>
        </w:rPr>
        <w:t>及</w:t>
      </w:r>
      <w:r>
        <w:rPr>
          <w:rFonts w:cs="Times New Roman"/>
          <w:spacing w:val="-99"/>
        </w:rPr>
        <w:t xml:space="preserve"> </w:t>
      </w:r>
      <w:r>
        <w:rPr>
          <w:rFonts w:cs="Times New Roman"/>
          <w:spacing w:val="18"/>
        </w:rPr>
        <w:t>参数</w:t>
      </w:r>
      <w:r>
        <w:rPr>
          <w:rFonts w:cs="Times New Roman"/>
        </w:rPr>
        <w:t>等</w:t>
      </w:r>
      <w:r>
        <w:rPr>
          <w:rFonts w:cs="Times New Roman"/>
          <w:spacing w:val="-99"/>
        </w:rPr>
        <w:t xml:space="preserve"> </w:t>
      </w:r>
      <w:r>
        <w:rPr>
          <w:rFonts w:cs="Times New Roman"/>
        </w:rPr>
        <w:t>，</w:t>
      </w:r>
      <w:r>
        <w:rPr>
          <w:rFonts w:cs="Times New Roman"/>
          <w:spacing w:val="-99"/>
        </w:rPr>
        <w:t xml:space="preserve"> </w:t>
      </w:r>
      <w:r>
        <w:rPr>
          <w:rFonts w:cs="Times New Roman"/>
        </w:rPr>
        <w:t>比</w:t>
      </w:r>
      <w:r>
        <w:rPr>
          <w:rFonts w:cs="Times New Roman"/>
          <w:spacing w:val="-99"/>
        </w:rPr>
        <w:t xml:space="preserve"> </w:t>
      </w:r>
      <w:r>
        <w:rPr>
          <w:rFonts w:cs="Times New Roman"/>
          <w:spacing w:val="18"/>
        </w:rPr>
        <w:t>如储</w:t>
      </w:r>
      <w:r>
        <w:rPr>
          <w:rFonts w:cs="Times New Roman"/>
        </w:rPr>
        <w:t>罐</w:t>
      </w:r>
      <w:r>
        <w:rPr>
          <w:rFonts w:cs="Times New Roman"/>
          <w:spacing w:val="-99"/>
        </w:rPr>
        <w:t xml:space="preserve"> </w:t>
      </w:r>
      <w:r>
        <w:rPr>
          <w:rFonts w:cs="Times New Roman"/>
        </w:rPr>
        <w:t>的</w:t>
      </w:r>
      <w:r>
        <w:rPr>
          <w:rFonts w:cs="Times New Roman"/>
          <w:spacing w:val="-99"/>
        </w:rPr>
        <w:t xml:space="preserve"> </w:t>
      </w:r>
      <w:r>
        <w:rPr>
          <w:rFonts w:cs="Times New Roman"/>
          <w:spacing w:val="18"/>
        </w:rPr>
        <w:t>冷凝</w:t>
      </w:r>
      <w:r>
        <w:rPr>
          <w:rFonts w:cs="Times New Roman"/>
        </w:rPr>
        <w:t>器</w:t>
      </w:r>
      <w:r>
        <w:rPr>
          <w:rFonts w:cs="Times New Roman"/>
          <w:spacing w:val="-99"/>
        </w:rPr>
        <w:t xml:space="preserve"> </w:t>
      </w:r>
      <w:r>
        <w:rPr>
          <w:rFonts w:cs="Times New Roman"/>
          <w:spacing w:val="18"/>
        </w:rPr>
        <w:t>温</w:t>
      </w:r>
      <w:r>
        <w:rPr>
          <w:rFonts w:cs="Times New Roman"/>
        </w:rPr>
        <w:t>度</w:t>
      </w:r>
      <w:r>
        <w:rPr>
          <w:rFonts w:cs="Times New Roman"/>
          <w:spacing w:val="-1"/>
        </w:rPr>
        <w:t>等</w:t>
      </w:r>
      <w:r>
        <w:rPr>
          <w:rFonts w:cs="Times New Roman"/>
        </w:rPr>
        <w:t>）。标准充分考虑了</w:t>
      </w:r>
      <w:r>
        <w:rPr>
          <w:rFonts w:cs="Times New Roman"/>
          <w:spacing w:val="-60"/>
        </w:rPr>
        <w:t xml:space="preserve"> </w:t>
      </w:r>
      <w:r>
        <w:rPr>
          <w:rFonts w:cs="Times New Roman"/>
        </w:rPr>
        <w:t>MACT</w:t>
      </w:r>
      <w:r>
        <w:rPr>
          <w:rFonts w:cs="Times New Roman"/>
          <w:spacing w:val="-60"/>
        </w:rPr>
        <w:t xml:space="preserve"> </w:t>
      </w:r>
      <w:r>
        <w:rPr>
          <w:rFonts w:cs="Times New Roman"/>
        </w:rPr>
        <w:t>的原则，按照底线的要求（即技术可行性）进行标准的设置。</w:t>
      </w:r>
    </w:p>
    <w:p>
      <w:pPr>
        <w:pStyle w:val="68"/>
        <w:rPr>
          <w:rFonts w:cs="Times New Roman"/>
        </w:rPr>
      </w:pPr>
      <w:r>
        <w:rPr>
          <w:rFonts w:cs="Times New Roman"/>
        </w:rPr>
        <w:t>针对区域性（小源）Area sources:即那些排放每年小于</w:t>
      </w:r>
      <w:r>
        <w:rPr>
          <w:rFonts w:cs="Times New Roman"/>
          <w:spacing w:val="-48"/>
        </w:rPr>
        <w:t xml:space="preserve"> </w:t>
      </w:r>
      <w:r>
        <w:rPr>
          <w:rFonts w:cs="Times New Roman"/>
        </w:rPr>
        <w:t>10</w:t>
      </w:r>
      <w:r>
        <w:rPr>
          <w:rFonts w:cs="Times New Roman"/>
          <w:spacing w:val="-48"/>
        </w:rPr>
        <w:t xml:space="preserve"> </w:t>
      </w:r>
      <w:r>
        <w:rPr>
          <w:rFonts w:cs="Times New Roman"/>
        </w:rPr>
        <w:t>吨的</w:t>
      </w:r>
      <w:r>
        <w:rPr>
          <w:rFonts w:cs="Times New Roman"/>
          <w:spacing w:val="2"/>
        </w:rPr>
        <w:t>单</w:t>
      </w:r>
      <w:r>
        <w:rPr>
          <w:rFonts w:cs="Times New Roman"/>
        </w:rPr>
        <w:t>个有害空气污染</w:t>
      </w:r>
      <w:r>
        <w:rPr>
          <w:rFonts w:cs="Times New Roman"/>
          <w:spacing w:val="-1"/>
        </w:rPr>
        <w:t>物</w:t>
      </w:r>
      <w:r>
        <w:rPr>
          <w:rFonts w:cs="Times New Roman"/>
        </w:rPr>
        <w:t>（HAPs）或每年小于</w:t>
      </w:r>
      <w:r>
        <w:rPr>
          <w:rFonts w:cs="Times New Roman"/>
          <w:spacing w:val="-48"/>
        </w:rPr>
        <w:t xml:space="preserve"> </w:t>
      </w:r>
      <w:r>
        <w:rPr>
          <w:rFonts w:cs="Times New Roman"/>
        </w:rPr>
        <w:t>25</w:t>
      </w:r>
      <w:r>
        <w:rPr>
          <w:rFonts w:cs="Times New Roman"/>
          <w:spacing w:val="-48"/>
        </w:rPr>
        <w:t xml:space="preserve"> </w:t>
      </w:r>
      <w:r>
        <w:rPr>
          <w:rFonts w:cs="Times New Roman"/>
        </w:rPr>
        <w:t>吨的混</w:t>
      </w:r>
      <w:r>
        <w:rPr>
          <w:rFonts w:cs="Times New Roman"/>
          <w:spacing w:val="2"/>
        </w:rPr>
        <w:t>合</w:t>
      </w:r>
      <w:r>
        <w:rPr>
          <w:rFonts w:cs="Times New Roman"/>
        </w:rPr>
        <w:t>源污染物有害空气污</w:t>
      </w:r>
      <w:r>
        <w:rPr>
          <w:rFonts w:cs="Times New Roman"/>
          <w:spacing w:val="9"/>
        </w:rPr>
        <w:t>染源，这是</w:t>
      </w:r>
      <w:r>
        <w:rPr>
          <w:rFonts w:cs="Times New Roman"/>
        </w:rPr>
        <w:t>自2006</w:t>
      </w:r>
      <w:r>
        <w:rPr>
          <w:rFonts w:cs="Times New Roman"/>
          <w:spacing w:val="9"/>
        </w:rPr>
        <w:t>年起陆续颁布的</w:t>
      </w:r>
      <w:r>
        <w:rPr>
          <w:rFonts w:cs="Times New Roman"/>
          <w:spacing w:val="7"/>
        </w:rPr>
        <w:t>一系</w:t>
      </w:r>
      <w:r>
        <w:rPr>
          <w:rFonts w:cs="Times New Roman"/>
          <w:spacing w:val="9"/>
        </w:rPr>
        <w:t>列标准，是基</w:t>
      </w:r>
      <w:r>
        <w:rPr>
          <w:rFonts w:cs="Times New Roman"/>
        </w:rPr>
        <w:t>于GAC</w:t>
      </w:r>
      <w:r>
        <w:rPr>
          <w:rFonts w:cs="Times New Roman"/>
          <w:spacing w:val="7"/>
        </w:rPr>
        <w:t>T</w:t>
      </w:r>
      <w:r>
        <w:rPr>
          <w:rFonts w:cs="Times New Roman"/>
          <w:spacing w:val="9"/>
        </w:rPr>
        <w:t>（一般可得技</w:t>
      </w:r>
      <w:r>
        <w:rPr>
          <w:rFonts w:cs="Times New Roman"/>
          <w:spacing w:val="4"/>
        </w:rPr>
        <w:t>术）并考虑经济因素</w:t>
      </w:r>
      <w:r>
        <w:rPr>
          <w:rFonts w:cs="Times New Roman"/>
          <w:spacing w:val="2"/>
        </w:rPr>
        <w:t>而</w:t>
      </w:r>
      <w:r>
        <w:rPr>
          <w:rFonts w:cs="Times New Roman"/>
          <w:spacing w:val="4"/>
        </w:rPr>
        <w:t>制定的技术要求，重</w:t>
      </w:r>
      <w:r>
        <w:rPr>
          <w:rFonts w:cs="Times New Roman"/>
          <w:spacing w:val="2"/>
        </w:rPr>
        <w:t>点</w:t>
      </w:r>
      <w:r>
        <w:rPr>
          <w:rFonts w:cs="Times New Roman"/>
          <w:spacing w:val="4"/>
        </w:rPr>
        <w:t>围绕过程控制技术要</w:t>
      </w:r>
      <w:r>
        <w:rPr>
          <w:rFonts w:cs="Times New Roman"/>
          <w:spacing w:val="2"/>
        </w:rPr>
        <w:t>求</w:t>
      </w:r>
      <w:r>
        <w:rPr>
          <w:rFonts w:cs="Times New Roman"/>
          <w:spacing w:val="4"/>
        </w:rPr>
        <w:t>制定</w:t>
      </w:r>
      <w:r>
        <w:rPr>
          <w:rFonts w:cs="Times New Roman"/>
          <w:spacing w:val="2"/>
        </w:rPr>
        <w:t>。</w:t>
      </w:r>
      <w:r>
        <w:rPr>
          <w:rFonts w:cs="Times New Roman"/>
        </w:rPr>
        <w:t>目前关于区域性小源的控制标准涵盖了</w:t>
      </w:r>
      <w:r>
        <w:rPr>
          <w:rFonts w:cs="Times New Roman"/>
          <w:spacing w:val="-48"/>
        </w:rPr>
        <w:t xml:space="preserve"> </w:t>
      </w:r>
      <w:r>
        <w:rPr>
          <w:rFonts w:cs="Times New Roman"/>
        </w:rPr>
        <w:t>26</w:t>
      </w:r>
      <w:r>
        <w:rPr>
          <w:rFonts w:cs="Times New Roman"/>
          <w:spacing w:val="-48"/>
        </w:rPr>
        <w:t xml:space="preserve"> </w:t>
      </w:r>
      <w:r>
        <w:rPr>
          <w:rFonts w:cs="Times New Roman"/>
        </w:rPr>
        <w:t>个</w:t>
      </w:r>
      <w:r>
        <w:rPr>
          <w:rFonts w:cs="Times New Roman"/>
          <w:spacing w:val="2"/>
        </w:rPr>
        <w:t>行</w:t>
      </w:r>
      <w:r>
        <w:rPr>
          <w:rFonts w:cs="Times New Roman"/>
        </w:rPr>
        <w:t>业。包括木材防腐、二次有色金属</w:t>
      </w:r>
      <w:r>
        <w:rPr>
          <w:rFonts w:cs="Times New Roman"/>
          <w:spacing w:val="12"/>
        </w:rPr>
        <w:t>冶炼、二次铜冶炼、有色金属初级冶炼、初级铜加工、聚氯乙烯和共聚物加</w:t>
      </w:r>
      <w:r>
        <w:rPr>
          <w:rFonts w:cs="Times New Roman"/>
        </w:rPr>
        <w:t>工、电镀和抛光作业等。以涂料等为例，2009</w:t>
      </w:r>
      <w:r>
        <w:rPr>
          <w:rFonts w:cs="Times New Roman"/>
          <w:spacing w:val="-43"/>
        </w:rPr>
        <w:t xml:space="preserve"> </w:t>
      </w:r>
      <w:r>
        <w:rPr>
          <w:rFonts w:cs="Times New Roman"/>
        </w:rPr>
        <w:t>年</w:t>
      </w:r>
      <w:r>
        <w:rPr>
          <w:rFonts w:cs="Times New Roman"/>
          <w:spacing w:val="-44"/>
        </w:rPr>
        <w:t xml:space="preserve"> </w:t>
      </w:r>
      <w:r>
        <w:rPr>
          <w:rFonts w:cs="Times New Roman"/>
        </w:rPr>
        <w:t>6</w:t>
      </w:r>
      <w:r>
        <w:rPr>
          <w:rFonts w:cs="Times New Roman"/>
          <w:spacing w:val="-44"/>
        </w:rPr>
        <w:t xml:space="preserve"> </w:t>
      </w:r>
      <w:r>
        <w:rPr>
          <w:rFonts w:cs="Times New Roman"/>
        </w:rPr>
        <w:t>月</w:t>
      </w:r>
      <w:r>
        <w:rPr>
          <w:rFonts w:cs="Times New Roman"/>
          <w:spacing w:val="-44"/>
        </w:rPr>
        <w:t xml:space="preserve"> </w:t>
      </w:r>
      <w:r>
        <w:rPr>
          <w:rFonts w:cs="Times New Roman"/>
        </w:rPr>
        <w:t>1</w:t>
      </w:r>
      <w:r>
        <w:rPr>
          <w:rFonts w:cs="Times New Roman"/>
          <w:spacing w:val="-44"/>
        </w:rPr>
        <w:t xml:space="preserve"> </w:t>
      </w:r>
      <w:r>
        <w:rPr>
          <w:rFonts w:cs="Times New Roman"/>
        </w:rPr>
        <w:t>日美国环</w:t>
      </w:r>
      <w:r>
        <w:rPr>
          <w:rFonts w:cs="Times New Roman"/>
          <w:spacing w:val="2"/>
        </w:rPr>
        <w:t>保</w:t>
      </w:r>
      <w:r>
        <w:rPr>
          <w:rFonts w:cs="Times New Roman"/>
        </w:rPr>
        <w:t>署提出了关于涂料及其类似产品的小源的控制标准，2009年12月3日正式</w:t>
      </w:r>
      <w:r>
        <w:rPr>
          <w:rFonts w:cs="Times New Roman"/>
          <w:spacing w:val="2"/>
        </w:rPr>
        <w:t>颁</w:t>
      </w:r>
      <w:r>
        <w:rPr>
          <w:rFonts w:cs="Times New Roman"/>
        </w:rPr>
        <w:t>布。该标准</w:t>
      </w:r>
      <w:r>
        <w:rPr>
          <w:rFonts w:cs="Times New Roman"/>
          <w:spacing w:val="4"/>
        </w:rPr>
        <w:t>包括了涂料产品、油</w:t>
      </w:r>
      <w:r>
        <w:rPr>
          <w:rFonts w:cs="Times New Roman"/>
          <w:spacing w:val="2"/>
        </w:rPr>
        <w:t>墨</w:t>
      </w:r>
      <w:r>
        <w:rPr>
          <w:rFonts w:cs="Times New Roman"/>
          <w:spacing w:val="4"/>
        </w:rPr>
        <w:t>产品、墨水产品、胶</w:t>
      </w:r>
      <w:r>
        <w:rPr>
          <w:rFonts w:cs="Times New Roman"/>
          <w:spacing w:val="2"/>
        </w:rPr>
        <w:t>粘</w:t>
      </w:r>
      <w:r>
        <w:rPr>
          <w:rFonts w:cs="Times New Roman"/>
          <w:spacing w:val="4"/>
        </w:rPr>
        <w:t>剂以及密封用</w:t>
      </w:r>
      <w:r>
        <w:rPr>
          <w:rFonts w:cs="Times New Roman"/>
          <w:spacing w:val="5"/>
        </w:rPr>
        <w:t>填</w:t>
      </w:r>
      <w:r>
        <w:rPr>
          <w:rFonts w:cs="Times New Roman"/>
          <w:spacing w:val="4"/>
        </w:rPr>
        <w:t>充物</w:t>
      </w:r>
      <w:r>
        <w:rPr>
          <w:rFonts w:cs="Times New Roman"/>
          <w:spacing w:val="2"/>
        </w:rPr>
        <w:t>等</w:t>
      </w:r>
      <w:r>
        <w:rPr>
          <w:rFonts w:cs="Times New Roman"/>
          <w:spacing w:val="4"/>
        </w:rPr>
        <w:t>生产</w:t>
      </w:r>
      <w:r>
        <w:rPr>
          <w:rFonts w:cs="Times New Roman"/>
          <w:spacing w:val="2"/>
        </w:rPr>
        <w:t>过</w:t>
      </w:r>
      <w:r>
        <w:rPr>
          <w:rFonts w:cs="Times New Roman"/>
        </w:rPr>
        <w:t>程中的控制要求。针对小源的主体思路是强化过程控制。</w:t>
      </w:r>
    </w:p>
    <w:p>
      <w:pPr>
        <w:pStyle w:val="68"/>
        <w:rPr>
          <w:rFonts w:cs="Times New Roman"/>
        </w:rPr>
      </w:pPr>
      <w:r>
        <w:rPr>
          <w:rFonts w:hint="eastAsia" w:ascii="宋体" w:hAnsi="宋体"/>
        </w:rPr>
        <w:t>①</w:t>
      </w:r>
      <w:r>
        <w:rPr>
          <w:rFonts w:cs="Times New Roman"/>
        </w:rPr>
        <w:t xml:space="preserve"> </w:t>
      </w:r>
      <w:r>
        <w:rPr>
          <w:rFonts w:cs="Times New Roman"/>
          <w:spacing w:val="4"/>
        </w:rPr>
        <w:t>控制挥发</w:t>
      </w:r>
      <w:r>
        <w:rPr>
          <w:rFonts w:cs="Times New Roman"/>
        </w:rPr>
        <w:t>性HAP</w:t>
      </w:r>
      <w:r>
        <w:rPr>
          <w:rFonts w:cs="Times New Roman"/>
          <w:spacing w:val="4"/>
        </w:rPr>
        <w:t>s：所有使用或者贮存苯、二氯甲烷的设备，需要加盖</w:t>
      </w:r>
      <w:r>
        <w:rPr>
          <w:rFonts w:cs="Times New Roman"/>
        </w:rPr>
        <w:t>子或其</w:t>
      </w:r>
      <w:r>
        <w:rPr>
          <w:rFonts w:cs="Times New Roman"/>
          <w:spacing w:val="2"/>
        </w:rPr>
        <w:t>他</w:t>
      </w:r>
      <w:r>
        <w:rPr>
          <w:rFonts w:cs="Times New Roman"/>
        </w:rPr>
        <w:t>覆盖</w:t>
      </w:r>
      <w:r>
        <w:rPr>
          <w:rFonts w:cs="Times New Roman"/>
          <w:spacing w:val="2"/>
        </w:rPr>
        <w:t>物</w:t>
      </w:r>
      <w:r>
        <w:rPr>
          <w:rFonts w:cs="Times New Roman"/>
        </w:rPr>
        <w:t>，反</w:t>
      </w:r>
      <w:r>
        <w:rPr>
          <w:rFonts w:cs="Times New Roman"/>
          <w:spacing w:val="2"/>
        </w:rPr>
        <w:t>应</w:t>
      </w:r>
      <w:r>
        <w:rPr>
          <w:rFonts w:cs="Times New Roman"/>
        </w:rPr>
        <w:t>器</w:t>
      </w:r>
      <w:r>
        <w:rPr>
          <w:rFonts w:hint="eastAsia" w:cs="Times New Roman"/>
        </w:rPr>
        <w:t>边缘</w:t>
      </w:r>
      <w:r>
        <w:rPr>
          <w:rFonts w:cs="Times New Roman"/>
          <w:spacing w:val="2"/>
        </w:rPr>
        <w:t>与</w:t>
      </w:r>
      <w:r>
        <w:rPr>
          <w:rFonts w:cs="Times New Roman"/>
        </w:rPr>
        <w:t>盖子</w:t>
      </w:r>
      <w:r>
        <w:rPr>
          <w:rFonts w:cs="Times New Roman"/>
          <w:spacing w:val="2"/>
        </w:rPr>
        <w:t>的</w:t>
      </w:r>
      <w:r>
        <w:rPr>
          <w:rFonts w:cs="Times New Roman"/>
        </w:rPr>
        <w:t>密闭</w:t>
      </w:r>
      <w:r>
        <w:rPr>
          <w:rFonts w:cs="Times New Roman"/>
          <w:spacing w:val="2"/>
        </w:rPr>
        <w:t>率</w:t>
      </w:r>
      <w:r>
        <w:rPr>
          <w:rFonts w:cs="Times New Roman"/>
        </w:rPr>
        <w:t>应该达到9</w:t>
      </w:r>
      <w:r>
        <w:rPr>
          <w:rFonts w:cs="Times New Roman"/>
          <w:spacing w:val="2"/>
        </w:rPr>
        <w:t>0</w:t>
      </w:r>
      <w:r>
        <w:rPr>
          <w:rFonts w:cs="Times New Roman"/>
        </w:rPr>
        <w:t>%以</w:t>
      </w:r>
      <w:r>
        <w:rPr>
          <w:rFonts w:cs="Times New Roman"/>
          <w:spacing w:val="2"/>
        </w:rPr>
        <w:t>上</w:t>
      </w:r>
      <w:r>
        <w:rPr>
          <w:rFonts w:cs="Times New Roman"/>
        </w:rPr>
        <w:t>。</w:t>
      </w:r>
      <w:r>
        <w:rPr>
          <w:rFonts w:cs="Times New Roman"/>
          <w:spacing w:val="2"/>
        </w:rPr>
        <w:t>包</w:t>
      </w:r>
      <w:r>
        <w:rPr>
          <w:rFonts w:cs="Times New Roman"/>
        </w:rPr>
        <w:t>含有1种或多种</w:t>
      </w:r>
      <w:r>
        <w:rPr>
          <w:rFonts w:cs="Times New Roman"/>
          <w:spacing w:val="2"/>
        </w:rPr>
        <w:t>控</w:t>
      </w:r>
      <w:r>
        <w:rPr>
          <w:rFonts w:cs="Times New Roman"/>
        </w:rPr>
        <w:t>制的HAPs</w:t>
      </w:r>
      <w:r>
        <w:rPr>
          <w:rFonts w:cs="Times New Roman"/>
          <w:spacing w:val="2"/>
        </w:rPr>
        <w:t>的</w:t>
      </w:r>
      <w:r>
        <w:rPr>
          <w:rFonts w:cs="Times New Roman"/>
        </w:rPr>
        <w:t>混合反</w:t>
      </w:r>
      <w:r>
        <w:rPr>
          <w:rFonts w:cs="Times New Roman"/>
          <w:spacing w:val="2"/>
        </w:rPr>
        <w:t>应</w:t>
      </w:r>
      <w:r>
        <w:rPr>
          <w:rFonts w:cs="Times New Roman"/>
        </w:rPr>
        <w:t>器除了</w:t>
      </w:r>
      <w:r>
        <w:rPr>
          <w:rFonts w:cs="Times New Roman"/>
          <w:spacing w:val="2"/>
        </w:rPr>
        <w:t>混</w:t>
      </w:r>
      <w:r>
        <w:rPr>
          <w:rFonts w:cs="Times New Roman"/>
        </w:rPr>
        <w:t>合柄</w:t>
      </w:r>
      <w:r>
        <w:rPr>
          <w:rFonts w:cs="Times New Roman"/>
          <w:spacing w:val="2"/>
        </w:rPr>
        <w:t>的</w:t>
      </w:r>
      <w:r>
        <w:rPr>
          <w:rFonts w:cs="Times New Roman"/>
        </w:rPr>
        <w:t>安全</w:t>
      </w:r>
      <w:r>
        <w:rPr>
          <w:rFonts w:cs="Times New Roman"/>
          <w:spacing w:val="2"/>
        </w:rPr>
        <w:t>拆</w:t>
      </w:r>
      <w:r>
        <w:rPr>
          <w:rFonts w:cs="Times New Roman"/>
        </w:rPr>
        <w:t>卸空间，</w:t>
      </w:r>
      <w:r>
        <w:rPr>
          <w:rFonts w:hint="eastAsia" w:cs="Times New Roman"/>
        </w:rPr>
        <w:t>必须安装盖子，</w:t>
      </w:r>
      <w:r>
        <w:rPr>
          <w:rFonts w:cs="Times New Roman"/>
          <w:spacing w:val="4"/>
        </w:rPr>
        <w:t>除了采样、</w:t>
      </w:r>
      <w:r>
        <w:rPr>
          <w:rFonts w:cs="Times New Roman"/>
          <w:spacing w:val="2"/>
        </w:rPr>
        <w:t>投</w:t>
      </w:r>
      <w:r>
        <w:rPr>
          <w:rFonts w:cs="Times New Roman"/>
          <w:spacing w:val="4"/>
        </w:rPr>
        <w:t>料、质控、移除物料</w:t>
      </w:r>
      <w:r>
        <w:rPr>
          <w:rFonts w:cs="Times New Roman"/>
          <w:spacing w:val="2"/>
        </w:rPr>
        <w:t>或</w:t>
      </w:r>
      <w:r>
        <w:rPr>
          <w:rFonts w:cs="Times New Roman"/>
          <w:spacing w:val="4"/>
        </w:rPr>
        <w:t>反应</w:t>
      </w:r>
      <w:r>
        <w:rPr>
          <w:rFonts w:cs="Times New Roman"/>
          <w:spacing w:val="2"/>
        </w:rPr>
        <w:t>器</w:t>
      </w:r>
      <w:r>
        <w:rPr>
          <w:rFonts w:cs="Times New Roman"/>
        </w:rPr>
        <w:t>空</w:t>
      </w:r>
      <w:r>
        <w:rPr>
          <w:rFonts w:cs="Times New Roman"/>
          <w:spacing w:val="4"/>
        </w:rPr>
        <w:t>的时候</w:t>
      </w:r>
      <w:r>
        <w:rPr>
          <w:rFonts w:hint="eastAsia" w:cs="Times New Roman"/>
          <w:spacing w:val="4"/>
        </w:rPr>
        <w:t>，</w:t>
      </w:r>
      <w:r>
        <w:rPr>
          <w:rFonts w:cs="Times New Roman"/>
        </w:rPr>
        <w:t>运</w:t>
      </w:r>
      <w:r>
        <w:rPr>
          <w:rFonts w:cs="Times New Roman"/>
          <w:spacing w:val="4"/>
        </w:rPr>
        <w:t>行期间需要保持</w:t>
      </w:r>
      <w:r>
        <w:rPr>
          <w:rFonts w:cs="Times New Roman"/>
          <w:spacing w:val="2"/>
        </w:rPr>
        <w:t>覆</w:t>
      </w:r>
      <w:r>
        <w:rPr>
          <w:rFonts w:cs="Times New Roman"/>
          <w:spacing w:val="4"/>
        </w:rPr>
        <w:t>盖状态。反应器的溢</w:t>
      </w:r>
      <w:r>
        <w:rPr>
          <w:rFonts w:cs="Times New Roman"/>
          <w:spacing w:val="2"/>
        </w:rPr>
        <w:t>出</w:t>
      </w:r>
      <w:r>
        <w:rPr>
          <w:rFonts w:cs="Times New Roman"/>
          <w:spacing w:val="4"/>
        </w:rPr>
        <w:t>物以及擦拭物必须放</w:t>
      </w:r>
      <w:r>
        <w:rPr>
          <w:rFonts w:cs="Times New Roman"/>
          <w:spacing w:val="2"/>
        </w:rPr>
        <w:t>在</w:t>
      </w:r>
      <w:r>
        <w:rPr>
          <w:rFonts w:cs="Times New Roman"/>
          <w:spacing w:val="4"/>
        </w:rPr>
        <w:t>密闭容器内，该密闭</w:t>
      </w:r>
      <w:r>
        <w:rPr>
          <w:rFonts w:cs="Times New Roman"/>
          <w:spacing w:val="2"/>
        </w:rPr>
        <w:t>容</w:t>
      </w:r>
      <w:r>
        <w:rPr>
          <w:rFonts w:cs="Times New Roman"/>
          <w:spacing w:val="4"/>
        </w:rPr>
        <w:t>器需</w:t>
      </w:r>
      <w:r>
        <w:rPr>
          <w:rFonts w:cs="Times New Roman"/>
          <w:spacing w:val="2"/>
        </w:rPr>
        <w:t>要</w:t>
      </w:r>
      <w:r>
        <w:rPr>
          <w:rFonts w:cs="Times New Roman"/>
        </w:rPr>
        <w:t>确保有压力释放装置但不允许内部物料流出。</w:t>
      </w:r>
    </w:p>
    <w:p>
      <w:pPr>
        <w:pStyle w:val="68"/>
        <w:rPr>
          <w:rFonts w:cs="Times New Roman"/>
        </w:rPr>
      </w:pPr>
      <w:r>
        <w:rPr>
          <w:rFonts w:cs="Times New Roman"/>
        </w:rPr>
        <w:t>（3）技术规范</w:t>
      </w:r>
    </w:p>
    <w:p>
      <w:pPr>
        <w:pStyle w:val="68"/>
        <w:rPr>
          <w:rFonts w:cs="Times New Roman"/>
        </w:rPr>
      </w:pPr>
      <w:r>
        <w:rPr>
          <w:rFonts w:cs="Times New Roman"/>
        </w:rPr>
        <w:t>美国也针对VOCs制定了详细的技术规范，如</w:t>
      </w:r>
      <w:r>
        <w:rPr>
          <w:rFonts w:cs="Times New Roman"/>
        </w:rPr>
        <w:fldChar w:fldCharType="begin"/>
      </w:r>
      <w:r>
        <w:rPr>
          <w:rFonts w:cs="Times New Roman"/>
        </w:rPr>
        <w:instrText xml:space="preserve"> REF _Ref26348395 \h  \* MERGEFORMAT </w:instrText>
      </w:r>
      <w:r>
        <w:rPr>
          <w:rFonts w:cs="Times New Roman"/>
        </w:rPr>
        <w:fldChar w:fldCharType="separate"/>
      </w:r>
      <w:r>
        <w:rPr>
          <w:rFonts w:cs="Times New Roman"/>
        </w:rPr>
        <w:t>表 5</w:t>
      </w:r>
      <w:r>
        <w:rPr>
          <w:rFonts w:cs="Times New Roman"/>
        </w:rPr>
        <w:noBreakHyphen/>
      </w:r>
      <w:r>
        <w:rPr>
          <w:rFonts w:cs="Times New Roman"/>
        </w:rPr>
        <w:fldChar w:fldCharType="end"/>
      </w:r>
      <w:r>
        <w:rPr>
          <w:rFonts w:cs="Times New Roman"/>
        </w:rPr>
        <w:t>7所示。</w:t>
      </w:r>
    </w:p>
    <w:p>
      <w:pPr>
        <w:pStyle w:val="13"/>
        <w:spacing w:before="156" w:beforeLines="50" w:after="156" w:afterLines="50"/>
      </w:pPr>
      <w:bookmarkStart w:id="126" w:name="_Ref26348395"/>
      <w:bookmarkStart w:id="127" w:name="_Ref533156191"/>
      <w:r>
        <w:t xml:space="preserve">表 </w:t>
      </w:r>
      <w:r>
        <w:fldChar w:fldCharType="begin"/>
      </w:r>
      <w:r>
        <w:instrText xml:space="preserve"> STYLEREF 1 \s </w:instrText>
      </w:r>
      <w:r>
        <w:fldChar w:fldCharType="separate"/>
      </w:r>
      <w:r>
        <w:t>5</w:t>
      </w:r>
      <w:r>
        <w:fldChar w:fldCharType="end"/>
      </w:r>
      <w:r>
        <w:noBreakHyphen/>
      </w:r>
      <w:bookmarkEnd w:id="126"/>
      <w:r>
        <w:t>7 美国的VOCs控制技术规范</w:t>
      </w:r>
      <w:bookmarkEnd w:id="127"/>
    </w:p>
    <w:tbl>
      <w:tblPr>
        <w:tblStyle w:val="34"/>
        <w:tblW w:w="5000" w:type="pct"/>
        <w:jc w:val="center"/>
        <w:tblLayout w:type="autofit"/>
        <w:tblCellMar>
          <w:top w:w="0" w:type="dxa"/>
          <w:left w:w="0" w:type="dxa"/>
          <w:bottom w:w="0" w:type="dxa"/>
          <w:right w:w="0" w:type="dxa"/>
        </w:tblCellMar>
      </w:tblPr>
      <w:tblGrid>
        <w:gridCol w:w="10"/>
        <w:gridCol w:w="2029"/>
        <w:gridCol w:w="10"/>
        <w:gridCol w:w="6257"/>
        <w:gridCol w:w="10"/>
      </w:tblGrid>
      <w:tr>
        <w:trPr>
          <w:gridBefore w:val="1"/>
          <w:wBefore w:w="6" w:type="pct"/>
          <w:trHeight w:val="283" w:hRule="exact"/>
          <w:tblHeader/>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2" w:lineRule="exact"/>
              <w:jc w:val="left"/>
              <w:rPr>
                <w:rFonts w:ascii="Times New Roman" w:hAnsi="Times New Roman"/>
                <w:b/>
                <w:kern w:val="0"/>
                <w:sz w:val="18"/>
                <w:szCs w:val="18"/>
              </w:rPr>
            </w:pPr>
            <w:r>
              <w:rPr>
                <w:rFonts w:ascii="Times New Roman" w:hAnsi="Times New Roman"/>
                <w:b/>
                <w:kern w:val="0"/>
                <w:sz w:val="18"/>
                <w:szCs w:val="18"/>
              </w:rPr>
              <w:t>编号</w:t>
            </w:r>
            <w:r>
              <w:rPr>
                <w:rFonts w:ascii="Times New Roman" w:hAnsi="Times New Roman"/>
                <w:b/>
                <w:spacing w:val="-3"/>
                <w:kern w:val="0"/>
                <w:sz w:val="18"/>
                <w:szCs w:val="18"/>
              </w:rPr>
              <w:t>及</w:t>
            </w:r>
            <w:r>
              <w:rPr>
                <w:rFonts w:ascii="Times New Roman" w:hAnsi="Times New Roman"/>
                <w:b/>
                <w:kern w:val="0"/>
                <w:sz w:val="18"/>
                <w:szCs w:val="18"/>
              </w:rPr>
              <w:t>发</w:t>
            </w:r>
            <w:r>
              <w:rPr>
                <w:rFonts w:ascii="Times New Roman" w:hAnsi="Times New Roman"/>
                <w:b/>
                <w:spacing w:val="-3"/>
                <w:kern w:val="0"/>
                <w:sz w:val="18"/>
                <w:szCs w:val="18"/>
              </w:rPr>
              <w:t>布</w:t>
            </w:r>
            <w:r>
              <w:rPr>
                <w:rFonts w:ascii="Times New Roman" w:hAnsi="Times New Roman"/>
                <w:b/>
                <w:kern w:val="0"/>
                <w:sz w:val="18"/>
                <w:szCs w:val="18"/>
              </w:rPr>
              <w:t>时间</w:t>
            </w:r>
          </w:p>
        </w:tc>
        <w:tc>
          <w:tcPr>
            <w:tcW w:w="3768" w:type="pct"/>
            <w:gridSpan w:val="2"/>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2" w:lineRule="exact"/>
              <w:jc w:val="center"/>
              <w:rPr>
                <w:rFonts w:ascii="Times New Roman" w:hAnsi="Times New Roman"/>
                <w:b/>
                <w:kern w:val="0"/>
                <w:sz w:val="18"/>
                <w:szCs w:val="18"/>
              </w:rPr>
            </w:pPr>
            <w:r>
              <w:rPr>
                <w:rFonts w:ascii="Times New Roman" w:hAnsi="Times New Roman"/>
                <w:b/>
                <w:kern w:val="0"/>
                <w:sz w:val="18"/>
                <w:szCs w:val="18"/>
              </w:rPr>
              <w:t>规范</w:t>
            </w:r>
            <w:r>
              <w:rPr>
                <w:rFonts w:ascii="Times New Roman" w:hAnsi="Times New Roman"/>
                <w:b/>
                <w:spacing w:val="-3"/>
                <w:kern w:val="0"/>
                <w:sz w:val="18"/>
                <w:szCs w:val="18"/>
              </w:rPr>
              <w:t>名</w:t>
            </w:r>
            <w:r>
              <w:rPr>
                <w:rFonts w:ascii="Times New Roman" w:hAnsi="Times New Roman"/>
                <w:b/>
                <w:kern w:val="0"/>
                <w:sz w:val="18"/>
                <w:szCs w:val="18"/>
              </w:rPr>
              <w:t>称</w:t>
            </w:r>
          </w:p>
        </w:tc>
      </w:tr>
      <w:tr>
        <w:tblPrEx>
          <w:tblCellMar>
            <w:top w:w="0" w:type="dxa"/>
            <w:left w:w="0" w:type="dxa"/>
            <w:bottom w:w="0" w:type="dxa"/>
            <w:right w:w="0" w:type="dxa"/>
          </w:tblCellMar>
        </w:tblPrEx>
        <w:trPr>
          <w:gridBefore w:val="1"/>
          <w:wBefore w:w="6" w:type="pct"/>
          <w:trHeight w:val="283" w:hRule="exact"/>
          <w:jc w:val="center"/>
        </w:trPr>
        <w:tc>
          <w:tcPr>
            <w:tcW w:w="4994" w:type="pct"/>
            <w:gridSpan w:val="4"/>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67" w:lineRule="exact"/>
              <w:jc w:val="center"/>
              <w:rPr>
                <w:rFonts w:ascii="Times New Roman" w:hAnsi="Times New Roman"/>
                <w:kern w:val="0"/>
                <w:sz w:val="18"/>
                <w:szCs w:val="18"/>
              </w:rPr>
            </w:pPr>
            <w:r>
              <w:rPr>
                <w:rFonts w:ascii="Times New Roman" w:hAnsi="Times New Roman"/>
                <w:kern w:val="0"/>
                <w:sz w:val="18"/>
                <w:szCs w:val="18"/>
              </w:rPr>
              <w:t>控制</w:t>
            </w:r>
            <w:r>
              <w:rPr>
                <w:rFonts w:ascii="Times New Roman" w:hAnsi="Times New Roman"/>
                <w:spacing w:val="-3"/>
                <w:kern w:val="0"/>
                <w:sz w:val="18"/>
                <w:szCs w:val="18"/>
              </w:rPr>
              <w:t>技</w:t>
            </w:r>
            <w:r>
              <w:rPr>
                <w:rFonts w:ascii="Times New Roman" w:hAnsi="Times New Roman"/>
                <w:kern w:val="0"/>
                <w:sz w:val="18"/>
                <w:szCs w:val="18"/>
              </w:rPr>
              <w:t>术</w:t>
            </w:r>
            <w:r>
              <w:rPr>
                <w:rFonts w:ascii="Times New Roman" w:hAnsi="Times New Roman"/>
                <w:spacing w:val="-3"/>
                <w:kern w:val="0"/>
                <w:sz w:val="18"/>
                <w:szCs w:val="18"/>
              </w:rPr>
              <w:t>导</w:t>
            </w:r>
            <w:r>
              <w:rPr>
                <w:rFonts w:ascii="Times New Roman" w:hAnsi="Times New Roman"/>
                <w:spacing w:val="-1"/>
                <w:kern w:val="0"/>
                <w:sz w:val="18"/>
                <w:szCs w:val="18"/>
              </w:rPr>
              <w:t>则</w:t>
            </w:r>
            <w:r>
              <w:rPr>
                <w:rFonts w:ascii="Times New Roman" w:hAnsi="Times New Roman"/>
                <w:kern w:val="0"/>
                <w:sz w:val="18"/>
                <w:szCs w:val="18"/>
              </w:rPr>
              <w:t>（C</w:t>
            </w:r>
            <w:r>
              <w:rPr>
                <w:rFonts w:ascii="Times New Roman" w:hAnsi="Times New Roman"/>
                <w:spacing w:val="-10"/>
                <w:kern w:val="0"/>
                <w:sz w:val="18"/>
                <w:szCs w:val="18"/>
              </w:rPr>
              <w:t>T</w:t>
            </w:r>
            <w:r>
              <w:rPr>
                <w:rFonts w:ascii="Times New Roman" w:hAnsi="Times New Roman"/>
                <w:kern w:val="0"/>
                <w:sz w:val="18"/>
                <w:szCs w:val="18"/>
              </w:rPr>
              <w:t>G</w:t>
            </w:r>
            <w:r>
              <w:rPr>
                <w:rFonts w:ascii="Times New Roman" w:hAnsi="Times New Roman"/>
                <w:spacing w:val="-1"/>
                <w:kern w:val="0"/>
                <w:sz w:val="18"/>
                <w:szCs w:val="18"/>
              </w:rPr>
              <w:t>s</w:t>
            </w:r>
            <w:r>
              <w:rPr>
                <w:rFonts w:ascii="Times New Roman" w:hAnsi="Times New Roman"/>
                <w:kern w:val="0"/>
                <w:sz w:val="18"/>
                <w:szCs w:val="18"/>
              </w:rPr>
              <w:t>）</w:t>
            </w:r>
          </w:p>
        </w:tc>
      </w:tr>
      <w:tr>
        <w:tblPrEx>
          <w:tblCellMar>
            <w:top w:w="0" w:type="dxa"/>
            <w:left w:w="0" w:type="dxa"/>
            <w:bottom w:w="0" w:type="dxa"/>
            <w:right w:w="0" w:type="dxa"/>
          </w:tblCellMar>
        </w:tblPrEx>
        <w:trPr>
          <w:gridBefore w:val="1"/>
          <w:wBefore w:w="6" w:type="pct"/>
          <w:trHeight w:val="523"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52" w:lineRule="exact"/>
              <w:jc w:val="left"/>
              <w:rPr>
                <w:rFonts w:ascii="Times New Roman" w:hAnsi="Times New Roman"/>
                <w:kern w:val="0"/>
                <w:sz w:val="18"/>
                <w:szCs w:val="18"/>
              </w:rPr>
            </w:pPr>
            <w:r>
              <w:rPr>
                <w:rFonts w:ascii="Times New Roman" w:hAnsi="Times New Roman"/>
                <w:kern w:val="0"/>
                <w:sz w:val="18"/>
                <w:szCs w:val="18"/>
              </w:rPr>
              <w:t>E</w:t>
            </w:r>
            <w:r>
              <w:rPr>
                <w:rFonts w:ascii="Times New Roman" w:hAnsi="Times New Roman"/>
                <w:spacing w:val="-16"/>
                <w:kern w:val="0"/>
                <w:sz w:val="18"/>
                <w:szCs w:val="18"/>
              </w:rPr>
              <w:t>P</w:t>
            </w:r>
            <w:r>
              <w:rPr>
                <w:rFonts w:ascii="Times New Roman" w:hAnsi="Times New Roman"/>
                <w:spacing w:val="-3"/>
                <w:kern w:val="0"/>
                <w:sz w:val="18"/>
                <w:szCs w:val="18"/>
              </w:rPr>
              <w:t>A</w:t>
            </w:r>
            <w:r>
              <w:rPr>
                <w:rFonts w:ascii="Times New Roman" w:hAnsi="Times New Roman"/>
                <w:kern w:val="0"/>
                <w:sz w:val="18"/>
                <w:szCs w:val="18"/>
              </w:rPr>
              <w:t>-</w:t>
            </w:r>
            <w:r>
              <w:rPr>
                <w:rFonts w:ascii="Times New Roman" w:hAnsi="Times New Roman"/>
                <w:spacing w:val="-2"/>
                <w:kern w:val="0"/>
                <w:sz w:val="18"/>
                <w:szCs w:val="18"/>
              </w:rPr>
              <w:t>45</w:t>
            </w:r>
            <w:r>
              <w:rPr>
                <w:rFonts w:ascii="Times New Roman" w:hAnsi="Times New Roman"/>
                <w:kern w:val="0"/>
                <w:sz w:val="18"/>
                <w:szCs w:val="18"/>
              </w:rPr>
              <w:t>0</w:t>
            </w:r>
            <w:r>
              <w:rPr>
                <w:rFonts w:ascii="Times New Roman" w:hAnsi="Times New Roman"/>
                <w:spacing w:val="-3"/>
                <w:kern w:val="0"/>
                <w:sz w:val="18"/>
                <w:szCs w:val="18"/>
              </w:rPr>
              <w:t>/</w:t>
            </w:r>
            <w:r>
              <w:rPr>
                <w:rFonts w:ascii="Times New Roman" w:hAnsi="Times New Roman"/>
                <w:kern w:val="0"/>
                <w:sz w:val="18"/>
                <w:szCs w:val="18"/>
              </w:rPr>
              <w:t>R-</w:t>
            </w:r>
            <w:r>
              <w:rPr>
                <w:rFonts w:ascii="Times New Roman" w:hAnsi="Times New Roman"/>
                <w:spacing w:val="-2"/>
                <w:kern w:val="0"/>
                <w:sz w:val="18"/>
                <w:szCs w:val="18"/>
              </w:rPr>
              <w:t>7</w:t>
            </w:r>
            <w:r>
              <w:rPr>
                <w:rFonts w:ascii="Times New Roman" w:hAnsi="Times New Roman"/>
                <w:spacing w:val="1"/>
                <w:kern w:val="0"/>
                <w:sz w:val="18"/>
                <w:szCs w:val="18"/>
              </w:rPr>
              <w:t>5</w:t>
            </w:r>
            <w:r>
              <w:rPr>
                <w:rFonts w:ascii="Times New Roman" w:hAnsi="Times New Roman"/>
                <w:spacing w:val="-3"/>
                <w:kern w:val="0"/>
                <w:sz w:val="18"/>
                <w:szCs w:val="18"/>
              </w:rPr>
              <w:t>-</w:t>
            </w:r>
            <w:r>
              <w:rPr>
                <w:rFonts w:ascii="Times New Roman" w:hAnsi="Times New Roman"/>
                <w:kern w:val="0"/>
                <w:sz w:val="18"/>
                <w:szCs w:val="18"/>
              </w:rPr>
              <w:t>1</w:t>
            </w:r>
            <w:r>
              <w:rPr>
                <w:rFonts w:ascii="Times New Roman" w:hAnsi="Times New Roman"/>
                <w:spacing w:val="-4"/>
                <w:kern w:val="0"/>
                <w:sz w:val="18"/>
                <w:szCs w:val="18"/>
              </w:rPr>
              <w:t>0</w:t>
            </w:r>
            <w:r>
              <w:rPr>
                <w:rFonts w:ascii="Times New Roman" w:hAnsi="Times New Roman"/>
                <w:kern w:val="0"/>
                <w:sz w:val="18"/>
                <w:szCs w:val="18"/>
              </w:rPr>
              <w:t>2</w:t>
            </w:r>
          </w:p>
          <w:p>
            <w:pPr>
              <w:kinsoku w:val="0"/>
              <w:overflowPunct w:val="0"/>
              <w:autoSpaceDE w:val="0"/>
              <w:autoSpaceDN w:val="0"/>
              <w:adjustRightInd w:val="0"/>
              <w:spacing w:line="252" w:lineRule="exact"/>
              <w:jc w:val="left"/>
              <w:rPr>
                <w:rFonts w:ascii="Times New Roman" w:hAnsi="Times New Roman"/>
                <w:kern w:val="0"/>
                <w:sz w:val="18"/>
                <w:szCs w:val="18"/>
              </w:rPr>
            </w:pPr>
            <w:r>
              <w:rPr>
                <w:rFonts w:ascii="Times New Roman" w:hAnsi="Times New Roman"/>
                <w:kern w:val="0"/>
                <w:sz w:val="18"/>
                <w:szCs w:val="18"/>
              </w:rPr>
              <w:t>1</w:t>
            </w:r>
            <w:r>
              <w:rPr>
                <w:rFonts w:ascii="Times New Roman" w:hAnsi="Times New Roman"/>
                <w:spacing w:val="-7"/>
                <w:kern w:val="0"/>
                <w:sz w:val="18"/>
                <w:szCs w:val="18"/>
              </w:rPr>
              <w:t>9</w:t>
            </w:r>
            <w:r>
              <w:rPr>
                <w:rFonts w:ascii="Times New Roman" w:hAnsi="Times New Roman"/>
                <w:kern w:val="0"/>
                <w:sz w:val="18"/>
                <w:szCs w:val="18"/>
              </w:rPr>
              <w:t>7</w:t>
            </w:r>
            <w:r>
              <w:rPr>
                <w:rFonts w:ascii="Times New Roman" w:hAnsi="Times New Roman"/>
                <w:spacing w:val="-31"/>
                <w:kern w:val="0"/>
                <w:sz w:val="18"/>
                <w:szCs w:val="18"/>
              </w:rPr>
              <w:t>5</w:t>
            </w:r>
            <w:r>
              <w:rPr>
                <w:rFonts w:ascii="Times New Roman" w:hAnsi="Times New Roman"/>
                <w:spacing w:val="-20"/>
                <w:kern w:val="0"/>
                <w:sz w:val="18"/>
                <w:szCs w:val="18"/>
              </w:rPr>
              <w:t>/</w:t>
            </w:r>
            <w:r>
              <w:rPr>
                <w:rFonts w:ascii="Times New Roman" w:hAnsi="Times New Roman"/>
                <w:spacing w:val="-2"/>
                <w:kern w:val="0"/>
                <w:sz w:val="18"/>
                <w:szCs w:val="18"/>
              </w:rPr>
              <w:t>1</w:t>
            </w:r>
            <w:r>
              <w:rPr>
                <w:rFonts w:ascii="Times New Roman" w:hAnsi="Times New Roman"/>
                <w:kern w:val="0"/>
                <w:sz w:val="18"/>
                <w:szCs w:val="18"/>
              </w:rPr>
              <w:t>1</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before="50"/>
              <w:rPr>
                <w:rFonts w:ascii="Times New Roman" w:hAnsi="Times New Roman"/>
                <w:kern w:val="0"/>
                <w:sz w:val="18"/>
                <w:szCs w:val="18"/>
              </w:rPr>
            </w:pPr>
            <w:r>
              <w:rPr>
                <w:rFonts w:ascii="Times New Roman" w:hAnsi="Times New Roman"/>
                <w:kern w:val="0"/>
                <w:sz w:val="18"/>
                <w:szCs w:val="18"/>
              </w:rPr>
              <w:t>加油</w:t>
            </w:r>
            <w:r>
              <w:rPr>
                <w:rFonts w:ascii="Times New Roman" w:hAnsi="Times New Roman"/>
                <w:spacing w:val="-3"/>
                <w:kern w:val="0"/>
                <w:sz w:val="18"/>
                <w:szCs w:val="18"/>
              </w:rPr>
              <w:t>站</w:t>
            </w:r>
            <w:r>
              <w:rPr>
                <w:rFonts w:ascii="Times New Roman" w:hAnsi="Times New Roman"/>
                <w:kern w:val="0"/>
                <w:sz w:val="18"/>
                <w:szCs w:val="18"/>
              </w:rPr>
              <w:t>有</w:t>
            </w:r>
            <w:r>
              <w:rPr>
                <w:rFonts w:ascii="Times New Roman" w:hAnsi="Times New Roman"/>
                <w:spacing w:val="-3"/>
                <w:kern w:val="0"/>
                <w:sz w:val="18"/>
                <w:szCs w:val="18"/>
              </w:rPr>
              <w:t>机</w:t>
            </w:r>
            <w:r>
              <w:rPr>
                <w:rFonts w:ascii="Times New Roman" w:hAnsi="Times New Roman"/>
                <w:kern w:val="0"/>
                <w:sz w:val="18"/>
                <w:szCs w:val="18"/>
              </w:rPr>
              <w:t>气</w:t>
            </w:r>
            <w:r>
              <w:rPr>
                <w:rFonts w:ascii="Times New Roman" w:hAnsi="Times New Roman"/>
                <w:spacing w:val="-3"/>
                <w:kern w:val="0"/>
                <w:sz w:val="18"/>
                <w:szCs w:val="18"/>
              </w:rPr>
              <w:t>体</w:t>
            </w:r>
            <w:r>
              <w:rPr>
                <w:rFonts w:ascii="Times New Roman" w:hAnsi="Times New Roman"/>
                <w:kern w:val="0"/>
                <w:sz w:val="18"/>
                <w:szCs w:val="18"/>
              </w:rPr>
              <w:t>泄</w:t>
            </w:r>
            <w:r>
              <w:rPr>
                <w:rFonts w:ascii="Times New Roman" w:hAnsi="Times New Roman"/>
                <w:spacing w:val="-3"/>
                <w:kern w:val="0"/>
                <w:sz w:val="18"/>
                <w:szCs w:val="18"/>
              </w:rPr>
              <w:t>漏</w:t>
            </w:r>
            <w:r>
              <w:rPr>
                <w:rFonts w:ascii="Times New Roman" w:hAnsi="Times New Roman"/>
                <w:kern w:val="0"/>
                <w:sz w:val="18"/>
                <w:szCs w:val="18"/>
              </w:rPr>
              <w:t>控</w:t>
            </w:r>
            <w:r>
              <w:rPr>
                <w:rFonts w:ascii="Times New Roman" w:hAnsi="Times New Roman"/>
                <w:spacing w:val="-3"/>
                <w:kern w:val="0"/>
                <w:sz w:val="18"/>
                <w:szCs w:val="18"/>
              </w:rPr>
              <w:t>制</w:t>
            </w:r>
            <w:r>
              <w:rPr>
                <w:rFonts w:ascii="Times New Roman" w:hAnsi="Times New Roman"/>
                <w:kern w:val="0"/>
                <w:sz w:val="18"/>
                <w:szCs w:val="18"/>
              </w:rPr>
              <w:t>系统</w:t>
            </w:r>
            <w:r>
              <w:rPr>
                <w:rFonts w:ascii="Times New Roman" w:hAnsi="Times New Roman"/>
                <w:spacing w:val="-3"/>
                <w:kern w:val="0"/>
                <w:sz w:val="18"/>
                <w:szCs w:val="18"/>
              </w:rPr>
              <w:t>设</w:t>
            </w:r>
            <w:r>
              <w:rPr>
                <w:rFonts w:ascii="Times New Roman" w:hAnsi="Times New Roman"/>
                <w:kern w:val="0"/>
                <w:sz w:val="18"/>
                <w:szCs w:val="18"/>
              </w:rPr>
              <w:t>计</w:t>
            </w:r>
            <w:r>
              <w:rPr>
                <w:rFonts w:ascii="Times New Roman" w:hAnsi="Times New Roman"/>
                <w:spacing w:val="-3"/>
                <w:kern w:val="0"/>
                <w:sz w:val="18"/>
                <w:szCs w:val="18"/>
              </w:rPr>
              <w:t>标</w:t>
            </w:r>
            <w:r>
              <w:rPr>
                <w:rFonts w:ascii="Times New Roman" w:hAnsi="Times New Roman"/>
                <w:kern w:val="0"/>
                <w:sz w:val="18"/>
                <w:szCs w:val="18"/>
              </w:rPr>
              <w:t>准</w:t>
            </w:r>
          </w:p>
        </w:tc>
      </w:tr>
      <w:tr>
        <w:tblPrEx>
          <w:tblCellMar>
            <w:top w:w="0" w:type="dxa"/>
            <w:left w:w="0" w:type="dxa"/>
            <w:bottom w:w="0" w:type="dxa"/>
            <w:right w:w="0" w:type="dxa"/>
          </w:tblCellMar>
        </w:tblPrEx>
        <w:trPr>
          <w:gridBefore w:val="1"/>
          <w:wBefore w:w="6" w:type="pct"/>
          <w:trHeight w:val="651" w:hRule="exact"/>
          <w:jc w:val="center"/>
        </w:trPr>
        <w:tc>
          <w:tcPr>
            <w:tcW w:w="1226" w:type="pct"/>
            <w:gridSpan w:val="2"/>
            <w:tcBorders>
              <w:top w:val="single" w:color="000000" w:sz="4" w:space="0"/>
              <w:left w:val="single" w:color="000000" w:sz="4" w:space="0"/>
              <w:bottom w:val="single" w:color="auto" w:sz="4" w:space="0"/>
              <w:right w:val="single" w:color="000000" w:sz="4" w:space="0"/>
            </w:tcBorders>
          </w:tcPr>
          <w:p>
            <w:pPr>
              <w:kinsoku w:val="0"/>
              <w:overflowPunct w:val="0"/>
              <w:autoSpaceDE w:val="0"/>
              <w:autoSpaceDN w:val="0"/>
              <w:adjustRightInd w:val="0"/>
              <w:spacing w:before="3"/>
              <w:jc w:val="left"/>
              <w:rPr>
                <w:rFonts w:ascii="Times New Roman" w:hAnsi="Times New Roman"/>
                <w:kern w:val="0"/>
                <w:sz w:val="18"/>
                <w:szCs w:val="18"/>
              </w:rPr>
            </w:pPr>
            <w:r>
              <w:rPr>
                <w:rFonts w:ascii="Times New Roman" w:hAnsi="Times New Roman"/>
                <w:kern w:val="0"/>
                <w:sz w:val="18"/>
                <w:szCs w:val="18"/>
              </w:rPr>
              <w:t>E</w:t>
            </w:r>
            <w:r>
              <w:rPr>
                <w:rFonts w:ascii="Times New Roman" w:hAnsi="Times New Roman"/>
                <w:spacing w:val="-16"/>
                <w:kern w:val="0"/>
                <w:sz w:val="18"/>
                <w:szCs w:val="18"/>
              </w:rPr>
              <w:t>P</w:t>
            </w:r>
            <w:r>
              <w:rPr>
                <w:rFonts w:ascii="Times New Roman" w:hAnsi="Times New Roman"/>
                <w:spacing w:val="-3"/>
                <w:kern w:val="0"/>
                <w:sz w:val="18"/>
                <w:szCs w:val="18"/>
              </w:rPr>
              <w:t>A</w:t>
            </w:r>
            <w:r>
              <w:rPr>
                <w:rFonts w:ascii="Times New Roman" w:hAnsi="Times New Roman"/>
                <w:kern w:val="0"/>
                <w:sz w:val="18"/>
                <w:szCs w:val="18"/>
              </w:rPr>
              <w:t>-</w:t>
            </w:r>
            <w:r>
              <w:rPr>
                <w:rFonts w:ascii="Times New Roman" w:hAnsi="Times New Roman"/>
                <w:spacing w:val="-2"/>
                <w:kern w:val="0"/>
                <w:sz w:val="18"/>
                <w:szCs w:val="18"/>
              </w:rPr>
              <w:t>45</w:t>
            </w:r>
            <w:r>
              <w:rPr>
                <w:rFonts w:ascii="Times New Roman" w:hAnsi="Times New Roman"/>
                <w:kern w:val="0"/>
                <w:sz w:val="18"/>
                <w:szCs w:val="18"/>
              </w:rPr>
              <w:t>0</w:t>
            </w:r>
            <w:r>
              <w:rPr>
                <w:rFonts w:ascii="Times New Roman" w:hAnsi="Times New Roman"/>
                <w:spacing w:val="-27"/>
                <w:kern w:val="0"/>
                <w:sz w:val="18"/>
                <w:szCs w:val="18"/>
              </w:rPr>
              <w:t>/</w:t>
            </w:r>
            <w:r>
              <w:rPr>
                <w:rFonts w:ascii="Times New Roman" w:hAnsi="Times New Roman"/>
                <w:spacing w:val="-2"/>
                <w:kern w:val="0"/>
                <w:sz w:val="18"/>
                <w:szCs w:val="18"/>
              </w:rPr>
              <w:t>2</w:t>
            </w:r>
            <w:r>
              <w:rPr>
                <w:rFonts w:ascii="Times New Roman" w:hAnsi="Times New Roman"/>
                <w:kern w:val="0"/>
                <w:sz w:val="18"/>
                <w:szCs w:val="18"/>
              </w:rPr>
              <w:t>-</w:t>
            </w:r>
            <w:r>
              <w:rPr>
                <w:rFonts w:ascii="Times New Roman" w:hAnsi="Times New Roman"/>
                <w:spacing w:val="-7"/>
                <w:kern w:val="0"/>
                <w:sz w:val="18"/>
                <w:szCs w:val="18"/>
              </w:rPr>
              <w:t>7</w:t>
            </w:r>
            <w:r>
              <w:rPr>
                <w:rFonts w:ascii="Times New Roman" w:hAnsi="Times New Roman"/>
                <w:spacing w:val="1"/>
                <w:kern w:val="0"/>
                <w:sz w:val="18"/>
                <w:szCs w:val="18"/>
              </w:rPr>
              <w:t>6</w:t>
            </w:r>
            <w:r>
              <w:rPr>
                <w:rFonts w:ascii="Times New Roman" w:hAnsi="Times New Roman"/>
                <w:kern w:val="0"/>
                <w:sz w:val="18"/>
                <w:szCs w:val="18"/>
              </w:rPr>
              <w:t>-</w:t>
            </w:r>
            <w:r>
              <w:rPr>
                <w:rFonts w:ascii="Times New Roman" w:hAnsi="Times New Roman"/>
                <w:spacing w:val="-4"/>
                <w:kern w:val="0"/>
                <w:sz w:val="18"/>
                <w:szCs w:val="18"/>
              </w:rPr>
              <w:t>0</w:t>
            </w:r>
            <w:r>
              <w:rPr>
                <w:rFonts w:ascii="Times New Roman" w:hAnsi="Times New Roman"/>
                <w:spacing w:val="-2"/>
                <w:kern w:val="0"/>
                <w:sz w:val="18"/>
                <w:szCs w:val="18"/>
              </w:rPr>
              <w:t>2</w:t>
            </w:r>
            <w:r>
              <w:rPr>
                <w:rFonts w:ascii="Times New Roman" w:hAnsi="Times New Roman"/>
                <w:kern w:val="0"/>
                <w:sz w:val="18"/>
                <w:szCs w:val="18"/>
              </w:rPr>
              <w:t>8</w:t>
            </w:r>
          </w:p>
          <w:p>
            <w:pPr>
              <w:kinsoku w:val="0"/>
              <w:overflowPunct w:val="0"/>
              <w:autoSpaceDE w:val="0"/>
              <w:autoSpaceDN w:val="0"/>
              <w:adjustRightInd w:val="0"/>
              <w:spacing w:before="3"/>
              <w:jc w:val="left"/>
              <w:rPr>
                <w:rFonts w:ascii="Times New Roman" w:hAnsi="Times New Roman"/>
                <w:kern w:val="0"/>
                <w:sz w:val="18"/>
                <w:szCs w:val="18"/>
              </w:rPr>
            </w:pPr>
            <w:r>
              <w:rPr>
                <w:rFonts w:ascii="Times New Roman" w:hAnsi="Times New Roman"/>
                <w:kern w:val="0"/>
                <w:sz w:val="18"/>
                <w:szCs w:val="18"/>
              </w:rPr>
              <w:t>1976/11</w:t>
            </w:r>
          </w:p>
        </w:tc>
        <w:tc>
          <w:tcPr>
            <w:tcW w:w="3768" w:type="pct"/>
            <w:gridSpan w:val="2"/>
            <w:tcBorders>
              <w:top w:val="single" w:color="000000" w:sz="4" w:space="0"/>
              <w:left w:val="single" w:color="000000" w:sz="4" w:space="0"/>
              <w:bottom w:val="single" w:color="auto" w:sz="4" w:space="0"/>
              <w:right w:val="single" w:color="000000" w:sz="4" w:space="0"/>
            </w:tcBorders>
            <w:vAlign w:val="center"/>
          </w:tcPr>
          <w:p>
            <w:pPr>
              <w:kinsoku w:val="0"/>
              <w:overflowPunct w:val="0"/>
              <w:autoSpaceDE w:val="0"/>
              <w:autoSpaceDN w:val="0"/>
              <w:adjustRightInd w:val="0"/>
              <w:spacing w:line="267" w:lineRule="exact"/>
              <w:rPr>
                <w:rFonts w:ascii="Times New Roman" w:hAnsi="Times New Roman"/>
                <w:kern w:val="0"/>
                <w:sz w:val="18"/>
                <w:szCs w:val="18"/>
              </w:rPr>
            </w:pPr>
            <w:r>
              <w:rPr>
                <w:rFonts w:ascii="Times New Roman" w:hAnsi="Times New Roman"/>
                <w:kern w:val="0"/>
                <w:sz w:val="18"/>
                <w:szCs w:val="18"/>
              </w:rPr>
              <w:t>现有</w:t>
            </w:r>
            <w:r>
              <w:rPr>
                <w:rFonts w:ascii="Times New Roman" w:hAnsi="Times New Roman"/>
                <w:spacing w:val="-3"/>
                <w:kern w:val="0"/>
                <w:sz w:val="18"/>
                <w:szCs w:val="18"/>
              </w:rPr>
              <w:t>固定</w:t>
            </w:r>
            <w:r>
              <w:rPr>
                <w:rFonts w:ascii="Times New Roman" w:hAnsi="Times New Roman"/>
                <w:kern w:val="0"/>
                <w:sz w:val="18"/>
                <w:szCs w:val="18"/>
              </w:rPr>
              <w:t>源</w:t>
            </w:r>
            <w:r>
              <w:rPr>
                <w:rFonts w:ascii="Times New Roman" w:hAnsi="Times New Roman"/>
                <w:spacing w:val="-52"/>
                <w:kern w:val="0"/>
                <w:sz w:val="18"/>
                <w:szCs w:val="18"/>
              </w:rPr>
              <w:t xml:space="preserve"> </w:t>
            </w:r>
            <w:r>
              <w:rPr>
                <w:rFonts w:ascii="Times New Roman" w:hAnsi="Times New Roman"/>
                <w:spacing w:val="-3"/>
                <w:kern w:val="0"/>
                <w:sz w:val="18"/>
                <w:szCs w:val="18"/>
              </w:rPr>
              <w:t>V</w:t>
            </w:r>
            <w:r>
              <w:rPr>
                <w:rFonts w:ascii="Times New Roman" w:hAnsi="Times New Roman"/>
                <w:spacing w:val="-6"/>
                <w:kern w:val="0"/>
                <w:sz w:val="18"/>
                <w:szCs w:val="18"/>
              </w:rPr>
              <w:t>O</w:t>
            </w:r>
            <w:r>
              <w:rPr>
                <w:rFonts w:ascii="Times New Roman" w:hAnsi="Times New Roman"/>
                <w:kern w:val="0"/>
                <w:sz w:val="18"/>
                <w:szCs w:val="18"/>
              </w:rPr>
              <w:t>Cs</w:t>
            </w:r>
            <w:r>
              <w:rPr>
                <w:rFonts w:ascii="Times New Roman" w:hAnsi="Times New Roman"/>
                <w:spacing w:val="6"/>
                <w:kern w:val="0"/>
                <w:sz w:val="18"/>
                <w:szCs w:val="18"/>
              </w:rPr>
              <w:t xml:space="preserve"> </w:t>
            </w:r>
            <w:r>
              <w:rPr>
                <w:rFonts w:ascii="Times New Roman" w:hAnsi="Times New Roman"/>
                <w:spacing w:val="-3"/>
                <w:kern w:val="0"/>
                <w:sz w:val="18"/>
                <w:szCs w:val="18"/>
              </w:rPr>
              <w:t>排</w:t>
            </w:r>
            <w:r>
              <w:rPr>
                <w:rFonts w:ascii="Times New Roman" w:hAnsi="Times New Roman"/>
                <w:kern w:val="0"/>
                <w:sz w:val="18"/>
                <w:szCs w:val="18"/>
              </w:rPr>
              <w:t>放</w:t>
            </w:r>
            <w:r>
              <w:rPr>
                <w:rFonts w:ascii="Times New Roman" w:hAnsi="Times New Roman"/>
                <w:spacing w:val="-3"/>
                <w:kern w:val="0"/>
                <w:sz w:val="18"/>
                <w:szCs w:val="18"/>
              </w:rPr>
              <w:t>控制</w:t>
            </w:r>
            <w:r>
              <w:rPr>
                <w:rFonts w:ascii="Times New Roman" w:hAnsi="Times New Roman"/>
                <w:kern w:val="0"/>
                <w:sz w:val="18"/>
                <w:szCs w:val="18"/>
              </w:rPr>
              <w:t>技术</w:t>
            </w:r>
            <w:r>
              <w:rPr>
                <w:rFonts w:ascii="Times New Roman" w:hAnsi="Times New Roman"/>
                <w:spacing w:val="-3"/>
                <w:kern w:val="0"/>
                <w:sz w:val="18"/>
                <w:szCs w:val="18"/>
              </w:rPr>
              <w:t>导</w:t>
            </w:r>
            <w:r>
              <w:rPr>
                <w:rFonts w:ascii="Times New Roman" w:hAnsi="Times New Roman"/>
                <w:kern w:val="0"/>
                <w:sz w:val="18"/>
                <w:szCs w:val="18"/>
              </w:rPr>
              <w:t>则</w:t>
            </w:r>
            <w:r>
              <w:rPr>
                <w:rFonts w:ascii="Times New Roman" w:hAnsi="Times New Roman"/>
                <w:spacing w:val="-60"/>
                <w:kern w:val="0"/>
                <w:sz w:val="18"/>
                <w:szCs w:val="18"/>
              </w:rPr>
              <w:t xml:space="preserve"> </w:t>
            </w:r>
            <w:r>
              <w:rPr>
                <w:rFonts w:ascii="Times New Roman" w:hAnsi="Times New Roman"/>
                <w:kern w:val="0"/>
                <w:sz w:val="18"/>
                <w:szCs w:val="18"/>
              </w:rPr>
              <w:t>卷</w:t>
            </w:r>
            <w:r>
              <w:rPr>
                <w:rFonts w:ascii="Times New Roman" w:hAnsi="Times New Roman"/>
                <w:spacing w:val="-53"/>
                <w:kern w:val="0"/>
                <w:sz w:val="18"/>
                <w:szCs w:val="18"/>
              </w:rPr>
              <w:t xml:space="preserve"> </w:t>
            </w:r>
            <w:r>
              <w:rPr>
                <w:rFonts w:ascii="Times New Roman" w:hAnsi="Times New Roman"/>
                <w:spacing w:val="-1"/>
                <w:kern w:val="0"/>
                <w:sz w:val="18"/>
                <w:szCs w:val="18"/>
              </w:rPr>
              <w:t>I</w:t>
            </w:r>
            <w:r>
              <w:rPr>
                <w:rFonts w:ascii="Times New Roman" w:hAnsi="Times New Roman"/>
                <w:spacing w:val="-3"/>
                <w:kern w:val="0"/>
                <w:sz w:val="18"/>
                <w:szCs w:val="18"/>
              </w:rPr>
              <w:t>：</w:t>
            </w:r>
            <w:r>
              <w:rPr>
                <w:rFonts w:ascii="Times New Roman" w:hAnsi="Times New Roman"/>
                <w:kern w:val="0"/>
                <w:sz w:val="18"/>
                <w:szCs w:val="18"/>
              </w:rPr>
              <w:t>表</w:t>
            </w:r>
            <w:r>
              <w:rPr>
                <w:rFonts w:ascii="Times New Roman" w:hAnsi="Times New Roman"/>
                <w:spacing w:val="-3"/>
                <w:kern w:val="0"/>
                <w:sz w:val="18"/>
                <w:szCs w:val="18"/>
              </w:rPr>
              <w:t>面</w:t>
            </w:r>
            <w:r>
              <w:rPr>
                <w:rFonts w:ascii="Times New Roman" w:hAnsi="Times New Roman"/>
                <w:kern w:val="0"/>
                <w:sz w:val="18"/>
                <w:szCs w:val="18"/>
              </w:rPr>
              <w:t>喷</w:t>
            </w:r>
            <w:r>
              <w:rPr>
                <w:rFonts w:ascii="Times New Roman" w:hAnsi="Times New Roman"/>
                <w:spacing w:val="-3"/>
                <w:kern w:val="0"/>
                <w:sz w:val="18"/>
                <w:szCs w:val="18"/>
              </w:rPr>
              <w:t>涂</w:t>
            </w:r>
            <w:r>
              <w:rPr>
                <w:rFonts w:ascii="Times New Roman" w:hAnsi="Times New Roman"/>
                <w:kern w:val="0"/>
                <w:sz w:val="18"/>
                <w:szCs w:val="18"/>
              </w:rPr>
              <w:t>过程</w:t>
            </w:r>
            <w:r>
              <w:rPr>
                <w:rFonts w:ascii="Times New Roman" w:hAnsi="Times New Roman"/>
                <w:spacing w:val="-3"/>
                <w:kern w:val="0"/>
                <w:sz w:val="18"/>
                <w:szCs w:val="18"/>
              </w:rPr>
              <w:t>控</w:t>
            </w:r>
            <w:r>
              <w:rPr>
                <w:rFonts w:ascii="Times New Roman" w:hAnsi="Times New Roman"/>
                <w:kern w:val="0"/>
                <w:sz w:val="18"/>
                <w:szCs w:val="18"/>
              </w:rPr>
              <w:t>制</w:t>
            </w:r>
            <w:r>
              <w:rPr>
                <w:rFonts w:ascii="Times New Roman" w:hAnsi="Times New Roman"/>
                <w:spacing w:val="-3"/>
                <w:kern w:val="0"/>
                <w:sz w:val="18"/>
                <w:szCs w:val="18"/>
              </w:rPr>
              <w:t>方</w:t>
            </w:r>
            <w:r>
              <w:rPr>
                <w:rFonts w:ascii="Times New Roman" w:hAnsi="Times New Roman"/>
                <w:kern w:val="0"/>
                <w:sz w:val="18"/>
                <w:szCs w:val="18"/>
              </w:rPr>
              <w:t>法</w:t>
            </w:r>
          </w:p>
        </w:tc>
      </w:tr>
      <w:tr>
        <w:trPr>
          <w:gridBefore w:val="1"/>
          <w:wBefore w:w="6" w:type="pct"/>
          <w:trHeight w:val="552" w:hRule="atLeast"/>
          <w:jc w:val="center"/>
        </w:trPr>
        <w:tc>
          <w:tcPr>
            <w:tcW w:w="1226" w:type="pct"/>
            <w:gridSpan w:val="2"/>
            <w:tcBorders>
              <w:top w:val="single" w:color="auto" w:sz="4" w:space="0"/>
              <w:left w:val="single" w:color="auto" w:sz="4" w:space="0"/>
              <w:bottom w:val="single" w:color="auto" w:sz="4" w:space="0"/>
              <w:right w:val="single" w:color="auto" w:sz="4" w:space="0"/>
            </w:tcBorders>
          </w:tcPr>
          <w:p>
            <w:pPr>
              <w:spacing w:before="3"/>
              <w:rPr>
                <w:rFonts w:ascii="Times New Roman" w:hAnsi="Times New Roman"/>
                <w:kern w:val="0"/>
                <w:sz w:val="18"/>
                <w:szCs w:val="18"/>
              </w:rPr>
            </w:pPr>
            <w:r>
              <w:rPr>
                <w:rFonts w:ascii="Times New Roman" w:hAnsi="Times New Roman"/>
                <w:kern w:val="0"/>
                <w:sz w:val="18"/>
                <w:szCs w:val="18"/>
              </w:rPr>
              <w:t>EPA-450/2-77-008</w:t>
            </w:r>
          </w:p>
          <w:p>
            <w:pPr>
              <w:spacing w:before="3"/>
              <w:rPr>
                <w:rFonts w:ascii="Times New Roman" w:hAnsi="Times New Roman"/>
                <w:kern w:val="0"/>
                <w:sz w:val="18"/>
                <w:szCs w:val="18"/>
              </w:rPr>
            </w:pPr>
            <w:r>
              <w:rPr>
                <w:rFonts w:ascii="Times New Roman" w:hAnsi="Times New Roman"/>
                <w:kern w:val="0"/>
                <w:sz w:val="18"/>
                <w:szCs w:val="18"/>
              </w:rPr>
              <w:t>1977/05</w:t>
            </w:r>
          </w:p>
        </w:tc>
        <w:tc>
          <w:tcPr>
            <w:tcW w:w="3768" w:type="pct"/>
            <w:gridSpan w:val="2"/>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kern w:val="0"/>
                <w:sz w:val="18"/>
                <w:szCs w:val="18"/>
              </w:rPr>
            </w:pPr>
            <w:r>
              <w:rPr>
                <w:rFonts w:ascii="Times New Roman" w:hAnsi="Times New Roman"/>
                <w:kern w:val="0"/>
                <w:sz w:val="18"/>
                <w:szCs w:val="18"/>
              </w:rPr>
              <w:t>现有固定源 VOCs  排放控制技术导则 卷 II：容器、盘管、纸、纤维、汽车和轻型卡车表面喷涂过程控制</w:t>
            </w:r>
          </w:p>
        </w:tc>
      </w:tr>
      <w:tr>
        <w:trPr>
          <w:gridBefore w:val="1"/>
          <w:wBefore w:w="6" w:type="pct"/>
          <w:trHeight w:val="281" w:hRule="exact"/>
          <w:jc w:val="center"/>
        </w:trPr>
        <w:tc>
          <w:tcPr>
            <w:tcW w:w="1226" w:type="pct"/>
            <w:gridSpan w:val="2"/>
            <w:tcBorders>
              <w:top w:val="single" w:color="auto" w:sz="4" w:space="0"/>
              <w:left w:val="single" w:color="000000" w:sz="4" w:space="0"/>
              <w:bottom w:val="single" w:color="auto" w:sz="4" w:space="0"/>
              <w:right w:val="single" w:color="000000" w:sz="4" w:space="0"/>
            </w:tcBorders>
          </w:tcPr>
          <w:p>
            <w:pPr>
              <w:spacing w:before="3"/>
              <w:rPr>
                <w:rFonts w:ascii="Times New Roman" w:hAnsi="Times New Roman"/>
                <w:kern w:val="0"/>
                <w:sz w:val="18"/>
                <w:szCs w:val="18"/>
              </w:rPr>
            </w:pPr>
            <w:r>
              <w:rPr>
                <w:rFonts w:ascii="Times New Roman" w:hAnsi="Times New Roman"/>
                <w:kern w:val="0"/>
                <w:sz w:val="18"/>
                <w:szCs w:val="18"/>
              </w:rPr>
              <w:t>EPA-450/2-77-022</w:t>
            </w:r>
          </w:p>
          <w:p>
            <w:pPr>
              <w:spacing w:before="3"/>
              <w:rPr>
                <w:rFonts w:ascii="Times New Roman" w:hAnsi="Times New Roman"/>
                <w:kern w:val="0"/>
                <w:sz w:val="18"/>
                <w:szCs w:val="18"/>
              </w:rPr>
            </w:pPr>
            <w:r>
              <w:rPr>
                <w:rFonts w:ascii="Times New Roman" w:hAnsi="Times New Roman"/>
                <w:kern w:val="0"/>
                <w:sz w:val="18"/>
                <w:szCs w:val="18"/>
              </w:rPr>
              <w:t>1977/11</w:t>
            </w:r>
          </w:p>
        </w:tc>
        <w:tc>
          <w:tcPr>
            <w:tcW w:w="3768" w:type="pct"/>
            <w:gridSpan w:val="2"/>
            <w:tcBorders>
              <w:top w:val="single" w:color="auto" w:sz="4" w:space="0"/>
              <w:left w:val="single" w:color="000000" w:sz="4" w:space="0"/>
              <w:bottom w:val="single" w:color="auto" w:sz="4" w:space="0"/>
              <w:right w:val="single" w:color="000000" w:sz="4" w:space="0"/>
            </w:tcBorders>
            <w:vAlign w:val="center"/>
          </w:tcPr>
          <w:p>
            <w:pPr>
              <w:spacing w:line="267" w:lineRule="exact"/>
              <w:rPr>
                <w:rFonts w:ascii="Times New Roman" w:hAnsi="Times New Roman"/>
                <w:kern w:val="0"/>
                <w:sz w:val="18"/>
                <w:szCs w:val="18"/>
              </w:rPr>
            </w:pPr>
            <w:r>
              <w:rPr>
                <w:rFonts w:ascii="Times New Roman" w:hAnsi="Times New Roman"/>
                <w:kern w:val="0"/>
                <w:sz w:val="18"/>
                <w:szCs w:val="18"/>
              </w:rPr>
              <w:t>有机溶剂清洁金属器件过程 VOCs 排放控制技术导则</w:t>
            </w:r>
          </w:p>
        </w:tc>
      </w:tr>
      <w:tr>
        <w:trPr>
          <w:gridBefore w:val="1"/>
          <w:wBefore w:w="6" w:type="pct"/>
          <w:trHeight w:val="293" w:hRule="atLeast"/>
          <w:jc w:val="center"/>
        </w:trPr>
        <w:tc>
          <w:tcPr>
            <w:tcW w:w="1226" w:type="pct"/>
            <w:gridSpan w:val="2"/>
            <w:tcBorders>
              <w:top w:val="single" w:color="auto" w:sz="4" w:space="0"/>
              <w:left w:val="single" w:color="auto" w:sz="4" w:space="0"/>
              <w:bottom w:val="single" w:color="auto" w:sz="4" w:space="0"/>
              <w:right w:val="single" w:color="auto" w:sz="4" w:space="0"/>
            </w:tcBorders>
          </w:tcPr>
          <w:p>
            <w:pPr>
              <w:spacing w:before="3"/>
              <w:rPr>
                <w:rFonts w:ascii="Times New Roman" w:hAnsi="Times New Roman"/>
                <w:kern w:val="0"/>
                <w:sz w:val="18"/>
                <w:szCs w:val="18"/>
              </w:rPr>
            </w:pPr>
            <w:r>
              <w:rPr>
                <w:rFonts w:ascii="Times New Roman" w:hAnsi="Times New Roman"/>
                <w:kern w:val="0"/>
                <w:sz w:val="18"/>
                <w:szCs w:val="18"/>
              </w:rPr>
              <w:t>EPA-450/2-77-025</w:t>
            </w:r>
          </w:p>
          <w:p>
            <w:pPr>
              <w:spacing w:before="3"/>
              <w:rPr>
                <w:rFonts w:ascii="Times New Roman" w:hAnsi="Times New Roman"/>
                <w:kern w:val="0"/>
                <w:sz w:val="18"/>
                <w:szCs w:val="18"/>
              </w:rPr>
            </w:pPr>
            <w:r>
              <w:rPr>
                <w:rFonts w:ascii="Times New Roman" w:hAnsi="Times New Roman"/>
                <w:kern w:val="0"/>
                <w:sz w:val="18"/>
                <w:szCs w:val="18"/>
              </w:rPr>
              <w:t>1977/10</w:t>
            </w:r>
          </w:p>
        </w:tc>
        <w:tc>
          <w:tcPr>
            <w:tcW w:w="3768" w:type="pct"/>
            <w:gridSpan w:val="2"/>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kern w:val="0"/>
                <w:sz w:val="18"/>
                <w:szCs w:val="18"/>
              </w:rPr>
            </w:pPr>
            <w:r>
              <w:rPr>
                <w:rFonts w:ascii="Times New Roman" w:hAnsi="Times New Roman"/>
                <w:kern w:val="0"/>
                <w:sz w:val="18"/>
                <w:szCs w:val="18"/>
              </w:rPr>
              <w:t>炼油厂真空发生系统、废水分离系统和设备检修过程 VOCs排放控制技术导则</w:t>
            </w:r>
          </w:p>
        </w:tc>
      </w:tr>
      <w:tr>
        <w:trPr>
          <w:gridBefore w:val="1"/>
          <w:wBefore w:w="6" w:type="pct"/>
          <w:trHeight w:val="583" w:hRule="exact"/>
          <w:jc w:val="center"/>
        </w:trPr>
        <w:tc>
          <w:tcPr>
            <w:tcW w:w="1226" w:type="pct"/>
            <w:gridSpan w:val="2"/>
            <w:tcBorders>
              <w:top w:val="single" w:color="auto" w:sz="4" w:space="0"/>
              <w:left w:val="single" w:color="000000" w:sz="4" w:space="0"/>
              <w:bottom w:val="single" w:color="000000" w:sz="4" w:space="0"/>
              <w:right w:val="single" w:color="000000" w:sz="4" w:space="0"/>
            </w:tcBorders>
          </w:tcPr>
          <w:p>
            <w:pPr>
              <w:spacing w:before="3"/>
              <w:rPr>
                <w:rFonts w:ascii="Times New Roman" w:hAnsi="Times New Roman"/>
                <w:kern w:val="0"/>
                <w:sz w:val="18"/>
                <w:szCs w:val="18"/>
              </w:rPr>
            </w:pPr>
            <w:r>
              <w:rPr>
                <w:rFonts w:ascii="Times New Roman" w:hAnsi="Times New Roman"/>
                <w:kern w:val="0"/>
                <w:sz w:val="18"/>
                <w:szCs w:val="18"/>
              </w:rPr>
              <w:t>EPA-450/2-77-026</w:t>
            </w:r>
          </w:p>
          <w:p>
            <w:pPr>
              <w:spacing w:before="3"/>
              <w:rPr>
                <w:rFonts w:ascii="Times New Roman" w:hAnsi="Times New Roman"/>
                <w:kern w:val="0"/>
                <w:sz w:val="18"/>
                <w:szCs w:val="18"/>
              </w:rPr>
            </w:pPr>
            <w:r>
              <w:rPr>
                <w:rFonts w:ascii="Times New Roman" w:hAnsi="Times New Roman"/>
                <w:kern w:val="0"/>
                <w:sz w:val="18"/>
                <w:szCs w:val="18"/>
              </w:rPr>
              <w:t>1977/10</w:t>
            </w:r>
          </w:p>
        </w:tc>
        <w:tc>
          <w:tcPr>
            <w:tcW w:w="3768" w:type="pct"/>
            <w:gridSpan w:val="2"/>
            <w:tcBorders>
              <w:top w:val="single" w:color="auto" w:sz="4" w:space="0"/>
              <w:left w:val="single" w:color="000000" w:sz="4" w:space="0"/>
              <w:bottom w:val="single" w:color="000000" w:sz="4" w:space="0"/>
              <w:right w:val="single" w:color="000000" w:sz="4" w:space="0"/>
            </w:tcBorders>
            <w:vAlign w:val="center"/>
          </w:tcPr>
          <w:p>
            <w:pPr>
              <w:spacing w:line="267" w:lineRule="exact"/>
              <w:rPr>
                <w:rFonts w:ascii="Times New Roman" w:hAnsi="Times New Roman"/>
                <w:kern w:val="0"/>
                <w:sz w:val="18"/>
                <w:szCs w:val="18"/>
              </w:rPr>
            </w:pPr>
            <w:r>
              <w:rPr>
                <w:rFonts w:ascii="Times New Roman" w:hAnsi="Times New Roman"/>
                <w:kern w:val="0"/>
                <w:sz w:val="18"/>
                <w:szCs w:val="18"/>
              </w:rPr>
              <w:t>汽油罐车油料装卸过程碳氢化合物排放控制技术导则</w:t>
            </w:r>
          </w:p>
        </w:tc>
      </w:tr>
      <w:tr>
        <w:trPr>
          <w:gridBefore w:val="1"/>
          <w:wBefore w:w="6" w:type="pct"/>
          <w:trHeight w:val="259" w:hRule="atLeast"/>
          <w:jc w:val="center"/>
        </w:trPr>
        <w:tc>
          <w:tcPr>
            <w:tcW w:w="1226" w:type="pct"/>
            <w:gridSpan w:val="2"/>
            <w:tcBorders>
              <w:top w:val="single" w:color="000000" w:sz="4" w:space="0"/>
              <w:left w:val="single" w:color="000000" w:sz="4" w:space="0"/>
              <w:right w:val="single" w:color="000000" w:sz="4" w:space="0"/>
            </w:tcBorders>
          </w:tcPr>
          <w:p>
            <w:pPr>
              <w:spacing w:before="3"/>
              <w:rPr>
                <w:rFonts w:ascii="Times New Roman" w:hAnsi="Times New Roman"/>
                <w:kern w:val="0"/>
                <w:sz w:val="18"/>
                <w:szCs w:val="18"/>
              </w:rPr>
            </w:pPr>
            <w:r>
              <w:rPr>
                <w:rFonts w:ascii="Times New Roman" w:hAnsi="Times New Roman"/>
                <w:kern w:val="0"/>
                <w:sz w:val="18"/>
                <w:szCs w:val="18"/>
              </w:rPr>
              <w:t>EPA-450/2-77-032</w:t>
            </w:r>
          </w:p>
          <w:p>
            <w:pPr>
              <w:spacing w:before="3"/>
              <w:rPr>
                <w:rFonts w:ascii="Times New Roman" w:hAnsi="Times New Roman"/>
                <w:kern w:val="0"/>
                <w:sz w:val="18"/>
                <w:szCs w:val="18"/>
              </w:rPr>
            </w:pPr>
            <w:r>
              <w:rPr>
                <w:rFonts w:ascii="Times New Roman" w:hAnsi="Times New Roman"/>
                <w:kern w:val="0"/>
                <w:sz w:val="18"/>
                <w:szCs w:val="18"/>
              </w:rPr>
              <w:t>1977/12</w:t>
            </w:r>
          </w:p>
        </w:tc>
        <w:tc>
          <w:tcPr>
            <w:tcW w:w="3768" w:type="pct"/>
            <w:gridSpan w:val="2"/>
            <w:tcBorders>
              <w:top w:val="single" w:color="000000" w:sz="4" w:space="0"/>
              <w:left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现有固定源 VOCs 排放控制技术导则 卷 III：金属设备表面涂装过程控制</w:t>
            </w:r>
          </w:p>
        </w:tc>
      </w:tr>
      <w:tr>
        <w:trPr>
          <w:gridBefore w:val="1"/>
          <w:wBefore w:w="6" w:type="pct"/>
          <w:trHeight w:val="629"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spacing w:before="3"/>
              <w:rPr>
                <w:rFonts w:ascii="Times New Roman" w:hAnsi="Times New Roman"/>
                <w:kern w:val="0"/>
                <w:sz w:val="18"/>
                <w:szCs w:val="18"/>
              </w:rPr>
            </w:pPr>
            <w:r>
              <w:rPr>
                <w:rFonts w:ascii="Times New Roman" w:hAnsi="Times New Roman"/>
                <w:kern w:val="0"/>
                <w:sz w:val="18"/>
                <w:szCs w:val="18"/>
              </w:rPr>
              <w:t>EPA-450/2-77-033</w:t>
            </w:r>
          </w:p>
          <w:p>
            <w:pPr>
              <w:spacing w:before="3"/>
              <w:rPr>
                <w:rFonts w:ascii="Times New Roman" w:hAnsi="Times New Roman"/>
                <w:kern w:val="0"/>
                <w:sz w:val="18"/>
                <w:szCs w:val="18"/>
              </w:rPr>
            </w:pPr>
            <w:r>
              <w:rPr>
                <w:rFonts w:ascii="Times New Roman" w:hAnsi="Times New Roman"/>
                <w:kern w:val="0"/>
                <w:sz w:val="18"/>
                <w:szCs w:val="18"/>
              </w:rPr>
              <w:t>1977/12</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现有固定源 VOCs 排放控制技术导则 卷 IV：漆包线表面涂装过程控制</w:t>
            </w:r>
          </w:p>
        </w:tc>
      </w:tr>
      <w:tr>
        <w:trPr>
          <w:gridBefore w:val="1"/>
          <w:wBefore w:w="6" w:type="pct"/>
          <w:trHeight w:val="567"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spacing w:before="3"/>
              <w:rPr>
                <w:rFonts w:ascii="Times New Roman" w:hAnsi="Times New Roman"/>
                <w:kern w:val="0"/>
                <w:sz w:val="18"/>
                <w:szCs w:val="18"/>
              </w:rPr>
            </w:pPr>
            <w:r>
              <w:rPr>
                <w:rFonts w:ascii="Times New Roman" w:hAnsi="Times New Roman"/>
                <w:kern w:val="0"/>
                <w:sz w:val="18"/>
                <w:szCs w:val="18"/>
              </w:rPr>
              <w:t>EPA-450/2-77-034</w:t>
            </w:r>
          </w:p>
          <w:p>
            <w:pPr>
              <w:spacing w:before="3"/>
              <w:rPr>
                <w:rFonts w:ascii="Times New Roman" w:hAnsi="Times New Roman"/>
                <w:kern w:val="0"/>
                <w:sz w:val="18"/>
                <w:szCs w:val="18"/>
              </w:rPr>
            </w:pPr>
            <w:r>
              <w:rPr>
                <w:rFonts w:ascii="Times New Roman" w:hAnsi="Times New Roman"/>
                <w:kern w:val="0"/>
                <w:sz w:val="18"/>
                <w:szCs w:val="18"/>
              </w:rPr>
              <w:t>1977/12</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现有固定源 VOCs  排放控制技术导则 卷 V：大型电器表面涂装过程控制</w:t>
            </w:r>
          </w:p>
        </w:tc>
      </w:tr>
      <w:tr>
        <w:trPr>
          <w:gridBefore w:val="1"/>
          <w:wBefore w:w="6" w:type="pct"/>
          <w:trHeight w:val="575"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spacing w:before="3"/>
              <w:rPr>
                <w:rFonts w:ascii="Times New Roman" w:hAnsi="Times New Roman"/>
                <w:kern w:val="0"/>
                <w:sz w:val="18"/>
                <w:szCs w:val="18"/>
              </w:rPr>
            </w:pPr>
            <w:r>
              <w:rPr>
                <w:rFonts w:ascii="Times New Roman" w:hAnsi="Times New Roman"/>
                <w:kern w:val="0"/>
                <w:sz w:val="18"/>
                <w:szCs w:val="18"/>
              </w:rPr>
              <w:t>EPA-450/2-77-035</w:t>
            </w:r>
          </w:p>
          <w:p>
            <w:pPr>
              <w:spacing w:before="3"/>
              <w:rPr>
                <w:rFonts w:ascii="Times New Roman" w:hAnsi="Times New Roman"/>
                <w:kern w:val="0"/>
                <w:sz w:val="18"/>
                <w:szCs w:val="18"/>
              </w:rPr>
            </w:pPr>
            <w:r>
              <w:rPr>
                <w:rFonts w:ascii="Times New Roman" w:hAnsi="Times New Roman"/>
                <w:kern w:val="0"/>
                <w:sz w:val="18"/>
                <w:szCs w:val="18"/>
              </w:rPr>
              <w:t>1977/12</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spacing w:line="267" w:lineRule="exact"/>
              <w:rPr>
                <w:rFonts w:ascii="Times New Roman" w:hAnsi="Times New Roman"/>
                <w:kern w:val="0"/>
                <w:sz w:val="18"/>
                <w:szCs w:val="18"/>
              </w:rPr>
            </w:pPr>
            <w:r>
              <w:rPr>
                <w:rFonts w:ascii="Times New Roman" w:hAnsi="Times New Roman"/>
                <w:kern w:val="0"/>
                <w:sz w:val="18"/>
                <w:szCs w:val="18"/>
              </w:rPr>
              <w:t>汽油批发厂 VOCs 排放控制技术导则</w:t>
            </w:r>
          </w:p>
        </w:tc>
      </w:tr>
      <w:tr>
        <w:trPr>
          <w:gridBefore w:val="1"/>
          <w:wBefore w:w="6" w:type="pct"/>
          <w:trHeight w:val="554"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spacing w:before="3"/>
              <w:rPr>
                <w:rFonts w:ascii="Times New Roman" w:hAnsi="Times New Roman"/>
                <w:kern w:val="0"/>
                <w:sz w:val="18"/>
                <w:szCs w:val="18"/>
              </w:rPr>
            </w:pPr>
            <w:r>
              <w:rPr>
                <w:rFonts w:ascii="Times New Roman" w:hAnsi="Times New Roman"/>
                <w:kern w:val="0"/>
                <w:sz w:val="18"/>
                <w:szCs w:val="18"/>
              </w:rPr>
              <w:t>EPA-450/2-77-036</w:t>
            </w:r>
          </w:p>
          <w:p>
            <w:pPr>
              <w:spacing w:before="3"/>
              <w:rPr>
                <w:rFonts w:ascii="Times New Roman" w:hAnsi="Times New Roman"/>
                <w:kern w:val="0"/>
                <w:sz w:val="18"/>
                <w:szCs w:val="18"/>
              </w:rPr>
            </w:pPr>
            <w:r>
              <w:rPr>
                <w:rFonts w:ascii="Times New Roman" w:hAnsi="Times New Roman"/>
                <w:kern w:val="0"/>
                <w:sz w:val="18"/>
                <w:szCs w:val="18"/>
              </w:rPr>
              <w:t>1977/12</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spacing w:line="267" w:lineRule="exact"/>
              <w:rPr>
                <w:rFonts w:ascii="Times New Roman" w:hAnsi="Times New Roman"/>
                <w:kern w:val="0"/>
                <w:sz w:val="18"/>
                <w:szCs w:val="18"/>
              </w:rPr>
            </w:pPr>
            <w:r>
              <w:rPr>
                <w:rFonts w:ascii="Times New Roman" w:hAnsi="Times New Roman"/>
                <w:kern w:val="0"/>
                <w:sz w:val="18"/>
                <w:szCs w:val="18"/>
              </w:rPr>
              <w:t>固定顶液体储罐 VOCs 控制技术导则</w:t>
            </w:r>
          </w:p>
        </w:tc>
      </w:tr>
      <w:tr>
        <w:trPr>
          <w:gridBefore w:val="1"/>
          <w:wBefore w:w="6" w:type="pct"/>
          <w:trHeight w:val="562"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spacing w:before="3"/>
              <w:rPr>
                <w:rFonts w:ascii="Times New Roman" w:hAnsi="Times New Roman"/>
                <w:kern w:val="0"/>
                <w:sz w:val="18"/>
                <w:szCs w:val="18"/>
              </w:rPr>
            </w:pPr>
            <w:r>
              <w:rPr>
                <w:rFonts w:ascii="Times New Roman" w:hAnsi="Times New Roman"/>
                <w:kern w:val="0"/>
                <w:sz w:val="18"/>
                <w:szCs w:val="18"/>
              </w:rPr>
              <w:t>EPA-450/2-77-037</w:t>
            </w:r>
          </w:p>
          <w:p>
            <w:pPr>
              <w:spacing w:before="3"/>
              <w:rPr>
                <w:rFonts w:ascii="Times New Roman" w:hAnsi="Times New Roman"/>
                <w:kern w:val="0"/>
                <w:sz w:val="18"/>
                <w:szCs w:val="18"/>
              </w:rPr>
            </w:pPr>
            <w:r>
              <w:rPr>
                <w:rFonts w:ascii="Times New Roman" w:hAnsi="Times New Roman"/>
                <w:kern w:val="0"/>
                <w:sz w:val="18"/>
                <w:szCs w:val="18"/>
              </w:rPr>
              <w:t>1977/12</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spacing w:line="267" w:lineRule="exact"/>
              <w:rPr>
                <w:rFonts w:ascii="Times New Roman" w:hAnsi="Times New Roman"/>
                <w:kern w:val="0"/>
                <w:sz w:val="18"/>
                <w:szCs w:val="18"/>
              </w:rPr>
            </w:pPr>
            <w:r>
              <w:rPr>
                <w:rFonts w:ascii="Times New Roman" w:hAnsi="Times New Roman"/>
                <w:kern w:val="0"/>
                <w:sz w:val="18"/>
                <w:szCs w:val="18"/>
              </w:rPr>
              <w:t>稀释沥青使用过程 VOCs 排放控制技术导则</w:t>
            </w:r>
          </w:p>
        </w:tc>
      </w:tr>
      <w:tr>
        <w:trPr>
          <w:gridBefore w:val="1"/>
          <w:wBefore w:w="6" w:type="pct"/>
          <w:trHeight w:val="584" w:hRule="exact"/>
          <w:jc w:val="center"/>
        </w:trPr>
        <w:tc>
          <w:tcPr>
            <w:tcW w:w="1226" w:type="pct"/>
            <w:gridSpan w:val="2"/>
            <w:tcBorders>
              <w:top w:val="single" w:color="000000" w:sz="4" w:space="0"/>
              <w:left w:val="single" w:color="000000" w:sz="4" w:space="0"/>
              <w:bottom w:val="single" w:color="auto" w:sz="4" w:space="0"/>
              <w:right w:val="single" w:color="000000" w:sz="4" w:space="0"/>
            </w:tcBorders>
          </w:tcPr>
          <w:p>
            <w:pPr>
              <w:spacing w:before="3"/>
              <w:rPr>
                <w:rFonts w:ascii="Times New Roman" w:hAnsi="Times New Roman"/>
                <w:kern w:val="0"/>
                <w:sz w:val="18"/>
                <w:szCs w:val="18"/>
              </w:rPr>
            </w:pPr>
            <w:r>
              <w:rPr>
                <w:rFonts w:ascii="Times New Roman" w:hAnsi="Times New Roman"/>
                <w:kern w:val="0"/>
                <w:sz w:val="18"/>
                <w:szCs w:val="18"/>
              </w:rPr>
              <w:t>EPA-450/2-78-022</w:t>
            </w:r>
          </w:p>
          <w:p>
            <w:pPr>
              <w:spacing w:before="3"/>
              <w:rPr>
                <w:rFonts w:ascii="Times New Roman" w:hAnsi="Times New Roman"/>
                <w:kern w:val="0"/>
                <w:sz w:val="18"/>
                <w:szCs w:val="18"/>
              </w:rPr>
            </w:pPr>
            <w:r>
              <w:rPr>
                <w:rFonts w:ascii="Times New Roman" w:hAnsi="Times New Roman"/>
                <w:kern w:val="0"/>
                <w:sz w:val="18"/>
                <w:szCs w:val="18"/>
              </w:rPr>
              <w:t>1978/05</w:t>
            </w:r>
          </w:p>
        </w:tc>
        <w:tc>
          <w:tcPr>
            <w:tcW w:w="3768" w:type="pct"/>
            <w:gridSpan w:val="2"/>
            <w:tcBorders>
              <w:top w:val="single" w:color="000000" w:sz="4" w:space="0"/>
              <w:left w:val="single" w:color="000000" w:sz="4" w:space="0"/>
              <w:bottom w:val="single" w:color="auto" w:sz="4" w:space="0"/>
              <w:right w:val="single" w:color="000000" w:sz="4" w:space="0"/>
            </w:tcBorders>
            <w:vAlign w:val="center"/>
          </w:tcPr>
          <w:p>
            <w:pPr>
              <w:spacing w:line="267" w:lineRule="exact"/>
              <w:rPr>
                <w:rFonts w:ascii="Times New Roman" w:hAnsi="Times New Roman"/>
                <w:kern w:val="0"/>
                <w:sz w:val="18"/>
                <w:szCs w:val="18"/>
              </w:rPr>
            </w:pPr>
            <w:r>
              <w:rPr>
                <w:rFonts w:ascii="Times New Roman" w:hAnsi="Times New Roman"/>
                <w:kern w:val="0"/>
                <w:sz w:val="18"/>
                <w:szCs w:val="18"/>
              </w:rPr>
              <w:t>固定源 VOCs 排放控制技术导则</w:t>
            </w:r>
          </w:p>
        </w:tc>
      </w:tr>
      <w:tr>
        <w:trPr>
          <w:gridBefore w:val="1"/>
          <w:wBefore w:w="6" w:type="pct"/>
          <w:trHeight w:val="552" w:hRule="atLeast"/>
          <w:jc w:val="center"/>
        </w:trPr>
        <w:tc>
          <w:tcPr>
            <w:tcW w:w="1226" w:type="pct"/>
            <w:gridSpan w:val="2"/>
            <w:tcBorders>
              <w:top w:val="single" w:color="auto" w:sz="4" w:space="0"/>
              <w:left w:val="single" w:color="auto" w:sz="4" w:space="0"/>
              <w:bottom w:val="single" w:color="auto" w:sz="4" w:space="0"/>
              <w:right w:val="single" w:color="auto" w:sz="4" w:space="0"/>
            </w:tcBorders>
            <w:vAlign w:val="center"/>
          </w:tcPr>
          <w:p>
            <w:pPr>
              <w:spacing w:before="3"/>
              <w:rPr>
                <w:rFonts w:ascii="Times New Roman" w:hAnsi="Times New Roman"/>
                <w:kern w:val="0"/>
                <w:sz w:val="18"/>
                <w:szCs w:val="18"/>
              </w:rPr>
            </w:pPr>
            <w:r>
              <w:rPr>
                <w:rFonts w:ascii="Times New Roman" w:hAnsi="Times New Roman"/>
                <w:kern w:val="0"/>
                <w:sz w:val="18"/>
                <w:szCs w:val="18"/>
              </w:rPr>
              <w:t>EPA-450/2-78-015</w:t>
            </w:r>
          </w:p>
          <w:p>
            <w:pPr>
              <w:spacing w:before="3"/>
              <w:rPr>
                <w:rFonts w:ascii="Times New Roman" w:hAnsi="Times New Roman"/>
                <w:kern w:val="0"/>
                <w:sz w:val="18"/>
                <w:szCs w:val="18"/>
              </w:rPr>
            </w:pPr>
            <w:r>
              <w:rPr>
                <w:rFonts w:ascii="Times New Roman" w:hAnsi="Times New Roman"/>
                <w:kern w:val="0"/>
                <w:sz w:val="18"/>
                <w:szCs w:val="18"/>
              </w:rPr>
              <w:t>1978/06</w:t>
            </w:r>
          </w:p>
        </w:tc>
        <w:tc>
          <w:tcPr>
            <w:tcW w:w="3768" w:type="pct"/>
            <w:gridSpan w:val="2"/>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kern w:val="0"/>
                <w:sz w:val="18"/>
                <w:szCs w:val="18"/>
              </w:rPr>
            </w:pPr>
            <w:r>
              <w:rPr>
                <w:rFonts w:ascii="Times New Roman" w:hAnsi="Times New Roman"/>
                <w:kern w:val="0"/>
                <w:sz w:val="18"/>
                <w:szCs w:val="18"/>
              </w:rPr>
              <w:t>现有固定源 VOCs 排放控制技术导则 卷 VI：金属零部件和产品表面涂装过程控制</w:t>
            </w:r>
          </w:p>
        </w:tc>
      </w:tr>
      <w:tr>
        <w:trPr>
          <w:gridBefore w:val="1"/>
          <w:wBefore w:w="6" w:type="pct"/>
          <w:trHeight w:val="552" w:hRule="atLeast"/>
          <w:jc w:val="center"/>
        </w:trPr>
        <w:tc>
          <w:tcPr>
            <w:tcW w:w="1226" w:type="pct"/>
            <w:gridSpan w:val="2"/>
            <w:tcBorders>
              <w:top w:val="single" w:color="auto" w:sz="4" w:space="0"/>
              <w:left w:val="single" w:color="000000" w:sz="4" w:space="0"/>
              <w:right w:val="single" w:color="000000" w:sz="4" w:space="0"/>
            </w:tcBorders>
          </w:tcPr>
          <w:p>
            <w:pPr>
              <w:spacing w:before="3"/>
              <w:rPr>
                <w:rFonts w:ascii="Times New Roman" w:hAnsi="Times New Roman"/>
                <w:kern w:val="0"/>
                <w:sz w:val="18"/>
                <w:szCs w:val="18"/>
              </w:rPr>
            </w:pPr>
            <w:r>
              <w:rPr>
                <w:rFonts w:ascii="Times New Roman" w:hAnsi="Times New Roman"/>
                <w:kern w:val="0"/>
                <w:sz w:val="18"/>
                <w:szCs w:val="18"/>
              </w:rPr>
              <w:t>EPA-450/2-78-032</w:t>
            </w:r>
          </w:p>
          <w:p>
            <w:pPr>
              <w:spacing w:before="3"/>
              <w:rPr>
                <w:rFonts w:ascii="Times New Roman" w:hAnsi="Times New Roman"/>
                <w:kern w:val="0"/>
                <w:sz w:val="18"/>
                <w:szCs w:val="18"/>
              </w:rPr>
            </w:pPr>
            <w:r>
              <w:rPr>
                <w:rFonts w:ascii="Times New Roman" w:hAnsi="Times New Roman"/>
                <w:kern w:val="0"/>
                <w:sz w:val="18"/>
                <w:szCs w:val="18"/>
              </w:rPr>
              <w:t>1978/06</w:t>
            </w:r>
          </w:p>
        </w:tc>
        <w:tc>
          <w:tcPr>
            <w:tcW w:w="3768" w:type="pct"/>
            <w:gridSpan w:val="2"/>
            <w:tcBorders>
              <w:top w:val="single" w:color="auto" w:sz="4" w:space="0"/>
              <w:left w:val="single" w:color="000000" w:sz="4" w:space="0"/>
              <w:right w:val="single" w:color="000000" w:sz="4" w:space="0"/>
            </w:tcBorders>
            <w:vAlign w:val="center"/>
          </w:tcPr>
          <w:p>
            <w:pPr>
              <w:spacing w:line="267" w:lineRule="exact"/>
              <w:rPr>
                <w:rFonts w:ascii="Times New Roman" w:hAnsi="Times New Roman"/>
                <w:kern w:val="0"/>
                <w:sz w:val="18"/>
                <w:szCs w:val="18"/>
              </w:rPr>
            </w:pPr>
            <w:r>
              <w:rPr>
                <w:rFonts w:ascii="Times New Roman" w:hAnsi="Times New Roman"/>
                <w:kern w:val="0"/>
                <w:sz w:val="18"/>
                <w:szCs w:val="18"/>
              </w:rPr>
              <w:t>现有固定源 VOCs 排放控制技术导则 卷 VII：木质板材表面涂装过程控制</w:t>
            </w:r>
          </w:p>
        </w:tc>
      </w:tr>
      <w:tr>
        <w:trPr>
          <w:gridBefore w:val="1"/>
          <w:wBefore w:w="6" w:type="pct"/>
          <w:trHeight w:val="554"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spacing w:before="3"/>
              <w:rPr>
                <w:rFonts w:ascii="Times New Roman" w:hAnsi="Times New Roman"/>
                <w:kern w:val="0"/>
                <w:sz w:val="18"/>
                <w:szCs w:val="18"/>
              </w:rPr>
            </w:pPr>
            <w:r>
              <w:rPr>
                <w:rFonts w:ascii="Times New Roman" w:hAnsi="Times New Roman"/>
                <w:kern w:val="0"/>
                <w:sz w:val="18"/>
                <w:szCs w:val="18"/>
              </w:rPr>
              <w:t>EPA-450/2-78-036</w:t>
            </w:r>
          </w:p>
          <w:p>
            <w:pPr>
              <w:spacing w:before="3"/>
              <w:rPr>
                <w:rFonts w:ascii="Times New Roman" w:hAnsi="Times New Roman"/>
                <w:kern w:val="0"/>
                <w:sz w:val="18"/>
                <w:szCs w:val="18"/>
              </w:rPr>
            </w:pPr>
            <w:r>
              <w:rPr>
                <w:rFonts w:ascii="Times New Roman" w:hAnsi="Times New Roman"/>
                <w:kern w:val="0"/>
                <w:sz w:val="18"/>
                <w:szCs w:val="18"/>
              </w:rPr>
              <w:t>1978/06</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spacing w:line="267" w:lineRule="exact"/>
              <w:rPr>
                <w:rFonts w:ascii="Times New Roman" w:hAnsi="Times New Roman"/>
                <w:kern w:val="0"/>
                <w:sz w:val="18"/>
                <w:szCs w:val="18"/>
              </w:rPr>
            </w:pPr>
            <w:r>
              <w:rPr>
                <w:rFonts w:ascii="Times New Roman" w:hAnsi="Times New Roman"/>
                <w:kern w:val="0"/>
                <w:sz w:val="18"/>
                <w:szCs w:val="18"/>
              </w:rPr>
              <w:t>石油炼制设备 VOCs 泄漏控制技术导则</w:t>
            </w:r>
          </w:p>
        </w:tc>
      </w:tr>
      <w:tr>
        <w:trPr>
          <w:gridBefore w:val="1"/>
          <w:wBefore w:w="6" w:type="pct"/>
          <w:trHeight w:val="562"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spacing w:before="3"/>
              <w:rPr>
                <w:rFonts w:ascii="Times New Roman" w:hAnsi="Times New Roman"/>
                <w:kern w:val="0"/>
                <w:sz w:val="18"/>
                <w:szCs w:val="18"/>
              </w:rPr>
            </w:pPr>
            <w:r>
              <w:rPr>
                <w:rFonts w:ascii="Times New Roman" w:hAnsi="Times New Roman"/>
                <w:kern w:val="0"/>
                <w:sz w:val="18"/>
                <w:szCs w:val="18"/>
              </w:rPr>
              <w:t xml:space="preserve">EPA-450/2-78-029 </w:t>
            </w:r>
          </w:p>
          <w:p>
            <w:pPr>
              <w:spacing w:before="3"/>
              <w:rPr>
                <w:rFonts w:ascii="Times New Roman" w:hAnsi="Times New Roman"/>
                <w:kern w:val="0"/>
                <w:sz w:val="18"/>
                <w:szCs w:val="18"/>
              </w:rPr>
            </w:pPr>
            <w:r>
              <w:rPr>
                <w:rFonts w:ascii="Times New Roman" w:hAnsi="Times New Roman"/>
                <w:kern w:val="0"/>
                <w:sz w:val="18"/>
                <w:szCs w:val="18"/>
              </w:rPr>
              <w:t>1978/12</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spacing w:line="267" w:lineRule="exact"/>
              <w:rPr>
                <w:rFonts w:ascii="Times New Roman" w:hAnsi="Times New Roman"/>
                <w:kern w:val="0"/>
                <w:sz w:val="18"/>
                <w:szCs w:val="18"/>
              </w:rPr>
            </w:pPr>
            <w:r>
              <w:rPr>
                <w:rFonts w:ascii="Times New Roman" w:hAnsi="Times New Roman"/>
                <w:kern w:val="0"/>
                <w:sz w:val="18"/>
                <w:szCs w:val="18"/>
              </w:rPr>
              <w:t>合成制药行业 VOCs 排放控制技术导则</w:t>
            </w:r>
          </w:p>
        </w:tc>
      </w:tr>
      <w:tr>
        <w:trPr>
          <w:gridBefore w:val="1"/>
          <w:wBefore w:w="6" w:type="pct"/>
          <w:trHeight w:val="584"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spacing w:before="3"/>
              <w:rPr>
                <w:rFonts w:ascii="Times New Roman" w:hAnsi="Times New Roman"/>
                <w:kern w:val="0"/>
                <w:sz w:val="18"/>
                <w:szCs w:val="18"/>
              </w:rPr>
            </w:pPr>
            <w:r>
              <w:rPr>
                <w:rFonts w:ascii="Times New Roman" w:hAnsi="Times New Roman"/>
                <w:kern w:val="0"/>
                <w:sz w:val="18"/>
                <w:szCs w:val="18"/>
              </w:rPr>
              <w:t>EPA-450/2-78-030</w:t>
            </w:r>
          </w:p>
          <w:p>
            <w:pPr>
              <w:spacing w:before="3"/>
              <w:rPr>
                <w:rFonts w:ascii="Times New Roman" w:hAnsi="Times New Roman"/>
                <w:kern w:val="0"/>
                <w:sz w:val="18"/>
                <w:szCs w:val="18"/>
              </w:rPr>
            </w:pPr>
            <w:r>
              <w:rPr>
                <w:rFonts w:ascii="Times New Roman" w:hAnsi="Times New Roman"/>
                <w:kern w:val="0"/>
                <w:sz w:val="18"/>
                <w:szCs w:val="18"/>
              </w:rPr>
              <w:t>1978/12</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spacing w:line="267" w:lineRule="exact"/>
              <w:rPr>
                <w:rFonts w:ascii="Times New Roman" w:hAnsi="Times New Roman"/>
                <w:kern w:val="0"/>
                <w:sz w:val="18"/>
                <w:szCs w:val="18"/>
              </w:rPr>
            </w:pPr>
            <w:r>
              <w:rPr>
                <w:rFonts w:ascii="Times New Roman" w:hAnsi="Times New Roman"/>
                <w:kern w:val="0"/>
                <w:sz w:val="18"/>
                <w:szCs w:val="18"/>
              </w:rPr>
              <w:t>轮胎制造行业 VOCs 排放控制技术导则</w:t>
            </w:r>
          </w:p>
        </w:tc>
      </w:tr>
      <w:tr>
        <w:trPr>
          <w:gridBefore w:val="1"/>
          <w:wBefore w:w="6" w:type="pct"/>
          <w:trHeight w:val="552" w:hRule="atLeast"/>
          <w:jc w:val="center"/>
        </w:trPr>
        <w:tc>
          <w:tcPr>
            <w:tcW w:w="1226" w:type="pct"/>
            <w:gridSpan w:val="2"/>
            <w:tcBorders>
              <w:top w:val="single" w:color="000000" w:sz="4" w:space="0"/>
              <w:left w:val="single" w:color="000000" w:sz="4" w:space="0"/>
              <w:right w:val="single" w:color="000000" w:sz="4" w:space="0"/>
            </w:tcBorders>
          </w:tcPr>
          <w:p>
            <w:pPr>
              <w:spacing w:before="3"/>
              <w:rPr>
                <w:rFonts w:ascii="Times New Roman" w:hAnsi="Times New Roman"/>
                <w:kern w:val="0"/>
                <w:sz w:val="18"/>
                <w:szCs w:val="18"/>
              </w:rPr>
            </w:pPr>
            <w:r>
              <w:rPr>
                <w:rFonts w:ascii="Times New Roman" w:hAnsi="Times New Roman"/>
                <w:kern w:val="0"/>
                <w:sz w:val="18"/>
                <w:szCs w:val="18"/>
              </w:rPr>
              <w:t>EPA-450/2-78-033</w:t>
            </w:r>
          </w:p>
          <w:p>
            <w:pPr>
              <w:spacing w:before="3"/>
              <w:rPr>
                <w:rFonts w:ascii="Times New Roman" w:hAnsi="Times New Roman"/>
                <w:kern w:val="0"/>
                <w:sz w:val="18"/>
                <w:szCs w:val="18"/>
              </w:rPr>
            </w:pPr>
            <w:r>
              <w:rPr>
                <w:rFonts w:ascii="Times New Roman" w:hAnsi="Times New Roman"/>
                <w:kern w:val="0"/>
                <w:sz w:val="18"/>
                <w:szCs w:val="18"/>
              </w:rPr>
              <w:t>1978/12</w:t>
            </w:r>
          </w:p>
        </w:tc>
        <w:tc>
          <w:tcPr>
            <w:tcW w:w="3768" w:type="pct"/>
            <w:gridSpan w:val="2"/>
            <w:tcBorders>
              <w:top w:val="single" w:color="000000" w:sz="4" w:space="0"/>
              <w:left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现有固定源 VOCs 排放控制技术导则 卷 VIII：平面艺术品凹版印刷和柔性版印刷过程控制</w:t>
            </w:r>
          </w:p>
        </w:tc>
      </w:tr>
      <w:tr>
        <w:trPr>
          <w:gridBefore w:val="1"/>
          <w:wBefore w:w="6" w:type="pct"/>
          <w:trHeight w:val="630"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spacing w:before="3"/>
              <w:rPr>
                <w:rFonts w:ascii="Times New Roman" w:hAnsi="Times New Roman"/>
                <w:kern w:val="0"/>
                <w:sz w:val="18"/>
                <w:szCs w:val="18"/>
              </w:rPr>
            </w:pPr>
            <w:r>
              <w:rPr>
                <w:rFonts w:ascii="Times New Roman" w:hAnsi="Times New Roman"/>
                <w:kern w:val="0"/>
                <w:sz w:val="18"/>
                <w:szCs w:val="18"/>
              </w:rPr>
              <w:t>EPA-450/2-78-047</w:t>
            </w:r>
          </w:p>
          <w:p>
            <w:pPr>
              <w:spacing w:before="3"/>
              <w:rPr>
                <w:rFonts w:ascii="Times New Roman" w:hAnsi="Times New Roman"/>
                <w:kern w:val="0"/>
                <w:sz w:val="18"/>
                <w:szCs w:val="18"/>
              </w:rPr>
            </w:pPr>
            <w:r>
              <w:rPr>
                <w:rFonts w:ascii="Times New Roman" w:hAnsi="Times New Roman"/>
                <w:kern w:val="0"/>
                <w:sz w:val="18"/>
                <w:szCs w:val="18"/>
              </w:rPr>
              <w:t>1978/12</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spacing w:line="267" w:lineRule="exact"/>
              <w:rPr>
                <w:rFonts w:ascii="Times New Roman" w:hAnsi="Times New Roman"/>
                <w:kern w:val="0"/>
                <w:sz w:val="18"/>
                <w:szCs w:val="18"/>
              </w:rPr>
            </w:pPr>
            <w:r>
              <w:rPr>
                <w:rFonts w:ascii="Times New Roman" w:hAnsi="Times New Roman"/>
                <w:kern w:val="0"/>
                <w:sz w:val="18"/>
                <w:szCs w:val="18"/>
              </w:rPr>
              <w:t>液体石油产品外置浮顶罐 VOCs 排放控制技术导则</w:t>
            </w:r>
          </w:p>
        </w:tc>
      </w:tr>
      <w:tr>
        <w:trPr>
          <w:gridBefore w:val="1"/>
          <w:wBefore w:w="6" w:type="pct"/>
          <w:trHeight w:val="568"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spacing w:before="3"/>
              <w:rPr>
                <w:rFonts w:ascii="Times New Roman" w:hAnsi="Times New Roman"/>
                <w:kern w:val="0"/>
                <w:sz w:val="18"/>
                <w:szCs w:val="18"/>
              </w:rPr>
            </w:pPr>
            <w:r>
              <w:rPr>
                <w:rFonts w:ascii="Times New Roman" w:hAnsi="Times New Roman"/>
                <w:kern w:val="0"/>
                <w:sz w:val="18"/>
                <w:szCs w:val="18"/>
              </w:rPr>
              <w:t>EPA-450/2-78-050</w:t>
            </w:r>
          </w:p>
          <w:p>
            <w:pPr>
              <w:spacing w:before="3"/>
              <w:rPr>
                <w:rFonts w:ascii="Times New Roman" w:hAnsi="Times New Roman"/>
                <w:kern w:val="0"/>
                <w:sz w:val="18"/>
                <w:szCs w:val="18"/>
              </w:rPr>
            </w:pPr>
            <w:r>
              <w:rPr>
                <w:rFonts w:ascii="Times New Roman" w:hAnsi="Times New Roman"/>
                <w:kern w:val="0"/>
                <w:sz w:val="18"/>
                <w:szCs w:val="18"/>
              </w:rPr>
              <w:t>1978/12</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spacing w:line="267" w:lineRule="exact"/>
              <w:rPr>
                <w:rFonts w:ascii="Times New Roman" w:hAnsi="Times New Roman"/>
                <w:kern w:val="0"/>
                <w:sz w:val="18"/>
                <w:szCs w:val="18"/>
              </w:rPr>
            </w:pPr>
            <w:r>
              <w:rPr>
                <w:rFonts w:ascii="Times New Roman" w:hAnsi="Times New Roman"/>
                <w:kern w:val="0"/>
                <w:sz w:val="18"/>
                <w:szCs w:val="18"/>
              </w:rPr>
              <w:t>全氯乙烯干洗系统 VOCs 排放控制技术导则</w:t>
            </w:r>
          </w:p>
        </w:tc>
      </w:tr>
      <w:tr>
        <w:trPr>
          <w:gridBefore w:val="1"/>
          <w:wBefore w:w="6" w:type="pct"/>
          <w:trHeight w:val="581"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spacing w:before="3"/>
              <w:rPr>
                <w:rFonts w:ascii="Times New Roman" w:hAnsi="Times New Roman"/>
                <w:kern w:val="0"/>
                <w:sz w:val="18"/>
                <w:szCs w:val="18"/>
              </w:rPr>
            </w:pPr>
            <w:r>
              <w:rPr>
                <w:rFonts w:ascii="Times New Roman" w:hAnsi="Times New Roman"/>
                <w:kern w:val="0"/>
                <w:sz w:val="18"/>
                <w:szCs w:val="18"/>
              </w:rPr>
              <w:t>EPA-450/2-78-051</w:t>
            </w:r>
          </w:p>
          <w:p>
            <w:pPr>
              <w:spacing w:before="3"/>
              <w:rPr>
                <w:rFonts w:ascii="Times New Roman" w:hAnsi="Times New Roman"/>
                <w:kern w:val="0"/>
                <w:sz w:val="18"/>
                <w:szCs w:val="18"/>
              </w:rPr>
            </w:pPr>
            <w:r>
              <w:rPr>
                <w:rFonts w:ascii="Times New Roman" w:hAnsi="Times New Roman"/>
                <w:kern w:val="0"/>
                <w:sz w:val="18"/>
                <w:szCs w:val="18"/>
              </w:rPr>
              <w:t>1978/12</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spacing w:line="267" w:lineRule="exact"/>
              <w:rPr>
                <w:rFonts w:ascii="Times New Roman" w:hAnsi="Times New Roman"/>
                <w:kern w:val="0"/>
                <w:sz w:val="18"/>
                <w:szCs w:val="18"/>
              </w:rPr>
            </w:pPr>
            <w:r>
              <w:rPr>
                <w:rFonts w:ascii="Times New Roman" w:hAnsi="Times New Roman"/>
                <w:kern w:val="0"/>
                <w:sz w:val="18"/>
                <w:szCs w:val="18"/>
              </w:rPr>
              <w:t>汽油罐车和有机蒸汽收集系统 VOCs 泄漏控制技术导则</w:t>
            </w:r>
          </w:p>
        </w:tc>
      </w:tr>
      <w:tr>
        <w:trPr>
          <w:gridBefore w:val="1"/>
          <w:wBefore w:w="6" w:type="pct"/>
          <w:trHeight w:val="575"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spacing w:before="3"/>
              <w:rPr>
                <w:rFonts w:ascii="Times New Roman" w:hAnsi="Times New Roman"/>
                <w:kern w:val="0"/>
                <w:sz w:val="18"/>
                <w:szCs w:val="18"/>
              </w:rPr>
            </w:pPr>
            <w:r>
              <w:rPr>
                <w:rFonts w:ascii="Times New Roman" w:hAnsi="Times New Roman"/>
                <w:kern w:val="0"/>
                <w:sz w:val="18"/>
                <w:szCs w:val="18"/>
              </w:rPr>
              <w:t>EPA-450/3-82-009</w:t>
            </w:r>
          </w:p>
          <w:p>
            <w:pPr>
              <w:spacing w:before="3"/>
              <w:rPr>
                <w:rFonts w:ascii="Times New Roman" w:hAnsi="Times New Roman"/>
                <w:kern w:val="0"/>
                <w:sz w:val="18"/>
                <w:szCs w:val="18"/>
              </w:rPr>
            </w:pPr>
            <w:r>
              <w:rPr>
                <w:rFonts w:ascii="Times New Roman" w:hAnsi="Times New Roman"/>
                <w:kern w:val="0"/>
                <w:sz w:val="18"/>
                <w:szCs w:val="18"/>
              </w:rPr>
              <w:t>1982/09</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spacing w:line="267" w:lineRule="exact"/>
              <w:rPr>
                <w:rFonts w:ascii="Times New Roman" w:hAnsi="Times New Roman"/>
                <w:kern w:val="0"/>
                <w:sz w:val="18"/>
                <w:szCs w:val="18"/>
              </w:rPr>
            </w:pPr>
            <w:r>
              <w:rPr>
                <w:rFonts w:ascii="Times New Roman" w:hAnsi="Times New Roman"/>
                <w:kern w:val="0"/>
                <w:sz w:val="18"/>
                <w:szCs w:val="18"/>
              </w:rPr>
              <w:t>大型石油干洗设备 VOCs 排放控制技术导则</w:t>
            </w:r>
          </w:p>
        </w:tc>
      </w:tr>
      <w:tr>
        <w:trPr>
          <w:gridBefore w:val="1"/>
          <w:wBefore w:w="6" w:type="pct"/>
          <w:trHeight w:val="552" w:hRule="atLeast"/>
          <w:jc w:val="center"/>
        </w:trPr>
        <w:tc>
          <w:tcPr>
            <w:tcW w:w="1226" w:type="pct"/>
            <w:gridSpan w:val="2"/>
            <w:tcBorders>
              <w:top w:val="single" w:color="000000" w:sz="4" w:space="0"/>
              <w:left w:val="single" w:color="000000" w:sz="4" w:space="0"/>
              <w:right w:val="single" w:color="000000" w:sz="4" w:space="0"/>
            </w:tcBorders>
          </w:tcPr>
          <w:p>
            <w:pPr>
              <w:spacing w:before="3"/>
              <w:rPr>
                <w:rFonts w:ascii="Times New Roman" w:hAnsi="Times New Roman"/>
                <w:kern w:val="0"/>
                <w:sz w:val="18"/>
                <w:szCs w:val="18"/>
              </w:rPr>
            </w:pPr>
            <w:r>
              <w:rPr>
                <w:rFonts w:ascii="Times New Roman" w:hAnsi="Times New Roman"/>
                <w:kern w:val="0"/>
                <w:sz w:val="18"/>
                <w:szCs w:val="18"/>
              </w:rPr>
              <w:t>EPA-450/3-83-008</w:t>
            </w:r>
          </w:p>
          <w:p>
            <w:pPr>
              <w:spacing w:before="3"/>
              <w:rPr>
                <w:rFonts w:ascii="Times New Roman" w:hAnsi="Times New Roman"/>
                <w:kern w:val="0"/>
                <w:sz w:val="18"/>
                <w:szCs w:val="18"/>
              </w:rPr>
            </w:pPr>
            <w:r>
              <w:rPr>
                <w:rFonts w:ascii="Times New Roman" w:hAnsi="Times New Roman"/>
                <w:kern w:val="0"/>
                <w:sz w:val="18"/>
                <w:szCs w:val="18"/>
              </w:rPr>
              <w:t>1983/11</w:t>
            </w:r>
          </w:p>
        </w:tc>
        <w:tc>
          <w:tcPr>
            <w:tcW w:w="3768" w:type="pct"/>
            <w:gridSpan w:val="2"/>
            <w:tcBorders>
              <w:top w:val="single" w:color="000000" w:sz="4" w:space="0"/>
              <w:left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高密度聚乙烯、聚丙烯和聚苯乙烯树脂制造行业 VOCs  排放控制技术导则</w:t>
            </w:r>
          </w:p>
        </w:tc>
      </w:tr>
      <w:tr>
        <w:trPr>
          <w:gridBefore w:val="1"/>
          <w:wBefore w:w="6" w:type="pct"/>
          <w:trHeight w:val="281"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spacing w:before="3"/>
              <w:rPr>
                <w:rFonts w:ascii="Times New Roman" w:hAnsi="Times New Roman"/>
                <w:kern w:val="0"/>
                <w:sz w:val="18"/>
                <w:szCs w:val="18"/>
              </w:rPr>
            </w:pPr>
            <w:r>
              <w:rPr>
                <w:rFonts w:ascii="Times New Roman" w:hAnsi="Times New Roman"/>
                <w:kern w:val="0"/>
                <w:sz w:val="18"/>
                <w:szCs w:val="18"/>
              </w:rPr>
              <w:t>EPA-450/3-83-007</w:t>
            </w:r>
          </w:p>
          <w:p>
            <w:pPr>
              <w:spacing w:before="3"/>
              <w:rPr>
                <w:rFonts w:ascii="Times New Roman" w:hAnsi="Times New Roman"/>
                <w:kern w:val="0"/>
                <w:sz w:val="18"/>
                <w:szCs w:val="18"/>
              </w:rPr>
            </w:pPr>
            <w:r>
              <w:rPr>
                <w:rFonts w:ascii="Times New Roman" w:hAnsi="Times New Roman"/>
                <w:kern w:val="0"/>
                <w:sz w:val="18"/>
                <w:szCs w:val="18"/>
              </w:rPr>
              <w:t>1983/12</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spacing w:line="267" w:lineRule="exact"/>
              <w:rPr>
                <w:rFonts w:ascii="Times New Roman" w:hAnsi="Times New Roman"/>
                <w:kern w:val="0"/>
                <w:sz w:val="18"/>
                <w:szCs w:val="18"/>
              </w:rPr>
            </w:pPr>
            <w:r>
              <w:rPr>
                <w:rFonts w:ascii="Times New Roman" w:hAnsi="Times New Roman"/>
                <w:kern w:val="0"/>
                <w:sz w:val="18"/>
                <w:szCs w:val="18"/>
              </w:rPr>
              <w:t>天然气/汽油加工厂设备 VOCs 泄漏控制技术导则</w:t>
            </w:r>
          </w:p>
        </w:tc>
      </w:tr>
      <w:tr>
        <w:trPr>
          <w:gridBefore w:val="1"/>
          <w:wBefore w:w="6" w:type="pct"/>
          <w:trHeight w:val="281"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spacing w:before="3"/>
              <w:rPr>
                <w:rFonts w:ascii="Times New Roman" w:hAnsi="Times New Roman"/>
                <w:kern w:val="0"/>
                <w:sz w:val="18"/>
                <w:szCs w:val="18"/>
              </w:rPr>
            </w:pPr>
            <w:r>
              <w:rPr>
                <w:rFonts w:ascii="Times New Roman" w:hAnsi="Times New Roman"/>
                <w:kern w:val="0"/>
                <w:sz w:val="18"/>
                <w:szCs w:val="18"/>
              </w:rPr>
              <w:t>EPA-450/3-83-006</w:t>
            </w:r>
          </w:p>
          <w:p>
            <w:pPr>
              <w:spacing w:before="3"/>
              <w:rPr>
                <w:rFonts w:ascii="Times New Roman" w:hAnsi="Times New Roman"/>
                <w:kern w:val="0"/>
                <w:sz w:val="18"/>
                <w:szCs w:val="18"/>
              </w:rPr>
            </w:pPr>
            <w:r>
              <w:rPr>
                <w:rFonts w:ascii="Times New Roman" w:hAnsi="Times New Roman"/>
                <w:kern w:val="0"/>
                <w:sz w:val="18"/>
                <w:szCs w:val="18"/>
              </w:rPr>
              <w:t>1984/03</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spacing w:line="267" w:lineRule="exact"/>
              <w:rPr>
                <w:rFonts w:ascii="Times New Roman" w:hAnsi="Times New Roman"/>
                <w:kern w:val="0"/>
                <w:sz w:val="18"/>
                <w:szCs w:val="18"/>
              </w:rPr>
            </w:pPr>
            <w:r>
              <w:rPr>
                <w:rFonts w:ascii="Times New Roman" w:hAnsi="Times New Roman"/>
                <w:kern w:val="0"/>
                <w:sz w:val="18"/>
                <w:szCs w:val="18"/>
              </w:rPr>
              <w:t>有机合成聚合物和树脂制造设备 VOCs 泄漏控制技术导则</w:t>
            </w:r>
          </w:p>
        </w:tc>
      </w:tr>
      <w:tr>
        <w:trPr>
          <w:gridBefore w:val="1"/>
          <w:wBefore w:w="6" w:type="pct"/>
          <w:trHeight w:val="281" w:hRule="exact"/>
          <w:jc w:val="center"/>
        </w:trPr>
        <w:tc>
          <w:tcPr>
            <w:tcW w:w="1226" w:type="pct"/>
            <w:gridSpan w:val="2"/>
            <w:tcBorders>
              <w:top w:val="single" w:color="000000" w:sz="4" w:space="0"/>
              <w:left w:val="single" w:color="000000" w:sz="4" w:space="0"/>
              <w:bottom w:val="single" w:color="auto" w:sz="4" w:space="0"/>
              <w:right w:val="single" w:color="000000" w:sz="4" w:space="0"/>
            </w:tcBorders>
          </w:tcPr>
          <w:p>
            <w:pPr>
              <w:spacing w:before="3"/>
              <w:rPr>
                <w:rFonts w:ascii="Times New Roman" w:hAnsi="Times New Roman"/>
                <w:kern w:val="0"/>
                <w:sz w:val="18"/>
                <w:szCs w:val="18"/>
              </w:rPr>
            </w:pPr>
            <w:r>
              <w:rPr>
                <w:rFonts w:ascii="Times New Roman" w:hAnsi="Times New Roman"/>
                <w:kern w:val="0"/>
                <w:sz w:val="18"/>
                <w:szCs w:val="18"/>
              </w:rPr>
              <w:t>EPA-450/3-84-015</w:t>
            </w:r>
          </w:p>
          <w:p>
            <w:pPr>
              <w:spacing w:before="3"/>
              <w:rPr>
                <w:rFonts w:ascii="Times New Roman" w:hAnsi="Times New Roman"/>
                <w:kern w:val="0"/>
                <w:sz w:val="18"/>
                <w:szCs w:val="18"/>
              </w:rPr>
            </w:pPr>
            <w:r>
              <w:rPr>
                <w:rFonts w:ascii="Times New Roman" w:hAnsi="Times New Roman"/>
                <w:kern w:val="0"/>
                <w:sz w:val="18"/>
                <w:szCs w:val="18"/>
              </w:rPr>
              <w:t>1984/12</w:t>
            </w:r>
          </w:p>
        </w:tc>
        <w:tc>
          <w:tcPr>
            <w:tcW w:w="3768" w:type="pct"/>
            <w:gridSpan w:val="2"/>
            <w:tcBorders>
              <w:top w:val="single" w:color="000000" w:sz="4" w:space="0"/>
              <w:left w:val="single" w:color="000000" w:sz="4" w:space="0"/>
              <w:bottom w:val="single" w:color="auto" w:sz="4" w:space="0"/>
              <w:right w:val="single" w:color="000000" w:sz="4" w:space="0"/>
            </w:tcBorders>
            <w:vAlign w:val="center"/>
          </w:tcPr>
          <w:p>
            <w:pPr>
              <w:spacing w:line="267" w:lineRule="exact"/>
              <w:rPr>
                <w:rFonts w:ascii="Times New Roman" w:hAnsi="Times New Roman"/>
                <w:kern w:val="0"/>
                <w:sz w:val="18"/>
                <w:szCs w:val="18"/>
              </w:rPr>
            </w:pPr>
            <w:r>
              <w:rPr>
                <w:rFonts w:ascii="Times New Roman" w:hAnsi="Times New Roman"/>
                <w:kern w:val="0"/>
                <w:sz w:val="18"/>
                <w:szCs w:val="18"/>
              </w:rPr>
              <w:t>有机化工行业空气氧化过程 VOCs 排放控制技术导则</w:t>
            </w:r>
          </w:p>
        </w:tc>
      </w:tr>
      <w:tr>
        <w:trPr>
          <w:gridBefore w:val="1"/>
          <w:wBefore w:w="6" w:type="pct"/>
          <w:trHeight w:val="552" w:hRule="atLeast"/>
          <w:jc w:val="center"/>
        </w:trPr>
        <w:tc>
          <w:tcPr>
            <w:tcW w:w="1226" w:type="pct"/>
            <w:gridSpan w:val="2"/>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kern w:val="0"/>
                <w:sz w:val="18"/>
                <w:szCs w:val="18"/>
              </w:rPr>
            </w:pPr>
            <w:r>
              <w:rPr>
                <w:rFonts w:ascii="Times New Roman" w:hAnsi="Times New Roman"/>
                <w:kern w:val="0"/>
                <w:sz w:val="18"/>
                <w:szCs w:val="18"/>
              </w:rPr>
              <w:t>EPA-450/4-91-031</w:t>
            </w:r>
          </w:p>
          <w:p>
            <w:pPr>
              <w:rPr>
                <w:rFonts w:ascii="Times New Roman" w:hAnsi="Times New Roman"/>
                <w:kern w:val="0"/>
                <w:sz w:val="18"/>
                <w:szCs w:val="18"/>
              </w:rPr>
            </w:pPr>
            <w:r>
              <w:rPr>
                <w:rFonts w:ascii="Times New Roman" w:hAnsi="Times New Roman"/>
                <w:kern w:val="0"/>
                <w:sz w:val="18"/>
                <w:szCs w:val="18"/>
              </w:rPr>
              <w:t>1993/08</w:t>
            </w:r>
          </w:p>
        </w:tc>
        <w:tc>
          <w:tcPr>
            <w:tcW w:w="3768" w:type="pct"/>
            <w:gridSpan w:val="2"/>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kern w:val="0"/>
                <w:sz w:val="18"/>
                <w:szCs w:val="18"/>
              </w:rPr>
            </w:pPr>
            <w:r>
              <w:rPr>
                <w:rFonts w:ascii="Times New Roman" w:hAnsi="Times New Roman"/>
                <w:kern w:val="0"/>
                <w:sz w:val="18"/>
                <w:szCs w:val="18"/>
              </w:rPr>
              <w:t>有机化工行业反应器与精馏操作过程 VOCs 排放控制技术导则</w:t>
            </w:r>
          </w:p>
        </w:tc>
      </w:tr>
      <w:tr>
        <w:trPr>
          <w:gridBefore w:val="1"/>
          <w:wBefore w:w="6" w:type="pct"/>
          <w:trHeight w:val="570" w:hRule="exact"/>
          <w:jc w:val="center"/>
        </w:trPr>
        <w:tc>
          <w:tcPr>
            <w:tcW w:w="1226" w:type="pct"/>
            <w:gridSpan w:val="2"/>
            <w:tcBorders>
              <w:top w:val="single" w:color="auto"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EPA-453/R-96-007</w:t>
            </w:r>
          </w:p>
          <w:p>
            <w:pPr>
              <w:rPr>
                <w:rFonts w:ascii="Times New Roman" w:hAnsi="Times New Roman"/>
                <w:kern w:val="0"/>
                <w:sz w:val="18"/>
                <w:szCs w:val="18"/>
              </w:rPr>
            </w:pPr>
            <w:r>
              <w:rPr>
                <w:rFonts w:ascii="Times New Roman" w:hAnsi="Times New Roman"/>
                <w:kern w:val="0"/>
                <w:sz w:val="18"/>
                <w:szCs w:val="18"/>
              </w:rPr>
              <w:t>1996/04</w:t>
            </w:r>
          </w:p>
        </w:tc>
        <w:tc>
          <w:tcPr>
            <w:tcW w:w="3768" w:type="pct"/>
            <w:gridSpan w:val="2"/>
            <w:tcBorders>
              <w:top w:val="single" w:color="auto"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木质家具制造行业 VOCs 排放控制技术导则</w:t>
            </w:r>
          </w:p>
        </w:tc>
      </w:tr>
      <w:tr>
        <w:trPr>
          <w:gridBefore w:val="1"/>
          <w:wBefore w:w="6" w:type="pct"/>
          <w:trHeight w:val="564"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61 FR-44050 8/27/96</w:t>
            </w:r>
          </w:p>
          <w:p>
            <w:pPr>
              <w:rPr>
                <w:rFonts w:ascii="Times New Roman" w:hAnsi="Times New Roman"/>
                <w:kern w:val="0"/>
                <w:sz w:val="18"/>
                <w:szCs w:val="18"/>
              </w:rPr>
            </w:pPr>
            <w:r>
              <w:rPr>
                <w:rFonts w:ascii="Times New Roman" w:hAnsi="Times New Roman"/>
                <w:kern w:val="0"/>
                <w:sz w:val="18"/>
                <w:szCs w:val="18"/>
              </w:rPr>
              <w:t>1996/08</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船舶制造和维修过程（表面涂装）VOCs 控制技术导则</w:t>
            </w:r>
          </w:p>
        </w:tc>
      </w:tr>
      <w:tr>
        <w:trPr>
          <w:gridBefore w:val="1"/>
          <w:wBefore w:w="6" w:type="pct"/>
          <w:trHeight w:val="572"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59 FR-29216 6/06/94</w:t>
            </w:r>
          </w:p>
          <w:p>
            <w:pPr>
              <w:rPr>
                <w:rFonts w:ascii="Times New Roman" w:hAnsi="Times New Roman"/>
                <w:kern w:val="0"/>
                <w:sz w:val="18"/>
                <w:szCs w:val="18"/>
              </w:rPr>
            </w:pPr>
            <w:r>
              <w:rPr>
                <w:rFonts w:ascii="Times New Roman" w:hAnsi="Times New Roman"/>
                <w:kern w:val="0"/>
                <w:sz w:val="18"/>
                <w:szCs w:val="18"/>
              </w:rPr>
              <w:t>1994/06</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航空制造与维修业有害空气污染排放控制标准</w:t>
            </w:r>
          </w:p>
        </w:tc>
      </w:tr>
      <w:tr>
        <w:trPr>
          <w:gridBefore w:val="1"/>
          <w:wBefore w:w="6" w:type="pct"/>
          <w:trHeight w:val="566"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EPA-453/R-97-004</w:t>
            </w:r>
          </w:p>
          <w:p>
            <w:pPr>
              <w:rPr>
                <w:rFonts w:ascii="Times New Roman" w:hAnsi="Times New Roman"/>
                <w:kern w:val="0"/>
                <w:sz w:val="18"/>
                <w:szCs w:val="18"/>
              </w:rPr>
            </w:pPr>
            <w:r>
              <w:rPr>
                <w:rFonts w:ascii="Times New Roman" w:hAnsi="Times New Roman"/>
                <w:kern w:val="0"/>
                <w:sz w:val="18"/>
                <w:szCs w:val="18"/>
              </w:rPr>
              <w:t>1997/12</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航空制造与维修业表面涂装过程 VOCs 排放控制技术导则</w:t>
            </w:r>
          </w:p>
        </w:tc>
      </w:tr>
      <w:tr>
        <w:trPr>
          <w:gridBefore w:val="1"/>
          <w:wBefore w:w="6" w:type="pct"/>
          <w:trHeight w:val="574"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EPA-453/R-06-001</w:t>
            </w:r>
          </w:p>
          <w:p>
            <w:pPr>
              <w:rPr>
                <w:rFonts w:ascii="Times New Roman" w:hAnsi="Times New Roman"/>
                <w:kern w:val="0"/>
                <w:sz w:val="18"/>
                <w:szCs w:val="18"/>
              </w:rPr>
            </w:pPr>
            <w:r>
              <w:rPr>
                <w:rFonts w:ascii="Times New Roman" w:hAnsi="Times New Roman"/>
                <w:kern w:val="0"/>
                <w:sz w:val="18"/>
                <w:szCs w:val="18"/>
              </w:rPr>
              <w:t>2006/09</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工业清洗溶剂污染控制技术导则</w:t>
            </w:r>
          </w:p>
        </w:tc>
      </w:tr>
      <w:tr>
        <w:trPr>
          <w:gridBefore w:val="1"/>
          <w:wBefore w:w="6" w:type="pct"/>
          <w:trHeight w:val="554"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EPA-453/R-06-002</w:t>
            </w:r>
          </w:p>
          <w:p>
            <w:pPr>
              <w:rPr>
                <w:rFonts w:ascii="Times New Roman" w:hAnsi="Times New Roman"/>
                <w:kern w:val="0"/>
                <w:sz w:val="18"/>
                <w:szCs w:val="18"/>
              </w:rPr>
            </w:pPr>
            <w:r>
              <w:rPr>
                <w:rFonts w:ascii="Times New Roman" w:hAnsi="Times New Roman"/>
                <w:kern w:val="0"/>
                <w:sz w:val="18"/>
                <w:szCs w:val="18"/>
              </w:rPr>
              <w:t>2006/09</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平板胶印和凸版印刷过程污染控制技术导则</w:t>
            </w:r>
          </w:p>
        </w:tc>
      </w:tr>
      <w:tr>
        <w:trPr>
          <w:gridBefore w:val="1"/>
          <w:wBefore w:w="6" w:type="pct"/>
          <w:trHeight w:val="576"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EPA-453/R-06-003</w:t>
            </w:r>
          </w:p>
          <w:p>
            <w:pPr>
              <w:rPr>
                <w:rFonts w:ascii="Times New Roman" w:hAnsi="Times New Roman"/>
                <w:kern w:val="0"/>
                <w:sz w:val="18"/>
                <w:szCs w:val="18"/>
              </w:rPr>
            </w:pPr>
            <w:r>
              <w:rPr>
                <w:rFonts w:ascii="Times New Roman" w:hAnsi="Times New Roman"/>
                <w:kern w:val="0"/>
                <w:sz w:val="18"/>
                <w:szCs w:val="18"/>
              </w:rPr>
              <w:t>2006/09</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软包装印刷污染控制技术导则</w:t>
            </w:r>
          </w:p>
        </w:tc>
      </w:tr>
      <w:tr>
        <w:trPr>
          <w:gridBefore w:val="1"/>
          <w:wBefore w:w="6" w:type="pct"/>
          <w:trHeight w:val="556"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EPA-453/R-06-004</w:t>
            </w:r>
          </w:p>
          <w:p>
            <w:pPr>
              <w:rPr>
                <w:rFonts w:ascii="Times New Roman" w:hAnsi="Times New Roman"/>
                <w:kern w:val="0"/>
                <w:sz w:val="18"/>
                <w:szCs w:val="18"/>
              </w:rPr>
            </w:pPr>
            <w:r>
              <w:rPr>
                <w:rFonts w:ascii="Times New Roman" w:hAnsi="Times New Roman"/>
                <w:kern w:val="0"/>
                <w:sz w:val="18"/>
                <w:szCs w:val="18"/>
              </w:rPr>
              <w:t>2006/09</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木质板材表面涂装过程污染控制技术导则</w:t>
            </w:r>
          </w:p>
        </w:tc>
      </w:tr>
      <w:tr>
        <w:trPr>
          <w:gridBefore w:val="1"/>
          <w:wBefore w:w="6" w:type="pct"/>
          <w:trHeight w:val="564"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EPA-453/R-07-003</w:t>
            </w:r>
          </w:p>
          <w:p>
            <w:pPr>
              <w:rPr>
                <w:rFonts w:ascii="Times New Roman" w:hAnsi="Times New Roman"/>
                <w:kern w:val="0"/>
                <w:sz w:val="18"/>
                <w:szCs w:val="18"/>
              </w:rPr>
            </w:pPr>
            <w:r>
              <w:rPr>
                <w:rFonts w:ascii="Times New Roman" w:hAnsi="Times New Roman"/>
                <w:kern w:val="0"/>
                <w:sz w:val="18"/>
                <w:szCs w:val="18"/>
              </w:rPr>
              <w:t>2007/09</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纸、胶片和金属箔表面涂装过程污染控制技术导则</w:t>
            </w:r>
          </w:p>
        </w:tc>
      </w:tr>
      <w:tr>
        <w:trPr>
          <w:gridBefore w:val="1"/>
          <w:wBefore w:w="6" w:type="pct"/>
          <w:trHeight w:val="586"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EPA-453/R-06-004</w:t>
            </w:r>
          </w:p>
          <w:p>
            <w:pPr>
              <w:rPr>
                <w:rFonts w:ascii="Times New Roman" w:hAnsi="Times New Roman"/>
                <w:kern w:val="0"/>
                <w:sz w:val="18"/>
                <w:szCs w:val="18"/>
              </w:rPr>
            </w:pPr>
            <w:r>
              <w:rPr>
                <w:rFonts w:ascii="Times New Roman" w:hAnsi="Times New Roman"/>
                <w:kern w:val="0"/>
                <w:sz w:val="18"/>
                <w:szCs w:val="18"/>
              </w:rPr>
              <w:t>2007/09</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大型家具表面涂装过程污染控制技术导则</w:t>
            </w:r>
          </w:p>
        </w:tc>
      </w:tr>
      <w:tr>
        <w:trPr>
          <w:gridBefore w:val="1"/>
          <w:wBefore w:w="6" w:type="pct"/>
          <w:trHeight w:val="552"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EPA-453/R-06-005</w:t>
            </w:r>
          </w:p>
          <w:p>
            <w:pPr>
              <w:rPr>
                <w:rFonts w:ascii="Times New Roman" w:hAnsi="Times New Roman"/>
                <w:kern w:val="0"/>
                <w:sz w:val="18"/>
                <w:szCs w:val="18"/>
              </w:rPr>
            </w:pPr>
            <w:r>
              <w:rPr>
                <w:rFonts w:ascii="Times New Roman" w:hAnsi="Times New Roman"/>
                <w:kern w:val="0"/>
                <w:sz w:val="18"/>
                <w:szCs w:val="18"/>
              </w:rPr>
              <w:t>2007/09</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金属家具涂装行业污染控制技术导则</w:t>
            </w:r>
          </w:p>
        </w:tc>
      </w:tr>
      <w:tr>
        <w:trPr>
          <w:gridBefore w:val="1"/>
          <w:wBefore w:w="6" w:type="pct"/>
          <w:trHeight w:val="574"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EPA-453/R-08-003</w:t>
            </w:r>
          </w:p>
          <w:p>
            <w:pPr>
              <w:rPr>
                <w:rFonts w:ascii="Times New Roman" w:hAnsi="Times New Roman"/>
                <w:kern w:val="0"/>
                <w:sz w:val="18"/>
                <w:szCs w:val="18"/>
              </w:rPr>
            </w:pPr>
            <w:r>
              <w:rPr>
                <w:rFonts w:ascii="Times New Roman" w:hAnsi="Times New Roman"/>
                <w:kern w:val="0"/>
                <w:sz w:val="18"/>
                <w:szCs w:val="18"/>
              </w:rPr>
              <w:t>2008/09</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金属与塑料制品涂装过程污染控制技术导则</w:t>
            </w:r>
          </w:p>
        </w:tc>
      </w:tr>
      <w:tr>
        <w:trPr>
          <w:gridBefore w:val="1"/>
          <w:wBefore w:w="6" w:type="pct"/>
          <w:trHeight w:val="568"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EPA-453/R-08-004</w:t>
            </w:r>
          </w:p>
          <w:p>
            <w:pPr>
              <w:rPr>
                <w:rFonts w:ascii="Times New Roman" w:hAnsi="Times New Roman"/>
                <w:kern w:val="0"/>
                <w:sz w:val="18"/>
                <w:szCs w:val="18"/>
              </w:rPr>
            </w:pPr>
            <w:r>
              <w:rPr>
                <w:rFonts w:ascii="Times New Roman" w:hAnsi="Times New Roman"/>
                <w:kern w:val="0"/>
                <w:sz w:val="18"/>
                <w:szCs w:val="18"/>
              </w:rPr>
              <w:t>2008/09</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玻璃纤维船只制造用材料的污染控制技术导则</w:t>
            </w:r>
          </w:p>
        </w:tc>
      </w:tr>
      <w:tr>
        <w:trPr>
          <w:gridBefore w:val="1"/>
          <w:wBefore w:w="6" w:type="pct"/>
          <w:trHeight w:val="562"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EPA-453/R-08-005</w:t>
            </w:r>
          </w:p>
          <w:p>
            <w:pPr>
              <w:rPr>
                <w:rFonts w:ascii="Times New Roman" w:hAnsi="Times New Roman"/>
                <w:kern w:val="0"/>
                <w:sz w:val="18"/>
                <w:szCs w:val="18"/>
              </w:rPr>
            </w:pPr>
            <w:r>
              <w:rPr>
                <w:rFonts w:ascii="Times New Roman" w:hAnsi="Times New Roman"/>
                <w:kern w:val="0"/>
                <w:sz w:val="18"/>
                <w:szCs w:val="18"/>
              </w:rPr>
              <w:t>2008/09</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工业粘结剂污染控制技术导则</w:t>
            </w:r>
          </w:p>
        </w:tc>
      </w:tr>
      <w:tr>
        <w:trPr>
          <w:gridBefore w:val="1"/>
          <w:wBefore w:w="6" w:type="pct"/>
          <w:trHeight w:val="570"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EPA-453/R-08-006</w:t>
            </w:r>
          </w:p>
          <w:p>
            <w:pPr>
              <w:rPr>
                <w:rFonts w:ascii="Times New Roman" w:hAnsi="Times New Roman"/>
                <w:kern w:val="0"/>
                <w:sz w:val="18"/>
                <w:szCs w:val="18"/>
              </w:rPr>
            </w:pPr>
            <w:r>
              <w:rPr>
                <w:rFonts w:ascii="Times New Roman" w:hAnsi="Times New Roman"/>
                <w:kern w:val="0"/>
                <w:sz w:val="18"/>
                <w:szCs w:val="18"/>
              </w:rPr>
              <w:t>2008/09</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汽车与轻型卡车零件涂装污染控制技术导则</w:t>
            </w:r>
          </w:p>
        </w:tc>
      </w:tr>
      <w:tr>
        <w:trPr>
          <w:gridBefore w:val="1"/>
          <w:wBefore w:w="6" w:type="pct"/>
          <w:trHeight w:val="564"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EPA-453/R-08-002</w:t>
            </w:r>
          </w:p>
          <w:p>
            <w:pPr>
              <w:rPr>
                <w:rFonts w:ascii="Times New Roman" w:hAnsi="Times New Roman"/>
                <w:kern w:val="0"/>
                <w:sz w:val="18"/>
                <w:szCs w:val="18"/>
              </w:rPr>
            </w:pPr>
            <w:r>
              <w:rPr>
                <w:rFonts w:ascii="Times New Roman" w:hAnsi="Times New Roman"/>
                <w:kern w:val="0"/>
                <w:sz w:val="18"/>
                <w:szCs w:val="18"/>
              </w:rPr>
              <w:t>2008/09</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汽车与轻型卡车涂装操作过程 VOCs 日排放速率确定方法</w:t>
            </w:r>
          </w:p>
        </w:tc>
      </w:tr>
      <w:tr>
        <w:trPr>
          <w:gridBefore w:val="1"/>
          <w:wBefore w:w="6" w:type="pct"/>
          <w:trHeight w:val="558"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EPA-450/3-83-012</w:t>
            </w:r>
          </w:p>
          <w:p>
            <w:pPr>
              <w:rPr>
                <w:rFonts w:ascii="Times New Roman" w:hAnsi="Times New Roman"/>
                <w:kern w:val="0"/>
                <w:sz w:val="18"/>
                <w:szCs w:val="18"/>
              </w:rPr>
            </w:pPr>
            <w:r>
              <w:rPr>
                <w:rFonts w:ascii="Times New Roman" w:hAnsi="Times New Roman"/>
                <w:kern w:val="0"/>
                <w:sz w:val="18"/>
                <w:szCs w:val="18"/>
              </w:rPr>
              <w:t>1983/05</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胶合板干燥过程 VOCs 排放控制方法</w:t>
            </w:r>
          </w:p>
        </w:tc>
      </w:tr>
      <w:tr>
        <w:trPr>
          <w:gridBefore w:val="1"/>
          <w:wBefore w:w="6" w:type="pct"/>
          <w:trHeight w:val="580"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EPA-450/3-88-007</w:t>
            </w:r>
          </w:p>
          <w:p>
            <w:pPr>
              <w:rPr>
                <w:rFonts w:ascii="Times New Roman" w:hAnsi="Times New Roman"/>
                <w:kern w:val="0"/>
                <w:sz w:val="18"/>
                <w:szCs w:val="18"/>
              </w:rPr>
            </w:pPr>
            <w:r>
              <w:rPr>
                <w:rFonts w:ascii="Times New Roman" w:hAnsi="Times New Roman"/>
                <w:kern w:val="0"/>
                <w:sz w:val="18"/>
                <w:szCs w:val="18"/>
              </w:rPr>
              <w:t>1988/08</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交通标志使用过程 VOCs 减排方法</w:t>
            </w:r>
          </w:p>
        </w:tc>
      </w:tr>
      <w:tr>
        <w:trPr>
          <w:gridBefore w:val="1"/>
          <w:wBefore w:w="6" w:type="pct"/>
          <w:trHeight w:val="581"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EPA-450/3-88-009</w:t>
            </w:r>
          </w:p>
          <w:p>
            <w:pPr>
              <w:rPr>
                <w:rFonts w:ascii="Times New Roman" w:hAnsi="Times New Roman"/>
                <w:kern w:val="0"/>
                <w:sz w:val="18"/>
                <w:szCs w:val="18"/>
              </w:rPr>
            </w:pPr>
            <w:r>
              <w:rPr>
                <w:rFonts w:ascii="Times New Roman" w:hAnsi="Times New Roman"/>
                <w:kern w:val="0"/>
                <w:sz w:val="18"/>
                <w:szCs w:val="18"/>
              </w:rPr>
              <w:t>1988/10</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汽车修补过程 VOCs 排放削减方法</w:t>
            </w:r>
          </w:p>
        </w:tc>
      </w:tr>
      <w:tr>
        <w:trPr>
          <w:gridBefore w:val="1"/>
          <w:wBefore w:w="6" w:type="pct"/>
          <w:trHeight w:val="575"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EPA-450/3-89-007</w:t>
            </w:r>
          </w:p>
          <w:p>
            <w:pPr>
              <w:rPr>
                <w:rFonts w:ascii="Times New Roman" w:hAnsi="Times New Roman"/>
                <w:kern w:val="0"/>
                <w:sz w:val="18"/>
                <w:szCs w:val="18"/>
              </w:rPr>
            </w:pPr>
            <w:r>
              <w:rPr>
                <w:rFonts w:ascii="Times New Roman" w:hAnsi="Times New Roman"/>
                <w:kern w:val="0"/>
                <w:sz w:val="18"/>
                <w:szCs w:val="18"/>
              </w:rPr>
              <w:t>1989/03</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ACT 文件-环氧乙烷消毒/熏蒸操作方法</w:t>
            </w:r>
          </w:p>
        </w:tc>
      </w:tr>
      <w:tr>
        <w:trPr>
          <w:gridBefore w:val="1"/>
          <w:wBefore w:w="6" w:type="pct"/>
          <w:trHeight w:val="569"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EPA-450/3-89-030</w:t>
            </w:r>
          </w:p>
          <w:p>
            <w:pPr>
              <w:rPr>
                <w:rFonts w:ascii="Times New Roman" w:hAnsi="Times New Roman"/>
                <w:kern w:val="0"/>
                <w:sz w:val="18"/>
                <w:szCs w:val="18"/>
              </w:rPr>
            </w:pPr>
            <w:r>
              <w:rPr>
                <w:rFonts w:ascii="Times New Roman" w:hAnsi="Times New Roman"/>
                <w:kern w:val="0"/>
                <w:sz w:val="18"/>
                <w:szCs w:val="18"/>
              </w:rPr>
              <w:t>1989/08</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ACT 文件-卤代烃溶剂清洗剂</w:t>
            </w:r>
          </w:p>
        </w:tc>
      </w:tr>
      <w:tr>
        <w:trPr>
          <w:gridBefore w:val="1"/>
          <w:wBefore w:w="6" w:type="pct"/>
          <w:trHeight w:val="549"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EPA-450/3-91-007</w:t>
            </w:r>
          </w:p>
          <w:p>
            <w:pPr>
              <w:rPr>
                <w:rFonts w:ascii="Times New Roman" w:hAnsi="Times New Roman"/>
                <w:kern w:val="0"/>
                <w:sz w:val="18"/>
                <w:szCs w:val="18"/>
              </w:rPr>
            </w:pPr>
            <w:r>
              <w:rPr>
                <w:rFonts w:ascii="Times New Roman" w:hAnsi="Times New Roman"/>
                <w:kern w:val="0"/>
                <w:sz w:val="18"/>
                <w:szCs w:val="18"/>
              </w:rPr>
              <w:t>1990/12</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ACT 文件-有机废物处理工艺排气控制</w:t>
            </w:r>
          </w:p>
        </w:tc>
      </w:tr>
      <w:tr>
        <w:trPr>
          <w:gridBefore w:val="1"/>
          <w:wBefore w:w="6" w:type="pct"/>
          <w:trHeight w:val="584"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EPA-450/3-90-020</w:t>
            </w:r>
          </w:p>
          <w:p>
            <w:pPr>
              <w:rPr>
                <w:rFonts w:ascii="Times New Roman" w:hAnsi="Times New Roman"/>
                <w:kern w:val="0"/>
                <w:sz w:val="18"/>
                <w:szCs w:val="18"/>
              </w:rPr>
            </w:pPr>
            <w:r>
              <w:rPr>
                <w:rFonts w:ascii="Times New Roman" w:hAnsi="Times New Roman"/>
                <w:kern w:val="0"/>
                <w:sz w:val="18"/>
                <w:szCs w:val="18"/>
              </w:rPr>
              <w:t>1990/09</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聚苯乙烯泡沫制造过程 VOCs 排放控制</w:t>
            </w:r>
          </w:p>
        </w:tc>
      </w:tr>
      <w:tr>
        <w:trPr>
          <w:gridBefore w:val="1"/>
          <w:wBefore w:w="6" w:type="pct"/>
          <w:trHeight w:val="564"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EPA-453/R-92-017</w:t>
            </w:r>
          </w:p>
          <w:p>
            <w:pPr>
              <w:rPr>
                <w:rFonts w:ascii="Times New Roman" w:hAnsi="Times New Roman"/>
                <w:kern w:val="0"/>
                <w:sz w:val="18"/>
                <w:szCs w:val="18"/>
              </w:rPr>
            </w:pPr>
            <w:r>
              <w:rPr>
                <w:rFonts w:ascii="Times New Roman" w:hAnsi="Times New Roman"/>
                <w:kern w:val="0"/>
                <w:sz w:val="18"/>
                <w:szCs w:val="18"/>
              </w:rPr>
              <w:t>1992/12</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ACT 文件-烤箱排放控制</w:t>
            </w:r>
          </w:p>
        </w:tc>
      </w:tr>
      <w:tr>
        <w:trPr>
          <w:gridBefore w:val="1"/>
          <w:wBefore w:w="6" w:type="pct"/>
          <w:trHeight w:val="572"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EPA-453/R-92-018</w:t>
            </w:r>
          </w:p>
          <w:p>
            <w:pPr>
              <w:rPr>
                <w:rFonts w:ascii="Times New Roman" w:hAnsi="Times New Roman"/>
                <w:kern w:val="0"/>
                <w:sz w:val="18"/>
                <w:szCs w:val="18"/>
              </w:rPr>
            </w:pPr>
            <w:r>
              <w:rPr>
                <w:rFonts w:ascii="Times New Roman" w:hAnsi="Times New Roman"/>
                <w:kern w:val="0"/>
                <w:sz w:val="18"/>
                <w:szCs w:val="18"/>
              </w:rPr>
              <w:t>1992/12</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固定源 VOCs 排放控制技术</w:t>
            </w:r>
          </w:p>
        </w:tc>
      </w:tr>
      <w:tr>
        <w:trPr>
          <w:gridBefore w:val="1"/>
          <w:wBefore w:w="6" w:type="pct"/>
          <w:trHeight w:val="566"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EPA-453/D-95-001</w:t>
            </w:r>
          </w:p>
          <w:p>
            <w:pPr>
              <w:rPr>
                <w:rFonts w:ascii="Times New Roman" w:hAnsi="Times New Roman"/>
                <w:kern w:val="0"/>
                <w:sz w:val="18"/>
                <w:szCs w:val="18"/>
              </w:rPr>
            </w:pPr>
            <w:r>
              <w:rPr>
                <w:rFonts w:ascii="Times New Roman" w:hAnsi="Times New Roman"/>
                <w:kern w:val="0"/>
                <w:sz w:val="18"/>
                <w:szCs w:val="18"/>
              </w:rPr>
              <w:t>1993/09</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平板胶印过程 VOCs 排放控制方法</w:t>
            </w:r>
          </w:p>
        </w:tc>
      </w:tr>
      <w:tr>
        <w:trPr>
          <w:gridBefore w:val="1"/>
          <w:wBefore w:w="6" w:type="pct"/>
          <w:trHeight w:val="560"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EPA-453/R-92-011</w:t>
            </w:r>
          </w:p>
          <w:p>
            <w:pPr>
              <w:rPr>
                <w:rFonts w:ascii="Times New Roman" w:hAnsi="Times New Roman"/>
                <w:kern w:val="0"/>
                <w:sz w:val="18"/>
                <w:szCs w:val="18"/>
              </w:rPr>
            </w:pPr>
            <w:r>
              <w:rPr>
                <w:rFonts w:ascii="Times New Roman" w:hAnsi="Times New Roman"/>
                <w:kern w:val="0"/>
                <w:sz w:val="18"/>
                <w:szCs w:val="18"/>
              </w:rPr>
              <w:t>1993/03</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农药使用过程 VOCs 排放控制方法</w:t>
            </w:r>
          </w:p>
        </w:tc>
      </w:tr>
      <w:tr>
        <w:trPr>
          <w:gridBefore w:val="1"/>
          <w:wBefore w:w="6" w:type="pct"/>
          <w:trHeight w:val="568"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EPA-453/R-94-032</w:t>
            </w:r>
          </w:p>
          <w:p>
            <w:pPr>
              <w:rPr>
                <w:rFonts w:ascii="Times New Roman" w:hAnsi="Times New Roman"/>
                <w:kern w:val="0"/>
                <w:sz w:val="18"/>
                <w:szCs w:val="18"/>
              </w:rPr>
            </w:pPr>
            <w:r>
              <w:rPr>
                <w:rFonts w:ascii="Times New Roman" w:hAnsi="Times New Roman"/>
                <w:kern w:val="0"/>
                <w:sz w:val="18"/>
                <w:szCs w:val="18"/>
              </w:rPr>
              <w:t>1994/04</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ACT 文件-船舶制造和维修设施表面涂装操作控制</w:t>
            </w:r>
          </w:p>
        </w:tc>
      </w:tr>
      <w:tr>
        <w:trPr>
          <w:gridBefore w:val="1"/>
          <w:wBefore w:w="6" w:type="pct"/>
          <w:trHeight w:val="562"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无编号</w:t>
            </w:r>
          </w:p>
          <w:p>
            <w:pPr>
              <w:rPr>
                <w:rFonts w:ascii="Times New Roman" w:hAnsi="Times New Roman"/>
                <w:kern w:val="0"/>
                <w:sz w:val="18"/>
                <w:szCs w:val="18"/>
              </w:rPr>
            </w:pPr>
            <w:r>
              <w:rPr>
                <w:rFonts w:ascii="Times New Roman" w:hAnsi="Times New Roman"/>
                <w:kern w:val="0"/>
                <w:sz w:val="18"/>
                <w:szCs w:val="18"/>
              </w:rPr>
              <w:t>1994</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工业废水 VOCs 排放控制技术</w:t>
            </w:r>
          </w:p>
        </w:tc>
      </w:tr>
      <w:tr>
        <w:trPr>
          <w:gridBefore w:val="1"/>
          <w:wBefore w:w="6" w:type="pct"/>
          <w:trHeight w:val="570"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EPA-453/R-94-001</w:t>
            </w:r>
          </w:p>
          <w:p>
            <w:pPr>
              <w:rPr>
                <w:rFonts w:ascii="Times New Roman" w:hAnsi="Times New Roman"/>
                <w:kern w:val="0"/>
                <w:sz w:val="18"/>
                <w:szCs w:val="18"/>
              </w:rPr>
            </w:pPr>
            <w:r>
              <w:rPr>
                <w:rFonts w:ascii="Times New Roman" w:hAnsi="Times New Roman"/>
                <w:kern w:val="0"/>
                <w:sz w:val="18"/>
                <w:szCs w:val="18"/>
              </w:rPr>
              <w:t>1994/01</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ACT 文件-浮顶罐和拱顶罐挥发性有机液体存储方法</w:t>
            </w:r>
          </w:p>
        </w:tc>
      </w:tr>
      <w:tr>
        <w:trPr>
          <w:gridBefore w:val="1"/>
          <w:wBefore w:w="6" w:type="pct"/>
          <w:trHeight w:val="564"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EPA-453/R-93-020</w:t>
            </w:r>
          </w:p>
          <w:p>
            <w:pPr>
              <w:rPr>
                <w:rFonts w:ascii="Times New Roman" w:hAnsi="Times New Roman"/>
                <w:kern w:val="0"/>
                <w:sz w:val="18"/>
                <w:szCs w:val="18"/>
              </w:rPr>
            </w:pPr>
            <w:r>
              <w:rPr>
                <w:rFonts w:ascii="Times New Roman" w:hAnsi="Times New Roman"/>
                <w:kern w:val="0"/>
                <w:sz w:val="18"/>
                <w:szCs w:val="18"/>
              </w:rPr>
              <w:t>1994/02</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ACT 文件-间歇操作过程 VOCs 排放控制方法</w:t>
            </w:r>
          </w:p>
        </w:tc>
      </w:tr>
      <w:tr>
        <w:trPr>
          <w:gridBefore w:val="1"/>
          <w:wBefore w:w="6" w:type="pct"/>
          <w:trHeight w:val="572"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EPA-453/R-94-015</w:t>
            </w:r>
          </w:p>
          <w:p>
            <w:pPr>
              <w:rPr>
                <w:rFonts w:ascii="Times New Roman" w:hAnsi="Times New Roman"/>
                <w:kern w:val="0"/>
                <w:sz w:val="18"/>
                <w:szCs w:val="18"/>
              </w:rPr>
            </w:pPr>
            <w:r>
              <w:rPr>
                <w:rFonts w:ascii="Times New Roman" w:hAnsi="Times New Roman"/>
                <w:kern w:val="0"/>
                <w:sz w:val="18"/>
                <w:szCs w:val="18"/>
              </w:rPr>
              <w:t>1994/02</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ACT 文件-工业清洗溶剂</w:t>
            </w:r>
          </w:p>
        </w:tc>
      </w:tr>
      <w:tr>
        <w:trPr>
          <w:gridBefore w:val="1"/>
          <w:wBefore w:w="6" w:type="pct"/>
          <w:trHeight w:val="566"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EPA-453/R-94-017</w:t>
            </w:r>
          </w:p>
          <w:p>
            <w:pPr>
              <w:rPr>
                <w:rFonts w:ascii="Times New Roman" w:hAnsi="Times New Roman"/>
                <w:kern w:val="0"/>
                <w:sz w:val="18"/>
                <w:szCs w:val="18"/>
              </w:rPr>
            </w:pPr>
            <w:r>
              <w:rPr>
                <w:rFonts w:ascii="Times New Roman" w:hAnsi="Times New Roman"/>
                <w:kern w:val="0"/>
                <w:sz w:val="18"/>
                <w:szCs w:val="18"/>
              </w:rPr>
              <w:t>1994/02</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ACT 文件-汽车与商用机器塑料部件表面涂装污染控制</w:t>
            </w:r>
          </w:p>
        </w:tc>
      </w:tr>
      <w:tr>
        <w:trPr>
          <w:gridBefore w:val="1"/>
          <w:wBefore w:w="6" w:type="pct"/>
          <w:trHeight w:val="574"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EPA-453/R-94-031</w:t>
            </w:r>
          </w:p>
          <w:p>
            <w:pPr>
              <w:rPr>
                <w:rFonts w:ascii="Times New Roman" w:hAnsi="Times New Roman"/>
                <w:kern w:val="0"/>
                <w:sz w:val="18"/>
                <w:szCs w:val="18"/>
              </w:rPr>
            </w:pPr>
            <w:r>
              <w:rPr>
                <w:rFonts w:ascii="Times New Roman" w:hAnsi="Times New Roman"/>
                <w:kern w:val="0"/>
                <w:sz w:val="18"/>
                <w:szCs w:val="18"/>
              </w:rPr>
              <w:t>1994/04</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ACT 文件-汽车表面修补</w:t>
            </w:r>
          </w:p>
        </w:tc>
      </w:tr>
      <w:tr>
        <w:trPr>
          <w:gridBefore w:val="1"/>
          <w:wBefore w:w="6" w:type="pct"/>
          <w:trHeight w:val="554"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EPA-453/R-94-032</w:t>
            </w:r>
          </w:p>
          <w:p>
            <w:pPr>
              <w:rPr>
                <w:rFonts w:ascii="Times New Roman" w:hAnsi="Times New Roman"/>
                <w:kern w:val="0"/>
                <w:sz w:val="18"/>
                <w:szCs w:val="18"/>
              </w:rPr>
            </w:pPr>
            <w:r>
              <w:rPr>
                <w:rFonts w:ascii="Times New Roman" w:hAnsi="Times New Roman"/>
                <w:kern w:val="0"/>
                <w:sz w:val="18"/>
                <w:szCs w:val="18"/>
              </w:rPr>
              <w:t>1994/04</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ACT 文件-船舶制造与维修设施表面涂装</w:t>
            </w:r>
          </w:p>
        </w:tc>
      </w:tr>
      <w:tr>
        <w:trPr>
          <w:gridBefore w:val="1"/>
          <w:wBefore w:w="6" w:type="pct"/>
          <w:trHeight w:val="576"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rPr>
                <w:rFonts w:ascii="Times New Roman" w:hAnsi="Times New Roman"/>
                <w:kern w:val="0"/>
                <w:sz w:val="18"/>
                <w:szCs w:val="18"/>
              </w:rPr>
            </w:pPr>
            <w:r>
              <w:rPr>
                <w:rFonts w:ascii="Times New Roman" w:hAnsi="Times New Roman"/>
                <w:kern w:val="0"/>
                <w:sz w:val="18"/>
                <w:szCs w:val="18"/>
              </w:rPr>
              <w:t>EPA-453/R-94-054</w:t>
            </w:r>
          </w:p>
          <w:p>
            <w:pPr>
              <w:rPr>
                <w:rFonts w:ascii="Times New Roman" w:hAnsi="Times New Roman"/>
                <w:kern w:val="0"/>
                <w:sz w:val="18"/>
                <w:szCs w:val="18"/>
              </w:rPr>
            </w:pPr>
            <w:r>
              <w:rPr>
                <w:rFonts w:ascii="Times New Roman" w:hAnsi="Times New Roman"/>
                <w:kern w:val="0"/>
                <w:sz w:val="18"/>
                <w:szCs w:val="18"/>
              </w:rPr>
              <w:t>1994/06</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kern w:val="0"/>
                <w:sz w:val="18"/>
                <w:szCs w:val="18"/>
              </w:rPr>
            </w:pPr>
            <w:r>
              <w:rPr>
                <w:rFonts w:ascii="Times New Roman" w:hAnsi="Times New Roman"/>
                <w:kern w:val="0"/>
                <w:sz w:val="18"/>
                <w:szCs w:val="18"/>
              </w:rPr>
              <w:t>ACT 文件-平板胶印过程 VOCs 排放控制补充材料</w:t>
            </w:r>
          </w:p>
        </w:tc>
      </w:tr>
      <w:tr>
        <w:trPr>
          <w:gridAfter w:val="1"/>
          <w:wAfter w:w="6" w:type="pct"/>
          <w:trHeight w:val="281" w:hRule="exact"/>
          <w:jc w:val="center"/>
        </w:trPr>
        <w:tc>
          <w:tcPr>
            <w:tcW w:w="4994" w:type="pct"/>
            <w:gridSpan w:val="4"/>
            <w:tcBorders>
              <w:top w:val="single" w:color="000000" w:sz="4" w:space="0"/>
              <w:left w:val="single" w:color="000000" w:sz="4" w:space="0"/>
              <w:bottom w:val="single" w:color="000000" w:sz="4" w:space="0"/>
              <w:right w:val="single" w:color="000000" w:sz="4" w:space="0"/>
            </w:tcBorders>
            <w:vAlign w:val="center"/>
          </w:tcPr>
          <w:p>
            <w:pPr>
              <w:pStyle w:val="122"/>
              <w:kinsoku w:val="0"/>
              <w:overflowPunct w:val="0"/>
              <w:spacing w:line="240" w:lineRule="exact"/>
              <w:jc w:val="center"/>
              <w:rPr>
                <w:rFonts w:eastAsia="宋体"/>
                <w:sz w:val="18"/>
                <w:szCs w:val="18"/>
              </w:rPr>
            </w:pPr>
            <w:r>
              <w:rPr>
                <w:rFonts w:eastAsia="宋体"/>
                <w:sz w:val="18"/>
                <w:szCs w:val="18"/>
              </w:rPr>
              <w:t>其他</w:t>
            </w:r>
            <w:r>
              <w:rPr>
                <w:rFonts w:eastAsia="宋体"/>
                <w:spacing w:val="-3"/>
                <w:sz w:val="18"/>
                <w:szCs w:val="18"/>
              </w:rPr>
              <w:t>文</w:t>
            </w:r>
            <w:r>
              <w:rPr>
                <w:rFonts w:eastAsia="宋体"/>
                <w:sz w:val="18"/>
                <w:szCs w:val="18"/>
              </w:rPr>
              <w:t>件</w:t>
            </w:r>
          </w:p>
        </w:tc>
      </w:tr>
      <w:tr>
        <w:trPr>
          <w:gridAfter w:val="1"/>
          <w:wAfter w:w="6" w:type="pct"/>
          <w:trHeight w:val="523"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pStyle w:val="122"/>
              <w:kinsoku w:val="0"/>
              <w:overflowPunct w:val="0"/>
              <w:spacing w:line="252" w:lineRule="exact"/>
              <w:rPr>
                <w:rFonts w:eastAsia="宋体"/>
                <w:sz w:val="18"/>
                <w:szCs w:val="18"/>
              </w:rPr>
            </w:pPr>
            <w:r>
              <w:rPr>
                <w:rFonts w:eastAsia="宋体"/>
                <w:sz w:val="18"/>
                <w:szCs w:val="18"/>
              </w:rPr>
              <w:t>E</w:t>
            </w:r>
            <w:r>
              <w:rPr>
                <w:rFonts w:eastAsia="宋体"/>
                <w:spacing w:val="-16"/>
                <w:sz w:val="18"/>
                <w:szCs w:val="18"/>
              </w:rPr>
              <w:t>P</w:t>
            </w:r>
            <w:r>
              <w:rPr>
                <w:rFonts w:eastAsia="宋体"/>
                <w:spacing w:val="-3"/>
                <w:sz w:val="18"/>
                <w:szCs w:val="18"/>
              </w:rPr>
              <w:t>A</w:t>
            </w:r>
            <w:r>
              <w:rPr>
                <w:rFonts w:eastAsia="宋体"/>
                <w:sz w:val="18"/>
                <w:szCs w:val="18"/>
              </w:rPr>
              <w:t>-</w:t>
            </w:r>
            <w:r>
              <w:rPr>
                <w:rFonts w:eastAsia="宋体"/>
                <w:spacing w:val="-2"/>
                <w:sz w:val="18"/>
                <w:szCs w:val="18"/>
              </w:rPr>
              <w:t>45</w:t>
            </w:r>
            <w:r>
              <w:rPr>
                <w:rFonts w:eastAsia="宋体"/>
                <w:sz w:val="18"/>
                <w:szCs w:val="18"/>
              </w:rPr>
              <w:t>0</w:t>
            </w:r>
            <w:r>
              <w:rPr>
                <w:rFonts w:eastAsia="宋体"/>
                <w:spacing w:val="-27"/>
                <w:sz w:val="18"/>
                <w:szCs w:val="18"/>
              </w:rPr>
              <w:t>/</w:t>
            </w:r>
            <w:r>
              <w:rPr>
                <w:rFonts w:eastAsia="宋体"/>
                <w:spacing w:val="-2"/>
                <w:sz w:val="18"/>
                <w:szCs w:val="18"/>
              </w:rPr>
              <w:t>2</w:t>
            </w:r>
            <w:r>
              <w:rPr>
                <w:rFonts w:eastAsia="宋体"/>
                <w:sz w:val="18"/>
                <w:szCs w:val="18"/>
              </w:rPr>
              <w:t>-</w:t>
            </w:r>
            <w:r>
              <w:rPr>
                <w:rFonts w:eastAsia="宋体"/>
                <w:spacing w:val="-4"/>
                <w:sz w:val="18"/>
                <w:szCs w:val="18"/>
              </w:rPr>
              <w:t>7</w:t>
            </w:r>
            <w:r>
              <w:rPr>
                <w:rFonts w:eastAsia="宋体"/>
                <w:spacing w:val="1"/>
                <w:sz w:val="18"/>
                <w:szCs w:val="18"/>
              </w:rPr>
              <w:t>8</w:t>
            </w:r>
            <w:r>
              <w:rPr>
                <w:rFonts w:eastAsia="宋体"/>
                <w:sz w:val="18"/>
                <w:szCs w:val="18"/>
              </w:rPr>
              <w:t>-</w:t>
            </w:r>
            <w:r>
              <w:rPr>
                <w:rFonts w:eastAsia="宋体"/>
                <w:spacing w:val="-4"/>
                <w:sz w:val="18"/>
                <w:szCs w:val="18"/>
              </w:rPr>
              <w:t>0</w:t>
            </w:r>
            <w:r>
              <w:rPr>
                <w:rFonts w:eastAsia="宋体"/>
                <w:spacing w:val="-2"/>
                <w:sz w:val="18"/>
                <w:szCs w:val="18"/>
              </w:rPr>
              <w:t>2</w:t>
            </w:r>
            <w:r>
              <w:rPr>
                <w:rFonts w:eastAsia="宋体"/>
                <w:sz w:val="18"/>
                <w:szCs w:val="18"/>
              </w:rPr>
              <w:t>2</w:t>
            </w:r>
          </w:p>
          <w:p>
            <w:pPr>
              <w:pStyle w:val="122"/>
              <w:kinsoku w:val="0"/>
              <w:overflowPunct w:val="0"/>
              <w:rPr>
                <w:rFonts w:eastAsia="宋体"/>
                <w:sz w:val="18"/>
                <w:szCs w:val="18"/>
              </w:rPr>
            </w:pPr>
            <w:r>
              <w:rPr>
                <w:rFonts w:eastAsia="宋体"/>
                <w:sz w:val="18"/>
                <w:szCs w:val="18"/>
              </w:rPr>
              <w:t>1</w:t>
            </w:r>
            <w:r>
              <w:rPr>
                <w:rFonts w:eastAsia="宋体"/>
                <w:spacing w:val="-7"/>
                <w:sz w:val="18"/>
                <w:szCs w:val="18"/>
              </w:rPr>
              <w:t>9</w:t>
            </w:r>
            <w:r>
              <w:rPr>
                <w:rFonts w:eastAsia="宋体"/>
                <w:spacing w:val="-2"/>
                <w:sz w:val="18"/>
                <w:szCs w:val="18"/>
              </w:rPr>
              <w:t>7</w:t>
            </w:r>
            <w:r>
              <w:rPr>
                <w:rFonts w:eastAsia="宋体"/>
                <w:spacing w:val="-26"/>
                <w:sz w:val="18"/>
                <w:szCs w:val="18"/>
              </w:rPr>
              <w:t>8</w:t>
            </w:r>
            <w:r>
              <w:rPr>
                <w:rFonts w:eastAsia="宋体"/>
                <w:spacing w:val="-32"/>
                <w:sz w:val="18"/>
                <w:szCs w:val="18"/>
              </w:rPr>
              <w:t>/</w:t>
            </w:r>
            <w:r>
              <w:rPr>
                <w:rFonts w:eastAsia="宋体"/>
                <w:sz w:val="18"/>
                <w:szCs w:val="18"/>
              </w:rPr>
              <w:t>05</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pStyle w:val="122"/>
              <w:kinsoku w:val="0"/>
              <w:overflowPunct w:val="0"/>
              <w:spacing w:before="50"/>
              <w:jc w:val="both"/>
              <w:rPr>
                <w:rFonts w:eastAsia="宋体"/>
                <w:sz w:val="18"/>
                <w:szCs w:val="18"/>
              </w:rPr>
            </w:pPr>
            <w:r>
              <w:rPr>
                <w:rFonts w:eastAsia="宋体"/>
                <w:sz w:val="18"/>
                <w:szCs w:val="18"/>
              </w:rPr>
              <w:t>固</w:t>
            </w:r>
            <w:r>
              <w:rPr>
                <w:rFonts w:eastAsia="宋体"/>
                <w:spacing w:val="-3"/>
                <w:sz w:val="18"/>
                <w:szCs w:val="18"/>
              </w:rPr>
              <w:t>定</w:t>
            </w:r>
            <w:r>
              <w:rPr>
                <w:rFonts w:eastAsia="宋体"/>
                <w:sz w:val="18"/>
                <w:szCs w:val="18"/>
              </w:rPr>
              <w:t>源</w:t>
            </w:r>
            <w:r>
              <w:rPr>
                <w:rFonts w:eastAsia="宋体"/>
                <w:spacing w:val="-52"/>
                <w:sz w:val="18"/>
                <w:szCs w:val="18"/>
              </w:rPr>
              <w:t xml:space="preserve"> </w:t>
            </w:r>
            <w:r>
              <w:rPr>
                <w:rFonts w:eastAsia="宋体"/>
                <w:spacing w:val="-3"/>
                <w:sz w:val="18"/>
                <w:szCs w:val="18"/>
              </w:rPr>
              <w:t>V</w:t>
            </w:r>
            <w:r>
              <w:rPr>
                <w:rFonts w:eastAsia="宋体"/>
                <w:spacing w:val="-6"/>
                <w:sz w:val="18"/>
                <w:szCs w:val="18"/>
              </w:rPr>
              <w:t>O</w:t>
            </w:r>
            <w:r>
              <w:rPr>
                <w:rFonts w:eastAsia="宋体"/>
                <w:sz w:val="18"/>
                <w:szCs w:val="18"/>
              </w:rPr>
              <w:t>Cs</w:t>
            </w:r>
            <w:r>
              <w:rPr>
                <w:rFonts w:eastAsia="宋体"/>
                <w:spacing w:val="6"/>
                <w:sz w:val="18"/>
                <w:szCs w:val="18"/>
              </w:rPr>
              <w:t xml:space="preserve"> </w:t>
            </w:r>
            <w:r>
              <w:rPr>
                <w:rFonts w:eastAsia="宋体"/>
                <w:spacing w:val="-3"/>
                <w:sz w:val="18"/>
                <w:szCs w:val="18"/>
              </w:rPr>
              <w:t>排</w:t>
            </w:r>
            <w:r>
              <w:rPr>
                <w:rFonts w:eastAsia="宋体"/>
                <w:sz w:val="18"/>
                <w:szCs w:val="18"/>
              </w:rPr>
              <w:t>放</w:t>
            </w:r>
            <w:r>
              <w:rPr>
                <w:rFonts w:eastAsia="宋体"/>
                <w:spacing w:val="-3"/>
                <w:sz w:val="18"/>
                <w:szCs w:val="18"/>
              </w:rPr>
              <w:t>控</w:t>
            </w:r>
            <w:r>
              <w:rPr>
                <w:rFonts w:eastAsia="宋体"/>
                <w:sz w:val="18"/>
                <w:szCs w:val="18"/>
              </w:rPr>
              <w:t>制</w:t>
            </w:r>
            <w:r>
              <w:rPr>
                <w:rFonts w:eastAsia="宋体"/>
                <w:spacing w:val="-3"/>
                <w:sz w:val="18"/>
                <w:szCs w:val="18"/>
              </w:rPr>
              <w:t>技</w:t>
            </w:r>
            <w:r>
              <w:rPr>
                <w:rFonts w:eastAsia="宋体"/>
                <w:sz w:val="18"/>
                <w:szCs w:val="18"/>
              </w:rPr>
              <w:t>术</w:t>
            </w:r>
          </w:p>
        </w:tc>
      </w:tr>
      <w:tr>
        <w:trPr>
          <w:gridAfter w:val="1"/>
          <w:wAfter w:w="6" w:type="pct"/>
          <w:trHeight w:val="523" w:hRule="exact"/>
          <w:jc w:val="center"/>
        </w:trPr>
        <w:tc>
          <w:tcPr>
            <w:tcW w:w="1226" w:type="pct"/>
            <w:gridSpan w:val="2"/>
            <w:tcBorders>
              <w:top w:val="single" w:color="000000" w:sz="4" w:space="0"/>
              <w:left w:val="single" w:color="000000" w:sz="4" w:space="0"/>
              <w:bottom w:val="single" w:color="000000" w:sz="4" w:space="0"/>
              <w:right w:val="single" w:color="000000" w:sz="4" w:space="0"/>
            </w:tcBorders>
          </w:tcPr>
          <w:p>
            <w:pPr>
              <w:pStyle w:val="122"/>
              <w:kinsoku w:val="0"/>
              <w:overflowPunct w:val="0"/>
              <w:spacing w:line="252" w:lineRule="exact"/>
              <w:rPr>
                <w:rFonts w:eastAsia="宋体"/>
                <w:sz w:val="18"/>
                <w:szCs w:val="18"/>
              </w:rPr>
            </w:pPr>
            <w:r>
              <w:rPr>
                <w:rFonts w:eastAsia="宋体"/>
                <w:sz w:val="18"/>
                <w:szCs w:val="18"/>
              </w:rPr>
              <w:t>E</w:t>
            </w:r>
            <w:r>
              <w:rPr>
                <w:rFonts w:eastAsia="宋体"/>
                <w:spacing w:val="-16"/>
                <w:sz w:val="18"/>
                <w:szCs w:val="18"/>
              </w:rPr>
              <w:t>P</w:t>
            </w:r>
            <w:r>
              <w:rPr>
                <w:rFonts w:eastAsia="宋体"/>
                <w:spacing w:val="-3"/>
                <w:sz w:val="18"/>
                <w:szCs w:val="18"/>
              </w:rPr>
              <w:t>A</w:t>
            </w:r>
            <w:r>
              <w:rPr>
                <w:rFonts w:eastAsia="宋体"/>
                <w:sz w:val="18"/>
                <w:szCs w:val="18"/>
              </w:rPr>
              <w:t>-</w:t>
            </w:r>
            <w:r>
              <w:rPr>
                <w:rFonts w:eastAsia="宋体"/>
                <w:spacing w:val="-2"/>
                <w:sz w:val="18"/>
                <w:szCs w:val="18"/>
              </w:rPr>
              <w:t>45</w:t>
            </w:r>
            <w:r>
              <w:rPr>
                <w:rFonts w:eastAsia="宋体"/>
                <w:spacing w:val="-33"/>
                <w:sz w:val="18"/>
                <w:szCs w:val="18"/>
              </w:rPr>
              <w:t>3</w:t>
            </w:r>
            <w:r>
              <w:rPr>
                <w:rFonts w:eastAsia="宋体"/>
                <w:spacing w:val="-3"/>
                <w:sz w:val="18"/>
                <w:szCs w:val="18"/>
              </w:rPr>
              <w:t>/</w:t>
            </w:r>
            <w:r>
              <w:rPr>
                <w:rFonts w:eastAsia="宋体"/>
                <w:sz w:val="18"/>
                <w:szCs w:val="18"/>
              </w:rPr>
              <w:t>R-</w:t>
            </w:r>
            <w:r>
              <w:rPr>
                <w:rFonts w:eastAsia="宋体"/>
                <w:spacing w:val="-2"/>
                <w:sz w:val="18"/>
                <w:szCs w:val="18"/>
              </w:rPr>
              <w:t>9</w:t>
            </w:r>
            <w:r>
              <w:rPr>
                <w:rFonts w:eastAsia="宋体"/>
                <w:spacing w:val="1"/>
                <w:sz w:val="18"/>
                <w:szCs w:val="18"/>
              </w:rPr>
              <w:t>5</w:t>
            </w:r>
            <w:r>
              <w:rPr>
                <w:rFonts w:eastAsia="宋体"/>
                <w:spacing w:val="-3"/>
                <w:sz w:val="18"/>
                <w:szCs w:val="18"/>
              </w:rPr>
              <w:t>-</w:t>
            </w:r>
            <w:r>
              <w:rPr>
                <w:rFonts w:eastAsia="宋体"/>
                <w:spacing w:val="-2"/>
                <w:sz w:val="18"/>
                <w:szCs w:val="18"/>
              </w:rPr>
              <w:t>0</w:t>
            </w:r>
            <w:r>
              <w:rPr>
                <w:rFonts w:eastAsia="宋体"/>
                <w:sz w:val="18"/>
                <w:szCs w:val="18"/>
              </w:rPr>
              <w:t>10</w:t>
            </w:r>
          </w:p>
          <w:p>
            <w:pPr>
              <w:pStyle w:val="122"/>
              <w:kinsoku w:val="0"/>
              <w:overflowPunct w:val="0"/>
              <w:rPr>
                <w:rFonts w:eastAsia="宋体"/>
                <w:sz w:val="18"/>
                <w:szCs w:val="18"/>
              </w:rPr>
            </w:pPr>
            <w:r>
              <w:rPr>
                <w:rFonts w:eastAsia="宋体"/>
                <w:sz w:val="18"/>
                <w:szCs w:val="18"/>
              </w:rPr>
              <w:t>1</w:t>
            </w:r>
            <w:r>
              <w:rPr>
                <w:rFonts w:eastAsia="宋体"/>
                <w:spacing w:val="-2"/>
                <w:sz w:val="18"/>
                <w:szCs w:val="18"/>
              </w:rPr>
              <w:t>9</w:t>
            </w:r>
            <w:r>
              <w:rPr>
                <w:rFonts w:eastAsia="宋体"/>
                <w:sz w:val="18"/>
                <w:szCs w:val="18"/>
              </w:rPr>
              <w:t>9</w:t>
            </w:r>
            <w:r>
              <w:rPr>
                <w:rFonts w:eastAsia="宋体"/>
                <w:spacing w:val="-26"/>
                <w:sz w:val="18"/>
                <w:szCs w:val="18"/>
              </w:rPr>
              <w:t>6</w:t>
            </w:r>
            <w:r>
              <w:rPr>
                <w:rFonts w:eastAsia="宋体"/>
                <w:spacing w:val="-32"/>
                <w:sz w:val="18"/>
                <w:szCs w:val="18"/>
              </w:rPr>
              <w:t>/</w:t>
            </w:r>
            <w:r>
              <w:rPr>
                <w:rFonts w:eastAsia="宋体"/>
                <w:spacing w:val="-2"/>
                <w:sz w:val="18"/>
                <w:szCs w:val="18"/>
              </w:rPr>
              <w:t>0</w:t>
            </w:r>
            <w:r>
              <w:rPr>
                <w:rFonts w:eastAsia="宋体"/>
                <w:sz w:val="18"/>
                <w:szCs w:val="18"/>
              </w:rPr>
              <w:t>4</w:t>
            </w:r>
          </w:p>
        </w:tc>
        <w:tc>
          <w:tcPr>
            <w:tcW w:w="3768" w:type="pct"/>
            <w:gridSpan w:val="2"/>
            <w:tcBorders>
              <w:top w:val="single" w:color="000000" w:sz="4" w:space="0"/>
              <w:left w:val="single" w:color="000000" w:sz="4" w:space="0"/>
              <w:bottom w:val="single" w:color="000000" w:sz="4" w:space="0"/>
              <w:right w:val="single" w:color="000000" w:sz="4" w:space="0"/>
            </w:tcBorders>
            <w:vAlign w:val="center"/>
          </w:tcPr>
          <w:p>
            <w:pPr>
              <w:pStyle w:val="122"/>
              <w:kinsoku w:val="0"/>
              <w:overflowPunct w:val="0"/>
              <w:spacing w:before="50"/>
              <w:jc w:val="both"/>
              <w:rPr>
                <w:rFonts w:eastAsia="宋体"/>
                <w:sz w:val="18"/>
                <w:szCs w:val="18"/>
              </w:rPr>
            </w:pPr>
            <w:r>
              <w:rPr>
                <w:rFonts w:eastAsia="宋体"/>
                <w:sz w:val="18"/>
                <w:szCs w:val="18"/>
              </w:rPr>
              <w:t>合理</w:t>
            </w:r>
            <w:r>
              <w:rPr>
                <w:rFonts w:eastAsia="宋体"/>
                <w:spacing w:val="-3"/>
                <w:sz w:val="18"/>
                <w:szCs w:val="18"/>
              </w:rPr>
              <w:t>可</w:t>
            </w:r>
            <w:r>
              <w:rPr>
                <w:rFonts w:eastAsia="宋体"/>
                <w:sz w:val="18"/>
                <w:szCs w:val="18"/>
              </w:rPr>
              <w:t>用</w:t>
            </w:r>
            <w:r>
              <w:rPr>
                <w:rFonts w:eastAsia="宋体"/>
                <w:spacing w:val="-3"/>
                <w:sz w:val="18"/>
                <w:szCs w:val="18"/>
              </w:rPr>
              <w:t>技</w:t>
            </w:r>
            <w:r>
              <w:rPr>
                <w:rFonts w:eastAsia="宋体"/>
                <w:sz w:val="18"/>
                <w:szCs w:val="18"/>
              </w:rPr>
              <w:t>术</w:t>
            </w:r>
            <w:r>
              <w:rPr>
                <w:rFonts w:eastAsia="宋体"/>
                <w:spacing w:val="-3"/>
                <w:sz w:val="18"/>
                <w:szCs w:val="18"/>
              </w:rPr>
              <w:t>与</w:t>
            </w:r>
            <w:r>
              <w:rPr>
                <w:rFonts w:eastAsia="宋体"/>
                <w:sz w:val="18"/>
                <w:szCs w:val="18"/>
              </w:rPr>
              <w:t>控</w:t>
            </w:r>
            <w:r>
              <w:rPr>
                <w:rFonts w:eastAsia="宋体"/>
                <w:spacing w:val="-3"/>
                <w:sz w:val="18"/>
                <w:szCs w:val="18"/>
              </w:rPr>
              <w:t>制</w:t>
            </w:r>
            <w:r>
              <w:rPr>
                <w:rFonts w:eastAsia="宋体"/>
                <w:sz w:val="18"/>
                <w:szCs w:val="18"/>
              </w:rPr>
              <w:t>技</w:t>
            </w:r>
            <w:r>
              <w:rPr>
                <w:rFonts w:eastAsia="宋体"/>
                <w:spacing w:val="-3"/>
                <w:sz w:val="18"/>
                <w:szCs w:val="18"/>
              </w:rPr>
              <w:t>术</w:t>
            </w:r>
            <w:r>
              <w:rPr>
                <w:rFonts w:eastAsia="宋体"/>
                <w:sz w:val="18"/>
                <w:szCs w:val="18"/>
              </w:rPr>
              <w:t>导则</w:t>
            </w:r>
            <w:r>
              <w:rPr>
                <w:rFonts w:eastAsia="宋体"/>
                <w:spacing w:val="-3"/>
                <w:sz w:val="18"/>
                <w:szCs w:val="18"/>
              </w:rPr>
              <w:t>应</w:t>
            </w:r>
            <w:r>
              <w:rPr>
                <w:rFonts w:eastAsia="宋体"/>
                <w:sz w:val="18"/>
                <w:szCs w:val="18"/>
              </w:rPr>
              <w:t>用</w:t>
            </w:r>
            <w:r>
              <w:rPr>
                <w:rFonts w:eastAsia="宋体"/>
                <w:spacing w:val="-3"/>
                <w:sz w:val="18"/>
                <w:szCs w:val="18"/>
              </w:rPr>
              <w:t>报</w:t>
            </w:r>
            <w:r>
              <w:rPr>
                <w:rFonts w:eastAsia="宋体"/>
                <w:sz w:val="18"/>
                <w:szCs w:val="18"/>
              </w:rPr>
              <w:t>告</w:t>
            </w:r>
          </w:p>
        </w:tc>
      </w:tr>
    </w:tbl>
    <w:p>
      <w:pPr>
        <w:pStyle w:val="4"/>
        <w:ind w:left="0" w:firstLine="0"/>
      </w:pPr>
      <w:bookmarkStart w:id="128" w:name="_Toc26350777"/>
      <w:r>
        <w:t>世界银行</w:t>
      </w:r>
      <w:bookmarkEnd w:id="128"/>
    </w:p>
    <w:p>
      <w:pPr>
        <w:pStyle w:val="68"/>
        <w:rPr>
          <w:rFonts w:cs="Times New Roman"/>
        </w:rPr>
      </w:pPr>
      <w:r>
        <w:rPr>
          <w:rFonts w:cs="Times New Roman"/>
        </w:rPr>
        <w:t>世界银行的EHS指南包括了通用 EHS 指南和行业 EHS指南。其中通用 EHS 指南提供大气污染物排放管理方面可应用于范围广泛的多个行业部门的通用方法，是对行业 EHS 的补充，该指南适用于在项目生命周期的任何阶段产生大气污染物的设施或项目。行业EHS指南则规定了具体行业大气污染物的排放标准和监测要求。2007年世界银行对环境安全健康管理导则进行了更新。行业指南包括了涉及林业、一般制造业、农业/食品加工业、化学品、石油天然气、基础设施建设、采矿以及能源等8个领域的61个行业的EHS指南，在指南中，也规定了各行业的废气排放浓度的限值。该标准中涉及到的控制项目有28项，其中还有4项综合性指标。该IFC控制项目中有很多值得借鉴的地方，比如在药品和生物技术制造业中规定了活性成分、致突变物质的浓度限值，还规定了A类污染物、B类污染物的要求；在一些标准中规定了挥发性化合物（木板和磨粒制造）。</w:t>
      </w:r>
    </w:p>
    <w:p>
      <w:pPr>
        <w:pStyle w:val="13"/>
        <w:spacing w:before="156" w:beforeLines="50" w:after="156" w:afterLines="50"/>
      </w:pPr>
      <w:bookmarkStart w:id="129" w:name="_Ref26348419"/>
      <w:r>
        <w:t xml:space="preserve">表 </w:t>
      </w:r>
      <w:r>
        <w:fldChar w:fldCharType="begin"/>
      </w:r>
      <w:r>
        <w:instrText xml:space="preserve"> STYLEREF 1 \s </w:instrText>
      </w:r>
      <w:r>
        <w:fldChar w:fldCharType="separate"/>
      </w:r>
      <w:r>
        <w:t>5</w:t>
      </w:r>
      <w:r>
        <w:fldChar w:fldCharType="end"/>
      </w:r>
      <w:r>
        <w:noBreakHyphen/>
      </w:r>
      <w:bookmarkEnd w:id="129"/>
      <w:r>
        <w:t>8 大气排放物指导值</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2416"/>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14" w:type="dxa"/>
            <w:vAlign w:val="center"/>
          </w:tcPr>
          <w:p>
            <w:pPr>
              <w:pStyle w:val="68"/>
              <w:ind w:firstLine="0" w:firstLineChars="0"/>
              <w:jc w:val="center"/>
              <w:rPr>
                <w:rFonts w:cs="Times New Roman"/>
                <w:b/>
                <w:sz w:val="22"/>
                <w:szCs w:val="22"/>
              </w:rPr>
            </w:pPr>
            <w:r>
              <w:rPr>
                <w:rFonts w:cs="Times New Roman"/>
                <w:b/>
                <w:sz w:val="22"/>
                <w:szCs w:val="22"/>
              </w:rPr>
              <w:t>污染物</w:t>
            </w:r>
          </w:p>
        </w:tc>
        <w:tc>
          <w:tcPr>
            <w:tcW w:w="2416" w:type="dxa"/>
            <w:vAlign w:val="center"/>
          </w:tcPr>
          <w:p>
            <w:pPr>
              <w:pStyle w:val="68"/>
              <w:ind w:firstLine="0" w:firstLineChars="0"/>
              <w:jc w:val="center"/>
              <w:rPr>
                <w:rFonts w:cs="Times New Roman"/>
                <w:b/>
                <w:sz w:val="22"/>
                <w:szCs w:val="22"/>
              </w:rPr>
            </w:pPr>
            <w:r>
              <w:rPr>
                <w:rFonts w:cs="Times New Roman"/>
                <w:b/>
                <w:sz w:val="22"/>
                <w:szCs w:val="22"/>
              </w:rPr>
              <w:t>单位</w:t>
            </w:r>
          </w:p>
        </w:tc>
        <w:tc>
          <w:tcPr>
            <w:tcW w:w="2766" w:type="dxa"/>
            <w:vAlign w:val="center"/>
          </w:tcPr>
          <w:p>
            <w:pPr>
              <w:pStyle w:val="68"/>
              <w:ind w:firstLine="0" w:firstLineChars="0"/>
              <w:jc w:val="center"/>
              <w:rPr>
                <w:rFonts w:cs="Times New Roman"/>
                <w:b/>
                <w:sz w:val="22"/>
                <w:szCs w:val="22"/>
              </w:rPr>
            </w:pPr>
            <w:r>
              <w:rPr>
                <w:rFonts w:cs="Times New Roman"/>
                <w:b/>
                <w:sz w:val="22"/>
                <w:szCs w:val="22"/>
              </w:rPr>
              <w:t>指导值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pStyle w:val="68"/>
              <w:ind w:firstLine="0" w:firstLineChars="0"/>
              <w:jc w:val="center"/>
              <w:rPr>
                <w:rFonts w:cs="Times New Roman"/>
                <w:sz w:val="22"/>
                <w:szCs w:val="22"/>
              </w:rPr>
            </w:pPr>
            <w:r>
              <w:rPr>
                <w:rFonts w:cs="Times New Roman"/>
                <w:sz w:val="22"/>
                <w:szCs w:val="22"/>
              </w:rPr>
              <w:t>苯</w:t>
            </w:r>
          </w:p>
        </w:tc>
        <w:tc>
          <w:tcPr>
            <w:tcW w:w="2416" w:type="dxa"/>
            <w:vAlign w:val="center"/>
          </w:tcPr>
          <w:p>
            <w:pPr>
              <w:pStyle w:val="68"/>
              <w:ind w:firstLine="0" w:firstLineChars="0"/>
              <w:jc w:val="center"/>
              <w:rPr>
                <w:rFonts w:cs="Times New Roman"/>
                <w:sz w:val="22"/>
                <w:szCs w:val="22"/>
              </w:rPr>
            </w:pPr>
            <w:r>
              <w:rPr>
                <w:rFonts w:cs="Times New Roman"/>
                <w:sz w:val="22"/>
                <w:szCs w:val="22"/>
              </w:rPr>
              <w:t>mg/Nm</w:t>
            </w:r>
            <w:r>
              <w:rPr>
                <w:rFonts w:cs="Times New Roman"/>
                <w:sz w:val="22"/>
                <w:szCs w:val="22"/>
                <w:vertAlign w:val="superscript"/>
              </w:rPr>
              <w:t>3</w:t>
            </w:r>
          </w:p>
        </w:tc>
        <w:tc>
          <w:tcPr>
            <w:tcW w:w="2766" w:type="dxa"/>
            <w:vAlign w:val="center"/>
          </w:tcPr>
          <w:p>
            <w:pPr>
              <w:pStyle w:val="68"/>
              <w:ind w:firstLine="0" w:firstLineChars="0"/>
              <w:jc w:val="center"/>
              <w:rPr>
                <w:rFonts w:cs="Times New Roman"/>
                <w:sz w:val="22"/>
                <w:szCs w:val="22"/>
              </w:rPr>
            </w:pPr>
            <w:r>
              <w:rPr>
                <w:rFonts w:cs="Times New Roman"/>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pStyle w:val="68"/>
              <w:ind w:firstLine="0" w:firstLineChars="0"/>
              <w:jc w:val="center"/>
              <w:rPr>
                <w:rFonts w:cs="Times New Roman"/>
                <w:sz w:val="22"/>
                <w:szCs w:val="22"/>
              </w:rPr>
            </w:pPr>
            <w:r>
              <w:rPr>
                <w:rFonts w:cs="Times New Roman"/>
                <w:sz w:val="22"/>
                <w:szCs w:val="22"/>
              </w:rPr>
              <w:t>1,2-二氯乙烷</w:t>
            </w:r>
          </w:p>
        </w:tc>
        <w:tc>
          <w:tcPr>
            <w:tcW w:w="2416" w:type="dxa"/>
            <w:vAlign w:val="center"/>
          </w:tcPr>
          <w:p>
            <w:pPr>
              <w:pStyle w:val="68"/>
              <w:ind w:firstLine="0" w:firstLineChars="0"/>
              <w:jc w:val="center"/>
              <w:rPr>
                <w:rFonts w:cs="Times New Roman"/>
                <w:sz w:val="22"/>
                <w:szCs w:val="22"/>
              </w:rPr>
            </w:pPr>
            <w:r>
              <w:rPr>
                <w:rFonts w:cs="Times New Roman"/>
                <w:sz w:val="22"/>
                <w:szCs w:val="22"/>
              </w:rPr>
              <w:t>mg/Nm</w:t>
            </w:r>
            <w:r>
              <w:rPr>
                <w:rFonts w:cs="Times New Roman"/>
                <w:sz w:val="22"/>
                <w:szCs w:val="22"/>
                <w:vertAlign w:val="superscript"/>
              </w:rPr>
              <w:t>3</w:t>
            </w:r>
          </w:p>
        </w:tc>
        <w:tc>
          <w:tcPr>
            <w:tcW w:w="2766" w:type="dxa"/>
            <w:vAlign w:val="center"/>
          </w:tcPr>
          <w:p>
            <w:pPr>
              <w:pStyle w:val="68"/>
              <w:ind w:firstLine="0" w:firstLineChars="0"/>
              <w:jc w:val="center"/>
              <w:rPr>
                <w:rFonts w:cs="Times New Roman"/>
                <w:sz w:val="22"/>
                <w:szCs w:val="22"/>
              </w:rPr>
            </w:pPr>
            <w:r>
              <w:rPr>
                <w:rFonts w:cs="Times New Roman"/>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pStyle w:val="68"/>
              <w:ind w:firstLine="0" w:firstLineChars="0"/>
              <w:jc w:val="center"/>
              <w:rPr>
                <w:rFonts w:cs="Times New Roman"/>
                <w:sz w:val="22"/>
                <w:szCs w:val="22"/>
              </w:rPr>
            </w:pPr>
            <w:r>
              <w:rPr>
                <w:rFonts w:cs="Times New Roman"/>
                <w:sz w:val="22"/>
                <w:szCs w:val="22"/>
              </w:rPr>
              <w:t>氯乙烯</w:t>
            </w:r>
          </w:p>
        </w:tc>
        <w:tc>
          <w:tcPr>
            <w:tcW w:w="2416" w:type="dxa"/>
            <w:vAlign w:val="center"/>
          </w:tcPr>
          <w:p>
            <w:pPr>
              <w:pStyle w:val="68"/>
              <w:ind w:firstLine="0" w:firstLineChars="0"/>
              <w:jc w:val="center"/>
              <w:rPr>
                <w:rFonts w:cs="Times New Roman"/>
                <w:sz w:val="22"/>
                <w:szCs w:val="22"/>
              </w:rPr>
            </w:pPr>
            <w:r>
              <w:rPr>
                <w:rFonts w:cs="Times New Roman"/>
                <w:sz w:val="22"/>
                <w:szCs w:val="22"/>
              </w:rPr>
              <w:t>mg/Nm</w:t>
            </w:r>
            <w:r>
              <w:rPr>
                <w:rFonts w:cs="Times New Roman"/>
                <w:sz w:val="22"/>
                <w:szCs w:val="22"/>
                <w:vertAlign w:val="superscript"/>
              </w:rPr>
              <w:t>3</w:t>
            </w:r>
          </w:p>
        </w:tc>
        <w:tc>
          <w:tcPr>
            <w:tcW w:w="2766" w:type="dxa"/>
            <w:tcBorders>
              <w:bottom w:val="single" w:color="auto" w:sz="4" w:space="0"/>
            </w:tcBorders>
            <w:vAlign w:val="center"/>
          </w:tcPr>
          <w:p>
            <w:pPr>
              <w:pStyle w:val="68"/>
              <w:ind w:firstLine="0" w:firstLineChars="0"/>
              <w:jc w:val="center"/>
              <w:rPr>
                <w:rFonts w:cs="Times New Roman"/>
                <w:sz w:val="22"/>
                <w:szCs w:val="22"/>
              </w:rPr>
            </w:pPr>
            <w:r>
              <w:rPr>
                <w:rFonts w:cs="Times New Roman"/>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Merge w:val="restart"/>
            <w:vAlign w:val="center"/>
          </w:tcPr>
          <w:p>
            <w:pPr>
              <w:pStyle w:val="68"/>
              <w:ind w:firstLine="440"/>
              <w:jc w:val="center"/>
              <w:rPr>
                <w:rFonts w:cs="Times New Roman"/>
                <w:sz w:val="22"/>
                <w:szCs w:val="22"/>
              </w:rPr>
            </w:pPr>
            <w:r>
              <w:rPr>
                <w:rFonts w:cs="Times New Roman"/>
                <w:sz w:val="22"/>
                <w:szCs w:val="22"/>
              </w:rPr>
              <w:t>丙烯腈</w:t>
            </w:r>
          </w:p>
        </w:tc>
        <w:tc>
          <w:tcPr>
            <w:tcW w:w="2416" w:type="dxa"/>
            <w:vMerge w:val="restart"/>
            <w:vAlign w:val="center"/>
          </w:tcPr>
          <w:p>
            <w:pPr>
              <w:pStyle w:val="68"/>
              <w:ind w:firstLine="440"/>
              <w:jc w:val="center"/>
              <w:rPr>
                <w:rFonts w:cs="Times New Roman"/>
                <w:sz w:val="22"/>
                <w:szCs w:val="22"/>
              </w:rPr>
            </w:pPr>
            <w:r>
              <w:rPr>
                <w:rFonts w:cs="Times New Roman"/>
                <w:sz w:val="22"/>
                <w:szCs w:val="22"/>
              </w:rPr>
              <w:t>mg/Nm</w:t>
            </w:r>
            <w:r>
              <w:rPr>
                <w:rFonts w:cs="Times New Roman"/>
                <w:sz w:val="22"/>
                <w:szCs w:val="22"/>
                <w:vertAlign w:val="superscript"/>
              </w:rPr>
              <w:t>3</w:t>
            </w:r>
          </w:p>
        </w:tc>
        <w:tc>
          <w:tcPr>
            <w:tcW w:w="2766" w:type="dxa"/>
            <w:tcBorders>
              <w:bottom w:val="single" w:color="auto" w:sz="4" w:space="0"/>
            </w:tcBorders>
            <w:vAlign w:val="center"/>
          </w:tcPr>
          <w:p>
            <w:pPr>
              <w:pStyle w:val="68"/>
              <w:ind w:firstLine="0" w:firstLineChars="0"/>
              <w:jc w:val="center"/>
              <w:rPr>
                <w:rFonts w:cs="Times New Roman"/>
                <w:sz w:val="22"/>
                <w:szCs w:val="22"/>
              </w:rPr>
            </w:pPr>
            <w:r>
              <w:rPr>
                <w:rFonts w:hint="eastAsia" w:cs="Times New Roman"/>
                <w:sz w:val="22"/>
                <w:szCs w:val="22"/>
              </w:rPr>
              <w:t>0</w:t>
            </w:r>
            <w:r>
              <w:rPr>
                <w:rFonts w:cs="Times New Roman"/>
                <w:sz w:val="22"/>
                <w:szCs w:val="22"/>
              </w:rPr>
              <w:t>.5</w:t>
            </w:r>
            <w:r>
              <w:rPr>
                <w:rFonts w:hint="eastAsia" w:cs="Times New Roman"/>
                <w:sz w:val="22"/>
                <w:szCs w:val="22"/>
              </w:rPr>
              <w:t>（焚烧）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Merge w:val="continue"/>
            <w:vAlign w:val="center"/>
          </w:tcPr>
          <w:p>
            <w:pPr>
              <w:pStyle w:val="68"/>
              <w:ind w:firstLine="0" w:firstLineChars="0"/>
              <w:jc w:val="center"/>
              <w:rPr>
                <w:rFonts w:cs="Times New Roman"/>
                <w:sz w:val="22"/>
                <w:szCs w:val="22"/>
              </w:rPr>
            </w:pPr>
          </w:p>
        </w:tc>
        <w:tc>
          <w:tcPr>
            <w:tcW w:w="2416" w:type="dxa"/>
            <w:vMerge w:val="continue"/>
            <w:vAlign w:val="center"/>
          </w:tcPr>
          <w:p>
            <w:pPr>
              <w:pStyle w:val="68"/>
              <w:ind w:firstLine="0" w:firstLineChars="0"/>
              <w:jc w:val="center"/>
              <w:rPr>
                <w:rFonts w:cs="Times New Roman"/>
                <w:sz w:val="22"/>
                <w:szCs w:val="22"/>
              </w:rPr>
            </w:pPr>
          </w:p>
        </w:tc>
        <w:tc>
          <w:tcPr>
            <w:tcW w:w="2766" w:type="dxa"/>
            <w:vAlign w:val="center"/>
          </w:tcPr>
          <w:p>
            <w:pPr>
              <w:pStyle w:val="68"/>
              <w:ind w:firstLine="0" w:firstLineChars="0"/>
              <w:jc w:val="center"/>
              <w:rPr>
                <w:rFonts w:cs="Times New Roman"/>
                <w:sz w:val="22"/>
                <w:szCs w:val="22"/>
              </w:rPr>
            </w:pPr>
            <w:r>
              <w:rPr>
                <w:rFonts w:cs="Times New Roman"/>
                <w:sz w:val="22"/>
                <w:szCs w:val="22"/>
              </w:rPr>
              <w:t>2（洗涤）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pStyle w:val="68"/>
              <w:ind w:firstLine="0" w:firstLineChars="0"/>
              <w:jc w:val="center"/>
              <w:rPr>
                <w:rFonts w:cs="Times New Roman"/>
                <w:sz w:val="22"/>
                <w:szCs w:val="22"/>
              </w:rPr>
            </w:pPr>
            <w:r>
              <w:rPr>
                <w:rFonts w:cs="Times New Roman"/>
                <w:sz w:val="22"/>
                <w:szCs w:val="22"/>
              </w:rPr>
              <w:t>甲醛</w:t>
            </w:r>
          </w:p>
        </w:tc>
        <w:tc>
          <w:tcPr>
            <w:tcW w:w="2416" w:type="dxa"/>
            <w:vAlign w:val="center"/>
          </w:tcPr>
          <w:p>
            <w:pPr>
              <w:pStyle w:val="68"/>
              <w:ind w:firstLine="0" w:firstLineChars="0"/>
              <w:jc w:val="center"/>
              <w:rPr>
                <w:rFonts w:cs="Times New Roman"/>
                <w:sz w:val="22"/>
                <w:szCs w:val="22"/>
              </w:rPr>
            </w:pPr>
            <w:r>
              <w:rPr>
                <w:rFonts w:cs="Times New Roman"/>
                <w:sz w:val="22"/>
                <w:szCs w:val="22"/>
              </w:rPr>
              <w:t>mg/Nm</w:t>
            </w:r>
            <w:r>
              <w:rPr>
                <w:rFonts w:cs="Times New Roman"/>
                <w:sz w:val="22"/>
                <w:szCs w:val="22"/>
                <w:vertAlign w:val="superscript"/>
              </w:rPr>
              <w:t>3</w:t>
            </w:r>
          </w:p>
        </w:tc>
        <w:tc>
          <w:tcPr>
            <w:tcW w:w="2766" w:type="dxa"/>
            <w:vAlign w:val="center"/>
          </w:tcPr>
          <w:p>
            <w:pPr>
              <w:pStyle w:val="68"/>
              <w:ind w:firstLine="0" w:firstLineChars="0"/>
              <w:jc w:val="center"/>
              <w:rPr>
                <w:rFonts w:cs="Times New Roman"/>
                <w:sz w:val="22"/>
                <w:szCs w:val="22"/>
              </w:rPr>
            </w:pPr>
            <w:r>
              <w:rPr>
                <w:rFonts w:cs="Times New Roman"/>
                <w:sz w:val="22"/>
                <w:szCs w:val="22"/>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pStyle w:val="68"/>
              <w:ind w:firstLine="0" w:firstLineChars="0"/>
              <w:jc w:val="center"/>
              <w:rPr>
                <w:rFonts w:cs="Times New Roman"/>
                <w:sz w:val="22"/>
                <w:szCs w:val="22"/>
              </w:rPr>
            </w:pPr>
            <w:r>
              <w:rPr>
                <w:rFonts w:cs="Times New Roman"/>
                <w:sz w:val="22"/>
                <w:szCs w:val="22"/>
              </w:rPr>
              <w:t>乙烯</w:t>
            </w:r>
          </w:p>
        </w:tc>
        <w:tc>
          <w:tcPr>
            <w:tcW w:w="2416" w:type="dxa"/>
            <w:vAlign w:val="center"/>
          </w:tcPr>
          <w:p>
            <w:pPr>
              <w:pStyle w:val="68"/>
              <w:ind w:firstLine="0" w:firstLineChars="0"/>
              <w:jc w:val="center"/>
              <w:rPr>
                <w:rFonts w:cs="Times New Roman"/>
                <w:sz w:val="22"/>
                <w:szCs w:val="22"/>
              </w:rPr>
            </w:pPr>
            <w:r>
              <w:rPr>
                <w:rFonts w:cs="Times New Roman"/>
                <w:sz w:val="22"/>
                <w:szCs w:val="22"/>
              </w:rPr>
              <w:t>mg/Nm</w:t>
            </w:r>
            <w:r>
              <w:rPr>
                <w:rFonts w:cs="Times New Roman"/>
                <w:sz w:val="22"/>
                <w:szCs w:val="22"/>
                <w:vertAlign w:val="superscript"/>
              </w:rPr>
              <w:t>3</w:t>
            </w:r>
          </w:p>
        </w:tc>
        <w:tc>
          <w:tcPr>
            <w:tcW w:w="2766" w:type="dxa"/>
            <w:vAlign w:val="center"/>
          </w:tcPr>
          <w:p>
            <w:pPr>
              <w:pStyle w:val="68"/>
              <w:ind w:firstLine="0" w:firstLineChars="0"/>
              <w:jc w:val="center"/>
              <w:rPr>
                <w:rFonts w:cs="Times New Roman"/>
                <w:sz w:val="22"/>
                <w:szCs w:val="22"/>
              </w:rPr>
            </w:pPr>
            <w:r>
              <w:rPr>
                <w:rFonts w:cs="Times New Roman"/>
                <w:sz w:val="22"/>
                <w:szCs w:val="22"/>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pStyle w:val="68"/>
              <w:ind w:firstLine="0" w:firstLineChars="0"/>
              <w:jc w:val="center"/>
              <w:rPr>
                <w:rFonts w:cs="Times New Roman"/>
                <w:sz w:val="22"/>
                <w:szCs w:val="22"/>
              </w:rPr>
            </w:pPr>
            <w:r>
              <w:rPr>
                <w:rFonts w:cs="Times New Roman"/>
                <w:sz w:val="22"/>
                <w:szCs w:val="22"/>
              </w:rPr>
              <w:t>氧化乙烯</w:t>
            </w:r>
          </w:p>
        </w:tc>
        <w:tc>
          <w:tcPr>
            <w:tcW w:w="2416" w:type="dxa"/>
            <w:vAlign w:val="center"/>
          </w:tcPr>
          <w:p>
            <w:pPr>
              <w:pStyle w:val="68"/>
              <w:ind w:firstLine="0" w:firstLineChars="0"/>
              <w:jc w:val="center"/>
              <w:rPr>
                <w:rFonts w:cs="Times New Roman"/>
                <w:sz w:val="22"/>
                <w:szCs w:val="22"/>
              </w:rPr>
            </w:pPr>
            <w:r>
              <w:rPr>
                <w:rFonts w:cs="Times New Roman"/>
                <w:sz w:val="22"/>
                <w:szCs w:val="22"/>
              </w:rPr>
              <w:t>mg/Nm</w:t>
            </w:r>
            <w:r>
              <w:rPr>
                <w:rFonts w:cs="Times New Roman"/>
                <w:sz w:val="22"/>
                <w:szCs w:val="22"/>
                <w:vertAlign w:val="superscript"/>
              </w:rPr>
              <w:t>3</w:t>
            </w:r>
          </w:p>
        </w:tc>
        <w:tc>
          <w:tcPr>
            <w:tcW w:w="2766" w:type="dxa"/>
            <w:vAlign w:val="center"/>
          </w:tcPr>
          <w:p>
            <w:pPr>
              <w:pStyle w:val="68"/>
              <w:ind w:firstLine="0" w:firstLineChars="0"/>
              <w:jc w:val="center"/>
              <w:rPr>
                <w:rFonts w:cs="Times New Roman"/>
                <w:sz w:val="22"/>
                <w:szCs w:val="22"/>
              </w:rPr>
            </w:pPr>
            <w:r>
              <w:rPr>
                <w:rFonts w:cs="Times New Roman"/>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pStyle w:val="68"/>
              <w:ind w:firstLine="0" w:firstLineChars="0"/>
              <w:jc w:val="center"/>
              <w:rPr>
                <w:rFonts w:cs="Times New Roman"/>
                <w:sz w:val="22"/>
                <w:szCs w:val="22"/>
              </w:rPr>
            </w:pPr>
            <w:r>
              <w:rPr>
                <w:rFonts w:cs="Times New Roman"/>
                <w:sz w:val="22"/>
                <w:szCs w:val="22"/>
              </w:rPr>
              <w:t>硝基苯</w:t>
            </w:r>
          </w:p>
        </w:tc>
        <w:tc>
          <w:tcPr>
            <w:tcW w:w="2416" w:type="dxa"/>
            <w:vAlign w:val="center"/>
          </w:tcPr>
          <w:p>
            <w:pPr>
              <w:pStyle w:val="68"/>
              <w:ind w:firstLine="0" w:firstLineChars="0"/>
              <w:jc w:val="center"/>
              <w:rPr>
                <w:rFonts w:cs="Times New Roman"/>
                <w:sz w:val="22"/>
                <w:szCs w:val="22"/>
              </w:rPr>
            </w:pPr>
            <w:r>
              <w:rPr>
                <w:rFonts w:cs="Times New Roman"/>
                <w:sz w:val="22"/>
                <w:szCs w:val="22"/>
              </w:rPr>
              <w:t>mg/Nm</w:t>
            </w:r>
            <w:r>
              <w:rPr>
                <w:rFonts w:cs="Times New Roman"/>
                <w:sz w:val="22"/>
                <w:szCs w:val="22"/>
                <w:vertAlign w:val="superscript"/>
              </w:rPr>
              <w:t>3</w:t>
            </w:r>
          </w:p>
        </w:tc>
        <w:tc>
          <w:tcPr>
            <w:tcW w:w="2766" w:type="dxa"/>
            <w:vAlign w:val="center"/>
          </w:tcPr>
          <w:p>
            <w:pPr>
              <w:pStyle w:val="68"/>
              <w:ind w:firstLine="0" w:firstLineChars="0"/>
              <w:jc w:val="center"/>
              <w:rPr>
                <w:rFonts w:cs="Times New Roman"/>
                <w:sz w:val="22"/>
                <w:szCs w:val="22"/>
              </w:rPr>
            </w:pPr>
            <w:r>
              <w:rPr>
                <w:rFonts w:cs="Times New Roman"/>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pStyle w:val="68"/>
              <w:ind w:firstLine="0" w:firstLineChars="0"/>
              <w:jc w:val="center"/>
              <w:rPr>
                <w:rFonts w:cs="Times New Roman"/>
                <w:sz w:val="22"/>
                <w:szCs w:val="22"/>
              </w:rPr>
            </w:pPr>
            <w:r>
              <w:rPr>
                <w:rFonts w:cs="Times New Roman"/>
                <w:sz w:val="22"/>
                <w:szCs w:val="22"/>
              </w:rPr>
              <w:t>酚类、甲酚类和二甲苯酚类</w:t>
            </w:r>
          </w:p>
        </w:tc>
        <w:tc>
          <w:tcPr>
            <w:tcW w:w="2416" w:type="dxa"/>
            <w:vAlign w:val="center"/>
          </w:tcPr>
          <w:p>
            <w:pPr>
              <w:pStyle w:val="68"/>
              <w:ind w:firstLine="0" w:firstLineChars="0"/>
              <w:jc w:val="center"/>
              <w:rPr>
                <w:rFonts w:cs="Times New Roman"/>
                <w:sz w:val="22"/>
                <w:szCs w:val="22"/>
              </w:rPr>
            </w:pPr>
            <w:r>
              <w:rPr>
                <w:rFonts w:cs="Times New Roman"/>
                <w:sz w:val="22"/>
                <w:szCs w:val="22"/>
              </w:rPr>
              <w:t>mg/Nm</w:t>
            </w:r>
            <w:r>
              <w:rPr>
                <w:rFonts w:cs="Times New Roman"/>
                <w:sz w:val="22"/>
                <w:szCs w:val="22"/>
                <w:vertAlign w:val="superscript"/>
              </w:rPr>
              <w:t>3</w:t>
            </w:r>
          </w:p>
        </w:tc>
        <w:tc>
          <w:tcPr>
            <w:tcW w:w="2766" w:type="dxa"/>
            <w:vAlign w:val="center"/>
          </w:tcPr>
          <w:p>
            <w:pPr>
              <w:pStyle w:val="68"/>
              <w:ind w:firstLine="0" w:firstLineChars="0"/>
              <w:jc w:val="center"/>
              <w:rPr>
                <w:rFonts w:cs="Times New Roman"/>
                <w:sz w:val="22"/>
                <w:szCs w:val="22"/>
              </w:rPr>
            </w:pPr>
            <w:r>
              <w:rPr>
                <w:rFonts w:cs="Times New Roman"/>
                <w:sz w:val="22"/>
                <w:szCs w:val="2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pStyle w:val="68"/>
              <w:ind w:firstLine="0" w:firstLineChars="0"/>
              <w:jc w:val="center"/>
              <w:rPr>
                <w:rFonts w:cs="Times New Roman"/>
                <w:sz w:val="22"/>
                <w:szCs w:val="22"/>
              </w:rPr>
            </w:pPr>
            <w:r>
              <w:rPr>
                <w:rFonts w:cs="Times New Roman"/>
                <w:sz w:val="22"/>
                <w:szCs w:val="22"/>
              </w:rPr>
              <w:t>挥发性有机化合物</w:t>
            </w:r>
          </w:p>
        </w:tc>
        <w:tc>
          <w:tcPr>
            <w:tcW w:w="2416" w:type="dxa"/>
            <w:vAlign w:val="center"/>
          </w:tcPr>
          <w:p>
            <w:pPr>
              <w:pStyle w:val="68"/>
              <w:ind w:firstLine="0" w:firstLineChars="0"/>
              <w:jc w:val="center"/>
              <w:rPr>
                <w:rFonts w:cs="Times New Roman"/>
                <w:sz w:val="22"/>
                <w:szCs w:val="22"/>
              </w:rPr>
            </w:pPr>
            <w:r>
              <w:rPr>
                <w:rFonts w:cs="Times New Roman"/>
                <w:sz w:val="22"/>
                <w:szCs w:val="22"/>
              </w:rPr>
              <w:t>mg/Nm</w:t>
            </w:r>
            <w:r>
              <w:rPr>
                <w:rFonts w:cs="Times New Roman"/>
                <w:sz w:val="22"/>
                <w:szCs w:val="22"/>
                <w:vertAlign w:val="superscript"/>
              </w:rPr>
              <w:t>3</w:t>
            </w:r>
          </w:p>
        </w:tc>
        <w:tc>
          <w:tcPr>
            <w:tcW w:w="2766" w:type="dxa"/>
            <w:vAlign w:val="center"/>
          </w:tcPr>
          <w:p>
            <w:pPr>
              <w:pStyle w:val="68"/>
              <w:ind w:firstLine="0" w:firstLineChars="0"/>
              <w:jc w:val="center"/>
              <w:rPr>
                <w:rFonts w:cs="Times New Roman"/>
                <w:sz w:val="22"/>
                <w:szCs w:val="22"/>
              </w:rPr>
            </w:pPr>
            <w:r>
              <w:rPr>
                <w:rFonts w:cs="Times New Roman"/>
                <w:sz w:val="22"/>
                <w:szCs w:val="22"/>
              </w:rPr>
              <w:t>20</w:t>
            </w:r>
          </w:p>
        </w:tc>
      </w:tr>
    </w:tbl>
    <w:p>
      <w:pPr>
        <w:pStyle w:val="4"/>
        <w:ind w:left="0" w:firstLine="0"/>
      </w:pPr>
      <w:bookmarkStart w:id="130" w:name="_Toc26350778"/>
      <w:r>
        <w:t>德国</w:t>
      </w:r>
      <w:bookmarkEnd w:id="130"/>
    </w:p>
    <w:p>
      <w:pPr>
        <w:pStyle w:val="68"/>
        <w:rPr>
          <w:rFonts w:cs="Times New Roman"/>
        </w:rPr>
      </w:pPr>
      <w:r>
        <w:rPr>
          <w:rFonts w:cs="Times New Roman"/>
        </w:rPr>
        <w:t>德国</w:t>
      </w:r>
      <w:r>
        <w:rPr>
          <w:rFonts w:cs="Times New Roman"/>
          <w:spacing w:val="2"/>
        </w:rPr>
        <w:t>的</w:t>
      </w:r>
      <w:r>
        <w:rPr>
          <w:rFonts w:cs="Times New Roman"/>
        </w:rPr>
        <w:t>空气</w:t>
      </w:r>
      <w:r>
        <w:rPr>
          <w:rFonts w:cs="Times New Roman"/>
          <w:spacing w:val="2"/>
        </w:rPr>
        <w:t>质</w:t>
      </w:r>
      <w:r>
        <w:rPr>
          <w:rFonts w:cs="Times New Roman"/>
        </w:rPr>
        <w:t>量控</w:t>
      </w:r>
      <w:r>
        <w:rPr>
          <w:rFonts w:cs="Times New Roman"/>
          <w:spacing w:val="2"/>
        </w:rPr>
        <w:t>制技</w:t>
      </w:r>
      <w:r>
        <w:rPr>
          <w:rFonts w:cs="Times New Roman"/>
        </w:rPr>
        <w:t>术规</w:t>
      </w:r>
      <w:r>
        <w:rPr>
          <w:rFonts w:cs="Times New Roman"/>
          <w:spacing w:val="2"/>
        </w:rPr>
        <w:t>范</w:t>
      </w:r>
      <w:r>
        <w:rPr>
          <w:rFonts w:cs="Times New Roman"/>
          <w:spacing w:val="1"/>
        </w:rPr>
        <w:t>（</w:t>
      </w:r>
      <w:r>
        <w:rPr>
          <w:rFonts w:cs="Times New Roman"/>
        </w:rPr>
        <w:t>TA-Luft</w:t>
      </w:r>
      <w:r>
        <w:rPr>
          <w:rFonts w:cs="Times New Roman"/>
          <w:spacing w:val="2"/>
        </w:rPr>
        <w:t>）的</w:t>
      </w:r>
      <w:r>
        <w:rPr>
          <w:rFonts w:cs="Times New Roman"/>
        </w:rPr>
        <w:t>控制</w:t>
      </w:r>
      <w:r>
        <w:rPr>
          <w:rFonts w:cs="Times New Roman"/>
          <w:spacing w:val="2"/>
        </w:rPr>
        <w:t>原</w:t>
      </w:r>
      <w:r>
        <w:rPr>
          <w:rFonts w:cs="Times New Roman"/>
        </w:rPr>
        <w:t>则是</w:t>
      </w:r>
      <w:r>
        <w:rPr>
          <w:rFonts w:cs="Times New Roman"/>
          <w:spacing w:val="2"/>
        </w:rPr>
        <w:t>将</w:t>
      </w:r>
      <w:r>
        <w:rPr>
          <w:rFonts w:cs="Times New Roman"/>
        </w:rPr>
        <w:t>空气</w:t>
      </w:r>
      <w:r>
        <w:rPr>
          <w:rFonts w:cs="Times New Roman"/>
          <w:spacing w:val="2"/>
        </w:rPr>
        <w:t>有机</w:t>
      </w:r>
      <w:r>
        <w:rPr>
          <w:rFonts w:cs="Times New Roman"/>
        </w:rPr>
        <w:t>污染物</w:t>
      </w:r>
      <w:r>
        <w:rPr>
          <w:rFonts w:cs="Times New Roman"/>
          <w:spacing w:val="4"/>
        </w:rPr>
        <w:t>根据致癌性、恶臭、</w:t>
      </w:r>
      <w:r>
        <w:rPr>
          <w:rFonts w:cs="Times New Roman"/>
          <w:spacing w:val="2"/>
        </w:rPr>
        <w:t>毒</w:t>
      </w:r>
      <w:r>
        <w:rPr>
          <w:rFonts w:cs="Times New Roman"/>
          <w:spacing w:val="4"/>
        </w:rPr>
        <w:t>性高低分为三个级别</w:t>
      </w:r>
      <w:r>
        <w:rPr>
          <w:rFonts w:cs="Times New Roman"/>
        </w:rPr>
        <w:t>。该标准是于</w:t>
      </w:r>
      <w:r>
        <w:rPr>
          <w:rFonts w:cs="Times New Roman"/>
          <w:spacing w:val="-48"/>
        </w:rPr>
        <w:t xml:space="preserve"> </w:t>
      </w:r>
      <w:r>
        <w:rPr>
          <w:rFonts w:cs="Times New Roman"/>
        </w:rPr>
        <w:t>1972年制定，为了配合发放许可证的管理。</w:t>
      </w:r>
      <w:r>
        <w:rPr>
          <w:rFonts w:cs="Times New Roman"/>
          <w:spacing w:val="2"/>
        </w:rPr>
        <w:t>以</w:t>
      </w:r>
      <w:r>
        <w:rPr>
          <w:rFonts w:cs="Times New Roman"/>
        </w:rPr>
        <w:t>此逐</w:t>
      </w:r>
      <w:r>
        <w:rPr>
          <w:rFonts w:cs="Times New Roman"/>
          <w:spacing w:val="2"/>
        </w:rPr>
        <w:t>渐</w:t>
      </w:r>
      <w:r>
        <w:rPr>
          <w:rFonts w:cs="Times New Roman"/>
        </w:rPr>
        <w:t>形成</w:t>
      </w:r>
      <w:r>
        <w:rPr>
          <w:rFonts w:cs="Times New Roman"/>
          <w:spacing w:val="2"/>
        </w:rPr>
        <w:t>了</w:t>
      </w:r>
      <w:r>
        <w:rPr>
          <w:rFonts w:cs="Times New Roman"/>
        </w:rPr>
        <w:t>重点行</w:t>
      </w:r>
      <w:r>
        <w:rPr>
          <w:rFonts w:cs="Times New Roman"/>
          <w:spacing w:val="3"/>
        </w:rPr>
        <w:t>业</w:t>
      </w:r>
      <w:r>
        <w:rPr>
          <w:rFonts w:cs="Times New Roman"/>
        </w:rPr>
        <w:t>+综</w:t>
      </w:r>
      <w:r>
        <w:rPr>
          <w:rFonts w:cs="Times New Roman"/>
          <w:spacing w:val="2"/>
        </w:rPr>
        <w:t>合</w:t>
      </w:r>
      <w:r>
        <w:rPr>
          <w:rFonts w:cs="Times New Roman"/>
        </w:rPr>
        <w:t>型排</w:t>
      </w:r>
      <w:r>
        <w:rPr>
          <w:rFonts w:cs="Times New Roman"/>
          <w:spacing w:val="2"/>
        </w:rPr>
        <w:t>放</w:t>
      </w:r>
      <w:r>
        <w:rPr>
          <w:rFonts w:cs="Times New Roman"/>
        </w:rPr>
        <w:t>标准为</w:t>
      </w:r>
      <w:r>
        <w:rPr>
          <w:rFonts w:cs="Times New Roman"/>
          <w:spacing w:val="2"/>
        </w:rPr>
        <w:t>核</w:t>
      </w:r>
      <w:r>
        <w:rPr>
          <w:rFonts w:cs="Times New Roman"/>
        </w:rPr>
        <w:t>心的</w:t>
      </w:r>
      <w:r>
        <w:rPr>
          <w:rFonts w:cs="Times New Roman"/>
          <w:spacing w:val="2"/>
        </w:rPr>
        <w:t>标</w:t>
      </w:r>
      <w:r>
        <w:rPr>
          <w:rFonts w:cs="Times New Roman"/>
        </w:rPr>
        <w:t>准体</w:t>
      </w:r>
      <w:r>
        <w:rPr>
          <w:rFonts w:cs="Times New Roman"/>
          <w:spacing w:val="2"/>
        </w:rPr>
        <w:t>系</w:t>
      </w:r>
      <w:r>
        <w:rPr>
          <w:rFonts w:cs="Times New Roman"/>
        </w:rPr>
        <w:t>。具体如</w:t>
      </w:r>
      <w:r>
        <w:rPr>
          <w:rFonts w:cs="Times New Roman"/>
        </w:rPr>
        <w:fldChar w:fldCharType="begin"/>
      </w:r>
      <w:r>
        <w:rPr>
          <w:rFonts w:cs="Times New Roman"/>
        </w:rPr>
        <w:instrText xml:space="preserve"> REF _Ref26348434 \h  \* MERGEFORMAT </w:instrText>
      </w:r>
      <w:r>
        <w:rPr>
          <w:rFonts w:cs="Times New Roman"/>
        </w:rPr>
        <w:fldChar w:fldCharType="separate"/>
      </w:r>
      <w:r>
        <w:rPr>
          <w:rFonts w:cs="Times New Roman"/>
        </w:rPr>
        <w:t>表 5</w:t>
      </w:r>
      <w:r>
        <w:rPr>
          <w:rFonts w:cs="Times New Roman"/>
        </w:rPr>
        <w:noBreakHyphen/>
      </w:r>
      <w:r>
        <w:rPr>
          <w:rFonts w:cs="Times New Roman"/>
        </w:rPr>
        <w:fldChar w:fldCharType="end"/>
      </w:r>
      <w:r>
        <w:rPr>
          <w:rFonts w:cs="Times New Roman"/>
        </w:rPr>
        <w:t>9所示。</w:t>
      </w:r>
    </w:p>
    <w:p>
      <w:pPr>
        <w:pStyle w:val="13"/>
        <w:spacing w:before="156" w:beforeLines="50" w:after="156" w:afterLines="50"/>
      </w:pPr>
      <w:bookmarkStart w:id="131" w:name="_Ref26348434"/>
      <w:r>
        <w:t xml:space="preserve">表 </w:t>
      </w:r>
      <w:r>
        <w:fldChar w:fldCharType="begin"/>
      </w:r>
      <w:r>
        <w:instrText xml:space="preserve"> STYLEREF 1 \s </w:instrText>
      </w:r>
      <w:r>
        <w:fldChar w:fldCharType="separate"/>
      </w:r>
      <w:r>
        <w:t>5</w:t>
      </w:r>
      <w:r>
        <w:fldChar w:fldCharType="end"/>
      </w:r>
      <w:r>
        <w:noBreakHyphen/>
      </w:r>
      <w:bookmarkEnd w:id="131"/>
      <w:r>
        <w:t>9 德国大气污染物排放标准体系</w:t>
      </w:r>
    </w:p>
    <w:p>
      <w:pPr>
        <w:spacing w:before="6" w:line="70" w:lineRule="exact"/>
        <w:jc w:val="left"/>
        <w:rPr>
          <w:rFonts w:ascii="Times New Roman" w:hAnsi="Times New Roman"/>
          <w:kern w:val="0"/>
          <w:sz w:val="7"/>
          <w:szCs w:val="7"/>
        </w:rPr>
      </w:pPr>
    </w:p>
    <w:tbl>
      <w:tblPr>
        <w:tblStyle w:val="128"/>
        <w:tblW w:w="5000" w:type="pct"/>
        <w:jc w:val="center"/>
        <w:tblLayout w:type="autofit"/>
        <w:tblCellMar>
          <w:top w:w="0" w:type="dxa"/>
          <w:left w:w="0" w:type="dxa"/>
          <w:bottom w:w="0" w:type="dxa"/>
          <w:right w:w="0" w:type="dxa"/>
        </w:tblCellMar>
      </w:tblPr>
      <w:tblGrid>
        <w:gridCol w:w="1660"/>
        <w:gridCol w:w="6656"/>
      </w:tblGrid>
      <w:tr>
        <w:tblPrEx>
          <w:tblCellMar>
            <w:top w:w="0" w:type="dxa"/>
            <w:left w:w="0" w:type="dxa"/>
            <w:bottom w:w="0" w:type="dxa"/>
            <w:right w:w="0" w:type="dxa"/>
          </w:tblCellMar>
        </w:tblPrEx>
        <w:trPr>
          <w:trHeight w:val="350" w:hRule="exact"/>
          <w:tblHeader/>
          <w:jc w:val="center"/>
        </w:trPr>
        <w:tc>
          <w:tcPr>
            <w:tcW w:w="998"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b/>
                <w:kern w:val="0"/>
                <w:lang w:eastAsia="en-US"/>
              </w:rPr>
            </w:pPr>
            <w:r>
              <w:rPr>
                <w:rFonts w:ascii="Times New Roman" w:hAnsi="Times New Roman"/>
                <w:b/>
                <w:kern w:val="0"/>
                <w:lang w:eastAsia="en-US"/>
              </w:rPr>
              <w:t>类型</w:t>
            </w:r>
          </w:p>
        </w:tc>
        <w:tc>
          <w:tcPr>
            <w:tcW w:w="4002"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b/>
                <w:kern w:val="0"/>
                <w:lang w:eastAsia="en-US"/>
              </w:rPr>
            </w:pPr>
            <w:r>
              <w:rPr>
                <w:rFonts w:ascii="Times New Roman" w:hAnsi="Times New Roman"/>
                <w:b/>
                <w:kern w:val="0"/>
                <w:lang w:eastAsia="en-US"/>
              </w:rPr>
              <w:t>标准</w:t>
            </w:r>
            <w:r>
              <w:rPr>
                <w:rFonts w:ascii="Times New Roman" w:hAnsi="Times New Roman"/>
                <w:b/>
                <w:spacing w:val="-3"/>
                <w:kern w:val="0"/>
                <w:lang w:eastAsia="en-US"/>
              </w:rPr>
              <w:t>名</w:t>
            </w:r>
            <w:r>
              <w:rPr>
                <w:rFonts w:ascii="Times New Roman" w:hAnsi="Times New Roman"/>
                <w:b/>
                <w:kern w:val="0"/>
                <w:lang w:eastAsia="en-US"/>
              </w:rPr>
              <w:t>称</w:t>
            </w:r>
          </w:p>
        </w:tc>
      </w:tr>
      <w:tr>
        <w:tblPrEx>
          <w:tblCellMar>
            <w:top w:w="0" w:type="dxa"/>
            <w:left w:w="0" w:type="dxa"/>
            <w:bottom w:w="0" w:type="dxa"/>
            <w:right w:w="0" w:type="dxa"/>
          </w:tblCellMar>
        </w:tblPrEx>
        <w:trPr>
          <w:trHeight w:val="350" w:hRule="exact"/>
          <w:jc w:val="center"/>
        </w:trPr>
        <w:tc>
          <w:tcPr>
            <w:tcW w:w="998" w:type="pct"/>
            <w:tcBorders>
              <w:top w:val="single" w:color="000000" w:sz="4" w:space="0"/>
              <w:left w:val="single" w:color="000000" w:sz="4" w:space="0"/>
              <w:bottom w:val="single" w:color="auto" w:sz="4" w:space="0"/>
              <w:right w:val="single" w:color="000000" w:sz="4" w:space="0"/>
            </w:tcBorders>
            <w:vAlign w:val="center"/>
          </w:tcPr>
          <w:p>
            <w:pPr>
              <w:spacing w:line="240" w:lineRule="exact"/>
              <w:jc w:val="center"/>
              <w:rPr>
                <w:rFonts w:ascii="Times New Roman" w:hAnsi="Times New Roman"/>
                <w:kern w:val="0"/>
                <w:lang w:eastAsia="en-US"/>
              </w:rPr>
            </w:pPr>
            <w:r>
              <w:rPr>
                <w:rFonts w:ascii="Times New Roman" w:hAnsi="Times New Roman"/>
                <w:kern w:val="0"/>
                <w:lang w:eastAsia="en-US"/>
              </w:rPr>
              <w:t>综合型</w:t>
            </w:r>
          </w:p>
        </w:tc>
        <w:tc>
          <w:tcPr>
            <w:tcW w:w="4002" w:type="pct"/>
            <w:tcBorders>
              <w:top w:val="single" w:color="000000" w:sz="4" w:space="0"/>
              <w:left w:val="single" w:color="000000" w:sz="4" w:space="0"/>
              <w:bottom w:val="single" w:color="000000" w:sz="4" w:space="0"/>
              <w:right w:val="single" w:color="000000" w:sz="4" w:space="0"/>
            </w:tcBorders>
            <w:vAlign w:val="center"/>
          </w:tcPr>
          <w:p>
            <w:pPr>
              <w:spacing w:line="240" w:lineRule="exact"/>
              <w:rPr>
                <w:rFonts w:ascii="Times New Roman" w:hAnsi="Times New Roman"/>
                <w:kern w:val="0"/>
                <w:lang w:eastAsia="zh-CN"/>
              </w:rPr>
            </w:pPr>
            <w:r>
              <w:rPr>
                <w:rFonts w:ascii="Times New Roman" w:hAnsi="Times New Roman"/>
                <w:kern w:val="0"/>
                <w:lang w:eastAsia="zh-CN"/>
              </w:rPr>
              <w:t>空气</w:t>
            </w:r>
            <w:r>
              <w:rPr>
                <w:rFonts w:ascii="Times New Roman" w:hAnsi="Times New Roman"/>
                <w:spacing w:val="-3"/>
                <w:kern w:val="0"/>
                <w:lang w:eastAsia="zh-CN"/>
              </w:rPr>
              <w:t>质</w:t>
            </w:r>
            <w:r>
              <w:rPr>
                <w:rFonts w:ascii="Times New Roman" w:hAnsi="Times New Roman"/>
                <w:kern w:val="0"/>
                <w:lang w:eastAsia="zh-CN"/>
              </w:rPr>
              <w:t>量</w:t>
            </w:r>
            <w:r>
              <w:rPr>
                <w:rFonts w:ascii="Times New Roman" w:hAnsi="Times New Roman"/>
                <w:spacing w:val="-3"/>
                <w:kern w:val="0"/>
                <w:lang w:eastAsia="zh-CN"/>
              </w:rPr>
              <w:t>控</w:t>
            </w:r>
            <w:r>
              <w:rPr>
                <w:rFonts w:ascii="Times New Roman" w:hAnsi="Times New Roman"/>
                <w:kern w:val="0"/>
                <w:lang w:eastAsia="zh-CN"/>
              </w:rPr>
              <w:t>制</w:t>
            </w:r>
            <w:r>
              <w:rPr>
                <w:rFonts w:ascii="Times New Roman" w:hAnsi="Times New Roman"/>
                <w:spacing w:val="-3"/>
                <w:kern w:val="0"/>
                <w:lang w:eastAsia="zh-CN"/>
              </w:rPr>
              <w:t>技</w:t>
            </w:r>
            <w:r>
              <w:rPr>
                <w:rFonts w:ascii="Times New Roman" w:hAnsi="Times New Roman"/>
                <w:kern w:val="0"/>
                <w:lang w:eastAsia="zh-CN"/>
              </w:rPr>
              <w:t>术</w:t>
            </w:r>
            <w:r>
              <w:rPr>
                <w:rFonts w:ascii="Times New Roman" w:hAnsi="Times New Roman"/>
                <w:spacing w:val="-3"/>
                <w:kern w:val="0"/>
                <w:lang w:eastAsia="zh-CN"/>
              </w:rPr>
              <w:t>规</w:t>
            </w:r>
            <w:r>
              <w:rPr>
                <w:rFonts w:ascii="Times New Roman" w:hAnsi="Times New Roman"/>
                <w:kern w:val="0"/>
                <w:lang w:eastAsia="zh-CN"/>
              </w:rPr>
              <w:t>范</w:t>
            </w:r>
            <w:r>
              <w:rPr>
                <w:rFonts w:ascii="Times New Roman" w:hAnsi="Times New Roman"/>
                <w:spacing w:val="-3"/>
                <w:kern w:val="0"/>
                <w:lang w:eastAsia="zh-CN"/>
              </w:rPr>
              <w:t>（T</w:t>
            </w:r>
            <w:r>
              <w:rPr>
                <w:rFonts w:ascii="Times New Roman" w:hAnsi="Times New Roman"/>
                <w:kern w:val="0"/>
                <w:lang w:eastAsia="zh-CN"/>
              </w:rPr>
              <w:t>A-Luf</w:t>
            </w:r>
            <w:r>
              <w:rPr>
                <w:rFonts w:ascii="Times New Roman" w:hAnsi="Times New Roman"/>
                <w:spacing w:val="-3"/>
                <w:kern w:val="0"/>
                <w:lang w:eastAsia="zh-CN"/>
              </w:rPr>
              <w:t>t</w:t>
            </w:r>
            <w:r>
              <w:rPr>
                <w:rFonts w:ascii="Times New Roman" w:hAnsi="Times New Roman"/>
                <w:kern w:val="0"/>
                <w:lang w:eastAsia="zh-CN"/>
              </w:rPr>
              <w:t>）</w:t>
            </w:r>
          </w:p>
        </w:tc>
      </w:tr>
      <w:tr>
        <w:tblPrEx>
          <w:tblCellMar>
            <w:top w:w="0" w:type="dxa"/>
            <w:left w:w="0" w:type="dxa"/>
            <w:bottom w:w="0" w:type="dxa"/>
            <w:right w:w="0" w:type="dxa"/>
          </w:tblCellMar>
        </w:tblPrEx>
        <w:trPr>
          <w:trHeight w:val="351" w:hRule="exact"/>
          <w:jc w:val="center"/>
        </w:trPr>
        <w:tc>
          <w:tcPr>
            <w:tcW w:w="998" w:type="pct"/>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kern w:val="0"/>
                <w:lang w:eastAsia="en-US"/>
              </w:rPr>
            </w:pPr>
            <w:r>
              <w:rPr>
                <w:rFonts w:ascii="Times New Roman" w:hAnsi="Times New Roman"/>
                <w:kern w:val="0"/>
                <w:lang w:eastAsia="en-US"/>
              </w:rPr>
              <w:t>重点</w:t>
            </w:r>
            <w:r>
              <w:rPr>
                <w:rFonts w:ascii="Times New Roman" w:hAnsi="Times New Roman"/>
                <w:spacing w:val="-3"/>
                <w:kern w:val="0"/>
                <w:lang w:eastAsia="en-US"/>
              </w:rPr>
              <w:t>行</w:t>
            </w:r>
            <w:r>
              <w:rPr>
                <w:rFonts w:ascii="Times New Roman" w:hAnsi="Times New Roman"/>
                <w:kern w:val="0"/>
                <w:lang w:eastAsia="en-US"/>
              </w:rPr>
              <w:t>业</w:t>
            </w:r>
          </w:p>
        </w:tc>
        <w:tc>
          <w:tcPr>
            <w:tcW w:w="4002" w:type="pct"/>
            <w:tcBorders>
              <w:top w:val="single" w:color="000000" w:sz="4" w:space="0"/>
              <w:left w:val="single" w:color="auto" w:sz="4" w:space="0"/>
              <w:bottom w:val="single" w:color="000000" w:sz="4" w:space="0"/>
              <w:right w:val="single" w:color="000000" w:sz="4" w:space="0"/>
            </w:tcBorders>
            <w:vAlign w:val="center"/>
          </w:tcPr>
          <w:p>
            <w:pPr>
              <w:spacing w:line="240" w:lineRule="exact"/>
              <w:rPr>
                <w:rFonts w:ascii="Times New Roman" w:hAnsi="Times New Roman"/>
                <w:kern w:val="0"/>
                <w:lang w:eastAsia="zh-CN"/>
              </w:rPr>
            </w:pPr>
            <w:r>
              <w:rPr>
                <w:rFonts w:ascii="Times New Roman" w:hAnsi="Times New Roman"/>
                <w:kern w:val="0"/>
                <w:lang w:eastAsia="zh-CN"/>
              </w:rPr>
              <w:t>小规</w:t>
            </w:r>
            <w:r>
              <w:rPr>
                <w:rFonts w:ascii="Times New Roman" w:hAnsi="Times New Roman"/>
                <w:spacing w:val="-3"/>
                <w:kern w:val="0"/>
                <w:lang w:eastAsia="zh-CN"/>
              </w:rPr>
              <w:t>模</w:t>
            </w:r>
            <w:r>
              <w:rPr>
                <w:rFonts w:ascii="Times New Roman" w:hAnsi="Times New Roman"/>
                <w:kern w:val="0"/>
                <w:lang w:eastAsia="zh-CN"/>
              </w:rPr>
              <w:t>及</w:t>
            </w:r>
            <w:r>
              <w:rPr>
                <w:rFonts w:ascii="Times New Roman" w:hAnsi="Times New Roman"/>
                <w:spacing w:val="-3"/>
                <w:kern w:val="0"/>
                <w:lang w:eastAsia="zh-CN"/>
              </w:rPr>
              <w:t>中</w:t>
            </w:r>
            <w:r>
              <w:rPr>
                <w:rFonts w:ascii="Times New Roman" w:hAnsi="Times New Roman"/>
                <w:kern w:val="0"/>
                <w:lang w:eastAsia="zh-CN"/>
              </w:rPr>
              <w:t>等</w:t>
            </w:r>
            <w:r>
              <w:rPr>
                <w:rFonts w:ascii="Times New Roman" w:hAnsi="Times New Roman"/>
                <w:spacing w:val="-3"/>
                <w:kern w:val="0"/>
                <w:lang w:eastAsia="zh-CN"/>
              </w:rPr>
              <w:t>规</w:t>
            </w:r>
            <w:r>
              <w:rPr>
                <w:rFonts w:ascii="Times New Roman" w:hAnsi="Times New Roman"/>
                <w:kern w:val="0"/>
                <w:lang w:eastAsia="zh-CN"/>
              </w:rPr>
              <w:t>模</w:t>
            </w:r>
            <w:r>
              <w:rPr>
                <w:rFonts w:ascii="Times New Roman" w:hAnsi="Times New Roman"/>
                <w:spacing w:val="-3"/>
                <w:kern w:val="0"/>
                <w:lang w:eastAsia="zh-CN"/>
              </w:rPr>
              <w:t>的</w:t>
            </w:r>
            <w:r>
              <w:rPr>
                <w:rFonts w:ascii="Times New Roman" w:hAnsi="Times New Roman"/>
                <w:kern w:val="0"/>
                <w:lang w:eastAsia="zh-CN"/>
              </w:rPr>
              <w:t>燃</w:t>
            </w:r>
            <w:r>
              <w:rPr>
                <w:rFonts w:ascii="Times New Roman" w:hAnsi="Times New Roman"/>
                <w:spacing w:val="-3"/>
                <w:kern w:val="0"/>
                <w:lang w:eastAsia="zh-CN"/>
              </w:rPr>
              <w:t>烧</w:t>
            </w:r>
            <w:r>
              <w:rPr>
                <w:rFonts w:ascii="Times New Roman" w:hAnsi="Times New Roman"/>
                <w:kern w:val="0"/>
                <w:lang w:eastAsia="zh-CN"/>
              </w:rPr>
              <w:t>装置</w:t>
            </w:r>
            <w:r>
              <w:rPr>
                <w:rFonts w:ascii="Times New Roman" w:hAnsi="Times New Roman"/>
                <w:spacing w:val="-3"/>
                <w:kern w:val="0"/>
                <w:lang w:eastAsia="zh-CN"/>
              </w:rPr>
              <w:t>条</w:t>
            </w:r>
            <w:r>
              <w:rPr>
                <w:rFonts w:ascii="Times New Roman" w:hAnsi="Times New Roman"/>
                <w:kern w:val="0"/>
                <w:lang w:eastAsia="zh-CN"/>
              </w:rPr>
              <w:t>例</w:t>
            </w:r>
          </w:p>
        </w:tc>
      </w:tr>
      <w:tr>
        <w:tblPrEx>
          <w:tblCellMar>
            <w:top w:w="0" w:type="dxa"/>
            <w:left w:w="0" w:type="dxa"/>
            <w:bottom w:w="0" w:type="dxa"/>
            <w:right w:w="0" w:type="dxa"/>
          </w:tblCellMar>
        </w:tblPrEx>
        <w:trPr>
          <w:trHeight w:val="350" w:hRule="exact"/>
          <w:jc w:val="center"/>
        </w:trPr>
        <w:tc>
          <w:tcPr>
            <w:tcW w:w="99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2"/>
                <w:szCs w:val="22"/>
                <w:lang w:eastAsia="zh-CN"/>
              </w:rPr>
            </w:pPr>
          </w:p>
        </w:tc>
        <w:tc>
          <w:tcPr>
            <w:tcW w:w="4002" w:type="pct"/>
            <w:tcBorders>
              <w:top w:val="single" w:color="000000" w:sz="4" w:space="0"/>
              <w:left w:val="single" w:color="auto" w:sz="4" w:space="0"/>
              <w:bottom w:val="single" w:color="000000" w:sz="4" w:space="0"/>
              <w:right w:val="single" w:color="000000" w:sz="4" w:space="0"/>
            </w:tcBorders>
            <w:vAlign w:val="center"/>
          </w:tcPr>
          <w:p>
            <w:pPr>
              <w:spacing w:line="240" w:lineRule="exact"/>
              <w:rPr>
                <w:rFonts w:ascii="Times New Roman" w:hAnsi="Times New Roman"/>
                <w:kern w:val="0"/>
                <w:lang w:eastAsia="en-US"/>
              </w:rPr>
            </w:pPr>
            <w:r>
              <w:rPr>
                <w:rFonts w:ascii="Times New Roman" w:hAnsi="Times New Roman"/>
                <w:kern w:val="0"/>
                <w:lang w:eastAsia="en-US"/>
              </w:rPr>
              <w:t>木屑</w:t>
            </w:r>
            <w:r>
              <w:rPr>
                <w:rFonts w:ascii="Times New Roman" w:hAnsi="Times New Roman"/>
                <w:spacing w:val="-3"/>
                <w:kern w:val="0"/>
                <w:lang w:eastAsia="en-US"/>
              </w:rPr>
              <w:t>排</w:t>
            </w:r>
            <w:r>
              <w:rPr>
                <w:rFonts w:ascii="Times New Roman" w:hAnsi="Times New Roman"/>
                <w:kern w:val="0"/>
                <w:lang w:eastAsia="en-US"/>
              </w:rPr>
              <w:t>放</w:t>
            </w:r>
            <w:r>
              <w:rPr>
                <w:rFonts w:ascii="Times New Roman" w:hAnsi="Times New Roman"/>
                <w:spacing w:val="-3"/>
                <w:kern w:val="0"/>
                <w:lang w:eastAsia="en-US"/>
              </w:rPr>
              <w:t>限</w:t>
            </w:r>
            <w:r>
              <w:rPr>
                <w:rFonts w:ascii="Times New Roman" w:hAnsi="Times New Roman"/>
                <w:kern w:val="0"/>
                <w:lang w:eastAsia="en-US"/>
              </w:rPr>
              <w:t>制</w:t>
            </w:r>
            <w:r>
              <w:rPr>
                <w:rFonts w:ascii="Times New Roman" w:hAnsi="Times New Roman"/>
                <w:spacing w:val="-3"/>
                <w:kern w:val="0"/>
                <w:lang w:eastAsia="en-US"/>
              </w:rPr>
              <w:t>条</w:t>
            </w:r>
            <w:r>
              <w:rPr>
                <w:rFonts w:ascii="Times New Roman" w:hAnsi="Times New Roman"/>
                <w:kern w:val="0"/>
                <w:lang w:eastAsia="en-US"/>
              </w:rPr>
              <w:t>例</w:t>
            </w:r>
          </w:p>
        </w:tc>
      </w:tr>
      <w:tr>
        <w:tblPrEx>
          <w:tblCellMar>
            <w:top w:w="0" w:type="dxa"/>
            <w:left w:w="0" w:type="dxa"/>
            <w:bottom w:w="0" w:type="dxa"/>
            <w:right w:w="0" w:type="dxa"/>
          </w:tblCellMar>
        </w:tblPrEx>
        <w:trPr>
          <w:trHeight w:val="350" w:hRule="exact"/>
          <w:jc w:val="center"/>
        </w:trPr>
        <w:tc>
          <w:tcPr>
            <w:tcW w:w="99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2"/>
                <w:szCs w:val="22"/>
                <w:lang w:eastAsia="en-US"/>
              </w:rPr>
            </w:pPr>
          </w:p>
        </w:tc>
        <w:tc>
          <w:tcPr>
            <w:tcW w:w="4002" w:type="pct"/>
            <w:tcBorders>
              <w:top w:val="single" w:color="000000" w:sz="4" w:space="0"/>
              <w:left w:val="single" w:color="auto" w:sz="4" w:space="0"/>
              <w:bottom w:val="single" w:color="000000" w:sz="4" w:space="0"/>
              <w:right w:val="single" w:color="000000" w:sz="4" w:space="0"/>
            </w:tcBorders>
            <w:vAlign w:val="center"/>
          </w:tcPr>
          <w:p>
            <w:pPr>
              <w:spacing w:line="240" w:lineRule="exact"/>
              <w:rPr>
                <w:rFonts w:ascii="Times New Roman" w:hAnsi="Times New Roman"/>
                <w:kern w:val="0"/>
                <w:lang w:eastAsia="zh-CN"/>
              </w:rPr>
            </w:pPr>
            <w:r>
              <w:rPr>
                <w:rFonts w:ascii="Times New Roman" w:hAnsi="Times New Roman"/>
                <w:kern w:val="0"/>
                <w:lang w:eastAsia="zh-CN"/>
              </w:rPr>
              <w:t>大型</w:t>
            </w:r>
            <w:r>
              <w:rPr>
                <w:rFonts w:ascii="Times New Roman" w:hAnsi="Times New Roman"/>
                <w:spacing w:val="-3"/>
                <w:kern w:val="0"/>
                <w:lang w:eastAsia="zh-CN"/>
              </w:rPr>
              <w:t>燃</w:t>
            </w:r>
            <w:r>
              <w:rPr>
                <w:rFonts w:ascii="Times New Roman" w:hAnsi="Times New Roman"/>
                <w:kern w:val="0"/>
                <w:lang w:eastAsia="zh-CN"/>
              </w:rPr>
              <w:t>烧</w:t>
            </w:r>
            <w:r>
              <w:rPr>
                <w:rFonts w:ascii="Times New Roman" w:hAnsi="Times New Roman"/>
                <w:spacing w:val="-3"/>
                <w:kern w:val="0"/>
                <w:lang w:eastAsia="zh-CN"/>
              </w:rPr>
              <w:t>装</w:t>
            </w:r>
            <w:r>
              <w:rPr>
                <w:rFonts w:ascii="Times New Roman" w:hAnsi="Times New Roman"/>
                <w:kern w:val="0"/>
                <w:lang w:eastAsia="zh-CN"/>
              </w:rPr>
              <w:t>置</w:t>
            </w:r>
            <w:r>
              <w:rPr>
                <w:rFonts w:ascii="Times New Roman" w:hAnsi="Times New Roman"/>
                <w:spacing w:val="-3"/>
                <w:kern w:val="0"/>
                <w:lang w:eastAsia="zh-CN"/>
              </w:rPr>
              <w:t>和</w:t>
            </w:r>
            <w:r>
              <w:rPr>
                <w:rFonts w:ascii="Times New Roman" w:hAnsi="Times New Roman"/>
                <w:kern w:val="0"/>
                <w:lang w:eastAsia="zh-CN"/>
              </w:rPr>
              <w:t>燃</w:t>
            </w:r>
            <w:r>
              <w:rPr>
                <w:rFonts w:ascii="Times New Roman" w:hAnsi="Times New Roman"/>
                <w:spacing w:val="-3"/>
                <w:kern w:val="0"/>
                <w:lang w:eastAsia="zh-CN"/>
              </w:rPr>
              <w:t>气</w:t>
            </w:r>
            <w:r>
              <w:rPr>
                <w:rFonts w:ascii="Times New Roman" w:hAnsi="Times New Roman"/>
                <w:kern w:val="0"/>
                <w:lang w:eastAsia="zh-CN"/>
              </w:rPr>
              <w:t>轮</w:t>
            </w:r>
            <w:r>
              <w:rPr>
                <w:rFonts w:ascii="Times New Roman" w:hAnsi="Times New Roman"/>
                <w:spacing w:val="-3"/>
                <w:kern w:val="0"/>
                <w:lang w:eastAsia="zh-CN"/>
              </w:rPr>
              <w:t>机</w:t>
            </w:r>
            <w:r>
              <w:rPr>
                <w:rFonts w:ascii="Times New Roman" w:hAnsi="Times New Roman"/>
                <w:kern w:val="0"/>
                <w:lang w:eastAsia="zh-CN"/>
              </w:rPr>
              <w:t>条例</w:t>
            </w:r>
          </w:p>
        </w:tc>
      </w:tr>
      <w:tr>
        <w:tblPrEx>
          <w:tblCellMar>
            <w:top w:w="0" w:type="dxa"/>
            <w:left w:w="0" w:type="dxa"/>
            <w:bottom w:w="0" w:type="dxa"/>
            <w:right w:w="0" w:type="dxa"/>
          </w:tblCellMar>
        </w:tblPrEx>
        <w:trPr>
          <w:trHeight w:val="350" w:hRule="exact"/>
          <w:jc w:val="center"/>
        </w:trPr>
        <w:tc>
          <w:tcPr>
            <w:tcW w:w="99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2"/>
                <w:szCs w:val="22"/>
                <w:lang w:eastAsia="zh-CN"/>
              </w:rPr>
            </w:pPr>
          </w:p>
        </w:tc>
        <w:tc>
          <w:tcPr>
            <w:tcW w:w="4002" w:type="pct"/>
            <w:tcBorders>
              <w:top w:val="single" w:color="000000" w:sz="4" w:space="0"/>
              <w:left w:val="single" w:color="auto" w:sz="4" w:space="0"/>
              <w:bottom w:val="single" w:color="000000" w:sz="4" w:space="0"/>
              <w:right w:val="single" w:color="000000" w:sz="4" w:space="0"/>
            </w:tcBorders>
            <w:vAlign w:val="center"/>
          </w:tcPr>
          <w:p>
            <w:pPr>
              <w:spacing w:line="240" w:lineRule="exact"/>
              <w:rPr>
                <w:rFonts w:ascii="Times New Roman" w:hAnsi="Times New Roman"/>
                <w:kern w:val="0"/>
                <w:lang w:eastAsia="zh-CN"/>
              </w:rPr>
            </w:pPr>
            <w:r>
              <w:rPr>
                <w:rFonts w:ascii="Times New Roman" w:hAnsi="Times New Roman"/>
                <w:kern w:val="0"/>
                <w:lang w:eastAsia="zh-CN"/>
              </w:rPr>
              <w:t>二氧</w:t>
            </w:r>
            <w:r>
              <w:rPr>
                <w:rFonts w:ascii="Times New Roman" w:hAnsi="Times New Roman"/>
                <w:spacing w:val="-3"/>
                <w:kern w:val="0"/>
                <w:lang w:eastAsia="zh-CN"/>
              </w:rPr>
              <w:t>化</w:t>
            </w:r>
            <w:r>
              <w:rPr>
                <w:rFonts w:ascii="Times New Roman" w:hAnsi="Times New Roman"/>
                <w:kern w:val="0"/>
                <w:lang w:eastAsia="zh-CN"/>
              </w:rPr>
              <w:t>钛</w:t>
            </w:r>
            <w:r>
              <w:rPr>
                <w:rFonts w:ascii="Times New Roman" w:hAnsi="Times New Roman"/>
                <w:spacing w:val="-3"/>
                <w:kern w:val="0"/>
                <w:lang w:eastAsia="zh-CN"/>
              </w:rPr>
              <w:t>工</w:t>
            </w:r>
            <w:r>
              <w:rPr>
                <w:rFonts w:ascii="Times New Roman" w:hAnsi="Times New Roman"/>
                <w:kern w:val="0"/>
                <w:lang w:eastAsia="zh-CN"/>
              </w:rPr>
              <w:t>业</w:t>
            </w:r>
            <w:r>
              <w:rPr>
                <w:rFonts w:ascii="Times New Roman" w:hAnsi="Times New Roman"/>
                <w:spacing w:val="-3"/>
                <w:kern w:val="0"/>
                <w:lang w:eastAsia="zh-CN"/>
              </w:rPr>
              <w:t>排</w:t>
            </w:r>
            <w:r>
              <w:rPr>
                <w:rFonts w:ascii="Times New Roman" w:hAnsi="Times New Roman"/>
                <w:kern w:val="0"/>
                <w:lang w:eastAsia="zh-CN"/>
              </w:rPr>
              <w:t>放</w:t>
            </w:r>
            <w:r>
              <w:rPr>
                <w:rFonts w:ascii="Times New Roman" w:hAnsi="Times New Roman"/>
                <w:spacing w:val="-3"/>
                <w:kern w:val="0"/>
                <w:lang w:eastAsia="zh-CN"/>
              </w:rPr>
              <w:t>限</w:t>
            </w:r>
            <w:r>
              <w:rPr>
                <w:rFonts w:ascii="Times New Roman" w:hAnsi="Times New Roman"/>
                <w:kern w:val="0"/>
                <w:lang w:eastAsia="zh-CN"/>
              </w:rPr>
              <w:t>制</w:t>
            </w:r>
            <w:r>
              <w:rPr>
                <w:rFonts w:ascii="Times New Roman" w:hAnsi="Times New Roman"/>
                <w:spacing w:val="-3"/>
                <w:kern w:val="0"/>
                <w:lang w:eastAsia="zh-CN"/>
              </w:rPr>
              <w:t>条</w:t>
            </w:r>
            <w:r>
              <w:rPr>
                <w:rFonts w:ascii="Times New Roman" w:hAnsi="Times New Roman"/>
                <w:kern w:val="0"/>
                <w:lang w:eastAsia="zh-CN"/>
              </w:rPr>
              <w:t>例</w:t>
            </w:r>
          </w:p>
        </w:tc>
      </w:tr>
      <w:tr>
        <w:tblPrEx>
          <w:tblCellMar>
            <w:top w:w="0" w:type="dxa"/>
            <w:left w:w="0" w:type="dxa"/>
            <w:bottom w:w="0" w:type="dxa"/>
            <w:right w:w="0" w:type="dxa"/>
          </w:tblCellMar>
        </w:tblPrEx>
        <w:trPr>
          <w:trHeight w:val="350" w:hRule="exact"/>
          <w:jc w:val="center"/>
        </w:trPr>
        <w:tc>
          <w:tcPr>
            <w:tcW w:w="99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2"/>
                <w:szCs w:val="22"/>
                <w:lang w:eastAsia="zh-CN"/>
              </w:rPr>
            </w:pPr>
          </w:p>
        </w:tc>
        <w:tc>
          <w:tcPr>
            <w:tcW w:w="4002" w:type="pct"/>
            <w:tcBorders>
              <w:top w:val="single" w:color="000000" w:sz="4" w:space="0"/>
              <w:left w:val="single" w:color="auto" w:sz="4" w:space="0"/>
              <w:bottom w:val="single" w:color="000000" w:sz="4" w:space="0"/>
              <w:right w:val="single" w:color="000000" w:sz="4" w:space="0"/>
            </w:tcBorders>
            <w:vAlign w:val="center"/>
          </w:tcPr>
          <w:p>
            <w:pPr>
              <w:spacing w:line="240" w:lineRule="exact"/>
              <w:rPr>
                <w:rFonts w:ascii="Times New Roman" w:hAnsi="Times New Roman"/>
                <w:kern w:val="0"/>
                <w:lang w:eastAsia="en-US"/>
              </w:rPr>
            </w:pPr>
            <w:r>
              <w:rPr>
                <w:rFonts w:ascii="Times New Roman" w:hAnsi="Times New Roman"/>
                <w:kern w:val="0"/>
                <w:lang w:eastAsia="en-US"/>
              </w:rPr>
              <w:t>火葬</w:t>
            </w:r>
            <w:r>
              <w:rPr>
                <w:rFonts w:ascii="Times New Roman" w:hAnsi="Times New Roman"/>
                <w:spacing w:val="-3"/>
                <w:kern w:val="0"/>
                <w:lang w:eastAsia="en-US"/>
              </w:rPr>
              <w:t>场</w:t>
            </w:r>
            <w:r>
              <w:rPr>
                <w:rFonts w:ascii="Times New Roman" w:hAnsi="Times New Roman"/>
                <w:kern w:val="0"/>
                <w:lang w:eastAsia="en-US"/>
              </w:rPr>
              <w:t>排</w:t>
            </w:r>
            <w:r>
              <w:rPr>
                <w:rFonts w:ascii="Times New Roman" w:hAnsi="Times New Roman"/>
                <w:spacing w:val="-3"/>
                <w:kern w:val="0"/>
                <w:lang w:eastAsia="en-US"/>
              </w:rPr>
              <w:t>放</w:t>
            </w:r>
            <w:r>
              <w:rPr>
                <w:rFonts w:ascii="Times New Roman" w:hAnsi="Times New Roman"/>
                <w:kern w:val="0"/>
                <w:lang w:eastAsia="en-US"/>
              </w:rPr>
              <w:t>限</w:t>
            </w:r>
            <w:r>
              <w:rPr>
                <w:rFonts w:ascii="Times New Roman" w:hAnsi="Times New Roman"/>
                <w:spacing w:val="-3"/>
                <w:kern w:val="0"/>
                <w:lang w:eastAsia="en-US"/>
              </w:rPr>
              <w:t>制</w:t>
            </w:r>
            <w:r>
              <w:rPr>
                <w:rFonts w:ascii="Times New Roman" w:hAnsi="Times New Roman"/>
                <w:kern w:val="0"/>
                <w:lang w:eastAsia="en-US"/>
              </w:rPr>
              <w:t>条例</w:t>
            </w:r>
          </w:p>
        </w:tc>
      </w:tr>
      <w:tr>
        <w:tblPrEx>
          <w:tblCellMar>
            <w:top w:w="0" w:type="dxa"/>
            <w:left w:w="0" w:type="dxa"/>
            <w:bottom w:w="0" w:type="dxa"/>
            <w:right w:w="0" w:type="dxa"/>
          </w:tblCellMar>
        </w:tblPrEx>
        <w:trPr>
          <w:trHeight w:val="350" w:hRule="exact"/>
          <w:jc w:val="center"/>
        </w:trPr>
        <w:tc>
          <w:tcPr>
            <w:tcW w:w="99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2"/>
                <w:szCs w:val="22"/>
                <w:lang w:eastAsia="en-US"/>
              </w:rPr>
            </w:pPr>
          </w:p>
        </w:tc>
        <w:tc>
          <w:tcPr>
            <w:tcW w:w="4002" w:type="pct"/>
            <w:tcBorders>
              <w:top w:val="single" w:color="000000" w:sz="4" w:space="0"/>
              <w:left w:val="single" w:color="auto" w:sz="4" w:space="0"/>
              <w:bottom w:val="single" w:color="000000" w:sz="4" w:space="0"/>
              <w:right w:val="single" w:color="000000" w:sz="4" w:space="0"/>
            </w:tcBorders>
            <w:vAlign w:val="center"/>
          </w:tcPr>
          <w:p>
            <w:pPr>
              <w:spacing w:line="240" w:lineRule="exact"/>
              <w:rPr>
                <w:rFonts w:ascii="Times New Roman" w:hAnsi="Times New Roman"/>
                <w:kern w:val="0"/>
                <w:lang w:eastAsia="en-US"/>
              </w:rPr>
            </w:pPr>
            <w:r>
              <w:rPr>
                <w:rFonts w:ascii="Times New Roman" w:hAnsi="Times New Roman"/>
                <w:kern w:val="0"/>
                <w:lang w:eastAsia="en-US"/>
              </w:rPr>
              <w:t>垃圾</w:t>
            </w:r>
            <w:r>
              <w:rPr>
                <w:rFonts w:ascii="Times New Roman" w:hAnsi="Times New Roman"/>
                <w:spacing w:val="-3"/>
                <w:kern w:val="0"/>
                <w:lang w:eastAsia="en-US"/>
              </w:rPr>
              <w:t>生</w:t>
            </w:r>
            <w:r>
              <w:rPr>
                <w:rFonts w:ascii="Times New Roman" w:hAnsi="Times New Roman"/>
                <w:kern w:val="0"/>
                <w:lang w:eastAsia="en-US"/>
              </w:rPr>
              <w:t>物</w:t>
            </w:r>
            <w:r>
              <w:rPr>
                <w:rFonts w:ascii="Times New Roman" w:hAnsi="Times New Roman"/>
                <w:spacing w:val="-3"/>
                <w:kern w:val="0"/>
                <w:lang w:eastAsia="en-US"/>
              </w:rPr>
              <w:t>处</w:t>
            </w:r>
            <w:r>
              <w:rPr>
                <w:rFonts w:ascii="Times New Roman" w:hAnsi="Times New Roman"/>
                <w:kern w:val="0"/>
                <w:lang w:eastAsia="en-US"/>
              </w:rPr>
              <w:t>理</w:t>
            </w:r>
            <w:r>
              <w:rPr>
                <w:rFonts w:ascii="Times New Roman" w:hAnsi="Times New Roman"/>
                <w:spacing w:val="-3"/>
                <w:kern w:val="0"/>
                <w:lang w:eastAsia="en-US"/>
              </w:rPr>
              <w:t>厂</w:t>
            </w:r>
            <w:r>
              <w:rPr>
                <w:rFonts w:ascii="Times New Roman" w:hAnsi="Times New Roman"/>
                <w:kern w:val="0"/>
                <w:lang w:eastAsia="en-US"/>
              </w:rPr>
              <w:t>条例</w:t>
            </w:r>
          </w:p>
        </w:tc>
      </w:tr>
      <w:tr>
        <w:tblPrEx>
          <w:tblCellMar>
            <w:top w:w="0" w:type="dxa"/>
            <w:left w:w="0" w:type="dxa"/>
            <w:bottom w:w="0" w:type="dxa"/>
            <w:right w:w="0" w:type="dxa"/>
          </w:tblCellMar>
        </w:tblPrEx>
        <w:trPr>
          <w:trHeight w:val="350" w:hRule="exact"/>
          <w:jc w:val="center"/>
        </w:trPr>
        <w:tc>
          <w:tcPr>
            <w:tcW w:w="998" w:type="pct"/>
            <w:vMerge w:val="restart"/>
            <w:tcBorders>
              <w:top w:val="single" w:color="auto" w:sz="4" w:space="0"/>
              <w:left w:val="single" w:color="000000" w:sz="6" w:space="0"/>
              <w:bottom w:val="single" w:color="auto" w:sz="4" w:space="0"/>
              <w:right w:val="single" w:color="000000" w:sz="6" w:space="0"/>
            </w:tcBorders>
            <w:vAlign w:val="center"/>
          </w:tcPr>
          <w:p>
            <w:pPr>
              <w:spacing w:line="240" w:lineRule="exact"/>
              <w:jc w:val="center"/>
              <w:rPr>
                <w:rFonts w:ascii="Times New Roman" w:hAnsi="Times New Roman"/>
                <w:kern w:val="0"/>
                <w:lang w:eastAsia="zh-CN"/>
              </w:rPr>
            </w:pPr>
            <w:r>
              <w:rPr>
                <w:rFonts w:ascii="Times New Roman" w:hAnsi="Times New Roman"/>
                <w:kern w:val="0"/>
                <w:lang w:eastAsia="zh-CN"/>
              </w:rPr>
              <w:t>重点污染物</w:t>
            </w:r>
          </w:p>
          <w:p>
            <w:pPr>
              <w:spacing w:before="31"/>
              <w:jc w:val="center"/>
              <w:rPr>
                <w:rFonts w:ascii="Times New Roman" w:hAnsi="Times New Roman"/>
                <w:kern w:val="0"/>
                <w:lang w:eastAsia="zh-CN"/>
              </w:rPr>
            </w:pPr>
            <w:r>
              <w:rPr>
                <w:rFonts w:ascii="Times New Roman" w:hAnsi="Times New Roman"/>
                <w:spacing w:val="-1"/>
                <w:kern w:val="0"/>
                <w:lang w:eastAsia="zh-CN"/>
              </w:rPr>
              <w:t>（</w:t>
            </w:r>
            <w:r>
              <w:rPr>
                <w:rFonts w:ascii="Times New Roman" w:hAnsi="Times New Roman"/>
                <w:kern w:val="0"/>
                <w:lang w:eastAsia="zh-CN"/>
              </w:rPr>
              <w:t>VO</w:t>
            </w:r>
            <w:r>
              <w:rPr>
                <w:rFonts w:ascii="Times New Roman" w:hAnsi="Times New Roman"/>
                <w:spacing w:val="-3"/>
                <w:kern w:val="0"/>
                <w:lang w:eastAsia="zh-CN"/>
              </w:rPr>
              <w:t>C</w:t>
            </w:r>
            <w:r>
              <w:rPr>
                <w:rFonts w:ascii="Times New Roman" w:hAnsi="Times New Roman"/>
                <w:kern w:val="0"/>
                <w:lang w:eastAsia="zh-CN"/>
              </w:rPr>
              <w:t>）</w:t>
            </w:r>
          </w:p>
        </w:tc>
        <w:tc>
          <w:tcPr>
            <w:tcW w:w="4002" w:type="pct"/>
            <w:tcBorders>
              <w:top w:val="single" w:color="000000" w:sz="4" w:space="0"/>
              <w:left w:val="single" w:color="000000" w:sz="6" w:space="0"/>
              <w:bottom w:val="single" w:color="000000" w:sz="4" w:space="0"/>
              <w:right w:val="single" w:color="000000" w:sz="4" w:space="0"/>
            </w:tcBorders>
            <w:vAlign w:val="center"/>
          </w:tcPr>
          <w:p>
            <w:pPr>
              <w:spacing w:line="240" w:lineRule="exact"/>
              <w:rPr>
                <w:rFonts w:ascii="Times New Roman" w:hAnsi="Times New Roman"/>
                <w:kern w:val="0"/>
                <w:lang w:eastAsia="zh-CN"/>
              </w:rPr>
            </w:pPr>
            <w:r>
              <w:rPr>
                <w:rFonts w:ascii="Times New Roman" w:hAnsi="Times New Roman"/>
                <w:kern w:val="0"/>
                <w:lang w:eastAsia="zh-CN"/>
              </w:rPr>
              <w:t>卤代</w:t>
            </w:r>
            <w:r>
              <w:rPr>
                <w:rFonts w:ascii="Times New Roman" w:hAnsi="Times New Roman"/>
                <w:spacing w:val="-3"/>
                <w:kern w:val="0"/>
                <w:lang w:eastAsia="zh-CN"/>
              </w:rPr>
              <w:t>挥</w:t>
            </w:r>
            <w:r>
              <w:rPr>
                <w:rFonts w:ascii="Times New Roman" w:hAnsi="Times New Roman"/>
                <w:kern w:val="0"/>
                <w:lang w:eastAsia="zh-CN"/>
              </w:rPr>
              <w:t>发</w:t>
            </w:r>
            <w:r>
              <w:rPr>
                <w:rFonts w:ascii="Times New Roman" w:hAnsi="Times New Roman"/>
                <w:spacing w:val="-3"/>
                <w:kern w:val="0"/>
                <w:lang w:eastAsia="zh-CN"/>
              </w:rPr>
              <w:t>有</w:t>
            </w:r>
            <w:r>
              <w:rPr>
                <w:rFonts w:ascii="Times New Roman" w:hAnsi="Times New Roman"/>
                <w:kern w:val="0"/>
                <w:lang w:eastAsia="zh-CN"/>
              </w:rPr>
              <w:t>机</w:t>
            </w:r>
            <w:r>
              <w:rPr>
                <w:rFonts w:ascii="Times New Roman" w:hAnsi="Times New Roman"/>
                <w:spacing w:val="-3"/>
                <w:kern w:val="0"/>
                <w:lang w:eastAsia="zh-CN"/>
              </w:rPr>
              <w:t>化</w:t>
            </w:r>
            <w:r>
              <w:rPr>
                <w:rFonts w:ascii="Times New Roman" w:hAnsi="Times New Roman"/>
                <w:kern w:val="0"/>
                <w:lang w:eastAsia="zh-CN"/>
              </w:rPr>
              <w:t>合</w:t>
            </w:r>
            <w:r>
              <w:rPr>
                <w:rFonts w:ascii="Times New Roman" w:hAnsi="Times New Roman"/>
                <w:spacing w:val="-3"/>
                <w:kern w:val="0"/>
                <w:lang w:eastAsia="zh-CN"/>
              </w:rPr>
              <w:t>物</w:t>
            </w:r>
            <w:r>
              <w:rPr>
                <w:rFonts w:ascii="Times New Roman" w:hAnsi="Times New Roman"/>
                <w:kern w:val="0"/>
                <w:lang w:eastAsia="zh-CN"/>
              </w:rPr>
              <w:t>排</w:t>
            </w:r>
            <w:r>
              <w:rPr>
                <w:rFonts w:ascii="Times New Roman" w:hAnsi="Times New Roman"/>
                <w:spacing w:val="-3"/>
                <w:kern w:val="0"/>
                <w:lang w:eastAsia="zh-CN"/>
              </w:rPr>
              <w:t>放</w:t>
            </w:r>
            <w:r>
              <w:rPr>
                <w:rFonts w:ascii="Times New Roman" w:hAnsi="Times New Roman"/>
                <w:kern w:val="0"/>
                <w:lang w:eastAsia="zh-CN"/>
              </w:rPr>
              <w:t>控制</w:t>
            </w:r>
            <w:r>
              <w:rPr>
                <w:rFonts w:ascii="Times New Roman" w:hAnsi="Times New Roman"/>
                <w:spacing w:val="-3"/>
                <w:kern w:val="0"/>
                <w:lang w:eastAsia="zh-CN"/>
              </w:rPr>
              <w:t>条</w:t>
            </w:r>
            <w:r>
              <w:rPr>
                <w:rFonts w:ascii="Times New Roman" w:hAnsi="Times New Roman"/>
                <w:kern w:val="0"/>
                <w:lang w:eastAsia="zh-CN"/>
              </w:rPr>
              <w:t>例</w:t>
            </w:r>
          </w:p>
        </w:tc>
      </w:tr>
      <w:tr>
        <w:tblPrEx>
          <w:tblCellMar>
            <w:top w:w="0" w:type="dxa"/>
            <w:left w:w="0" w:type="dxa"/>
            <w:bottom w:w="0" w:type="dxa"/>
            <w:right w:w="0" w:type="dxa"/>
          </w:tblCellMar>
        </w:tblPrEx>
        <w:trPr>
          <w:trHeight w:val="692" w:hRule="exact"/>
          <w:jc w:val="center"/>
        </w:trPr>
        <w:tc>
          <w:tcPr>
            <w:tcW w:w="998" w:type="pct"/>
            <w:vMerge w:val="continue"/>
            <w:tcBorders>
              <w:left w:val="single" w:color="000000" w:sz="6" w:space="0"/>
              <w:bottom w:val="single" w:color="auto" w:sz="4" w:space="0"/>
              <w:right w:val="single" w:color="000000" w:sz="6" w:space="0"/>
            </w:tcBorders>
            <w:vAlign w:val="center"/>
          </w:tcPr>
          <w:p>
            <w:pPr>
              <w:jc w:val="center"/>
              <w:rPr>
                <w:rFonts w:ascii="Times New Roman" w:hAnsi="Times New Roman"/>
                <w:kern w:val="0"/>
                <w:sz w:val="22"/>
                <w:szCs w:val="22"/>
                <w:lang w:eastAsia="zh-CN"/>
              </w:rPr>
            </w:pPr>
          </w:p>
        </w:tc>
        <w:tc>
          <w:tcPr>
            <w:tcW w:w="4002" w:type="pct"/>
            <w:tcBorders>
              <w:top w:val="single" w:color="000000" w:sz="4" w:space="0"/>
              <w:left w:val="single" w:color="000000" w:sz="6" w:space="0"/>
              <w:bottom w:val="single" w:color="000000" w:sz="4" w:space="0"/>
              <w:right w:val="single" w:color="000000" w:sz="4" w:space="0"/>
            </w:tcBorders>
            <w:vAlign w:val="center"/>
          </w:tcPr>
          <w:p>
            <w:pPr>
              <w:spacing w:line="240" w:lineRule="exact"/>
              <w:rPr>
                <w:rFonts w:ascii="Times New Roman" w:hAnsi="Times New Roman"/>
                <w:kern w:val="0"/>
                <w:lang w:eastAsia="zh-CN"/>
              </w:rPr>
            </w:pPr>
            <w:r>
              <w:rPr>
                <w:rFonts w:ascii="Times New Roman" w:hAnsi="Times New Roman"/>
                <w:spacing w:val="4"/>
                <w:kern w:val="0"/>
                <w:lang w:eastAsia="zh-CN"/>
              </w:rPr>
              <w:t>汽</w:t>
            </w:r>
            <w:r>
              <w:rPr>
                <w:rFonts w:ascii="Times New Roman" w:hAnsi="Times New Roman"/>
                <w:spacing w:val="2"/>
                <w:kern w:val="0"/>
                <w:lang w:eastAsia="zh-CN"/>
              </w:rPr>
              <w:t>油、混</w:t>
            </w:r>
            <w:r>
              <w:rPr>
                <w:rFonts w:ascii="Times New Roman" w:hAnsi="Times New Roman"/>
                <w:spacing w:val="4"/>
                <w:kern w:val="0"/>
                <w:lang w:eastAsia="zh-CN"/>
              </w:rPr>
              <w:t>合</w:t>
            </w:r>
            <w:r>
              <w:rPr>
                <w:rFonts w:ascii="Times New Roman" w:hAnsi="Times New Roman"/>
                <w:spacing w:val="2"/>
                <w:kern w:val="0"/>
                <w:lang w:eastAsia="zh-CN"/>
              </w:rPr>
              <w:t>燃料</w:t>
            </w:r>
            <w:r>
              <w:rPr>
                <w:rFonts w:ascii="Times New Roman" w:hAnsi="Times New Roman"/>
                <w:spacing w:val="4"/>
                <w:kern w:val="0"/>
                <w:lang w:eastAsia="zh-CN"/>
              </w:rPr>
              <w:t>或</w:t>
            </w:r>
            <w:r>
              <w:rPr>
                <w:rFonts w:ascii="Times New Roman" w:hAnsi="Times New Roman"/>
                <w:spacing w:val="2"/>
                <w:kern w:val="0"/>
                <w:lang w:eastAsia="zh-CN"/>
              </w:rPr>
              <w:t>石脑油</w:t>
            </w:r>
            <w:r>
              <w:rPr>
                <w:rFonts w:ascii="Times New Roman" w:hAnsi="Times New Roman"/>
                <w:spacing w:val="4"/>
                <w:kern w:val="0"/>
                <w:lang w:eastAsia="zh-CN"/>
              </w:rPr>
              <w:t>运</w:t>
            </w:r>
            <w:r>
              <w:rPr>
                <w:rFonts w:ascii="Times New Roman" w:hAnsi="Times New Roman"/>
                <w:spacing w:val="2"/>
                <w:kern w:val="0"/>
                <w:lang w:eastAsia="zh-CN"/>
              </w:rPr>
              <w:t>输、储</w:t>
            </w:r>
            <w:r>
              <w:rPr>
                <w:rFonts w:ascii="Times New Roman" w:hAnsi="Times New Roman"/>
                <w:spacing w:val="4"/>
                <w:kern w:val="0"/>
                <w:lang w:eastAsia="zh-CN"/>
              </w:rPr>
              <w:t>存</w:t>
            </w:r>
            <w:r>
              <w:rPr>
                <w:rFonts w:ascii="Times New Roman" w:hAnsi="Times New Roman"/>
                <w:spacing w:val="2"/>
                <w:kern w:val="0"/>
                <w:lang w:eastAsia="zh-CN"/>
              </w:rPr>
              <w:t>过程</w:t>
            </w:r>
            <w:r>
              <w:rPr>
                <w:rFonts w:ascii="Times New Roman" w:hAnsi="Times New Roman"/>
                <w:spacing w:val="4"/>
                <w:kern w:val="0"/>
                <w:lang w:eastAsia="zh-CN"/>
              </w:rPr>
              <w:t>中</w:t>
            </w:r>
            <w:r>
              <w:rPr>
                <w:rFonts w:ascii="Times New Roman" w:hAnsi="Times New Roman"/>
                <w:spacing w:val="2"/>
                <w:kern w:val="0"/>
                <w:lang w:eastAsia="zh-CN"/>
              </w:rPr>
              <w:t>的挥发</w:t>
            </w:r>
            <w:r>
              <w:rPr>
                <w:rFonts w:ascii="Times New Roman" w:hAnsi="Times New Roman"/>
                <w:spacing w:val="4"/>
                <w:kern w:val="0"/>
                <w:lang w:eastAsia="zh-CN"/>
              </w:rPr>
              <w:t>性</w:t>
            </w:r>
            <w:r>
              <w:rPr>
                <w:rFonts w:ascii="Times New Roman" w:hAnsi="Times New Roman"/>
                <w:spacing w:val="2"/>
                <w:kern w:val="0"/>
                <w:lang w:eastAsia="zh-CN"/>
              </w:rPr>
              <w:t>有机化</w:t>
            </w:r>
            <w:r>
              <w:rPr>
                <w:rFonts w:ascii="Times New Roman" w:hAnsi="Times New Roman"/>
                <w:spacing w:val="4"/>
                <w:kern w:val="0"/>
                <w:lang w:eastAsia="zh-CN"/>
              </w:rPr>
              <w:t>合</w:t>
            </w:r>
            <w:r>
              <w:rPr>
                <w:rFonts w:ascii="Times New Roman" w:hAnsi="Times New Roman"/>
                <w:spacing w:val="2"/>
                <w:kern w:val="0"/>
                <w:lang w:eastAsia="zh-CN"/>
              </w:rPr>
              <w:t>物排</w:t>
            </w:r>
            <w:r>
              <w:rPr>
                <w:rFonts w:ascii="Times New Roman" w:hAnsi="Times New Roman"/>
                <w:spacing w:val="4"/>
                <w:kern w:val="0"/>
                <w:lang w:eastAsia="zh-CN"/>
              </w:rPr>
              <w:t>放</w:t>
            </w:r>
            <w:r>
              <w:rPr>
                <w:rFonts w:ascii="Times New Roman" w:hAnsi="Times New Roman"/>
                <w:kern w:val="0"/>
                <w:lang w:eastAsia="zh-CN"/>
              </w:rPr>
              <w:t>限</w:t>
            </w:r>
          </w:p>
          <w:p>
            <w:pPr>
              <w:spacing w:before="31"/>
              <w:rPr>
                <w:rFonts w:ascii="Times New Roman" w:hAnsi="Times New Roman"/>
                <w:kern w:val="0"/>
                <w:lang w:eastAsia="en-US"/>
              </w:rPr>
            </w:pPr>
            <w:r>
              <w:rPr>
                <w:rFonts w:ascii="Times New Roman" w:hAnsi="Times New Roman"/>
                <w:kern w:val="0"/>
                <w:lang w:eastAsia="en-US"/>
              </w:rPr>
              <w:t>制的</w:t>
            </w:r>
            <w:r>
              <w:rPr>
                <w:rFonts w:ascii="Times New Roman" w:hAnsi="Times New Roman"/>
                <w:spacing w:val="-3"/>
                <w:kern w:val="0"/>
                <w:lang w:eastAsia="en-US"/>
              </w:rPr>
              <w:t>规</w:t>
            </w:r>
            <w:r>
              <w:rPr>
                <w:rFonts w:ascii="Times New Roman" w:hAnsi="Times New Roman"/>
                <w:kern w:val="0"/>
                <w:lang w:eastAsia="en-US"/>
              </w:rPr>
              <w:t>则</w:t>
            </w:r>
          </w:p>
        </w:tc>
      </w:tr>
      <w:tr>
        <w:tblPrEx>
          <w:tblCellMar>
            <w:top w:w="0" w:type="dxa"/>
            <w:left w:w="0" w:type="dxa"/>
            <w:bottom w:w="0" w:type="dxa"/>
            <w:right w:w="0" w:type="dxa"/>
          </w:tblCellMar>
        </w:tblPrEx>
        <w:trPr>
          <w:trHeight w:val="350" w:hRule="exact"/>
          <w:jc w:val="center"/>
        </w:trPr>
        <w:tc>
          <w:tcPr>
            <w:tcW w:w="998" w:type="pct"/>
            <w:vMerge w:val="continue"/>
            <w:tcBorders>
              <w:left w:val="single" w:color="000000" w:sz="6" w:space="0"/>
              <w:bottom w:val="single" w:color="auto" w:sz="4" w:space="0"/>
              <w:right w:val="single" w:color="000000" w:sz="6" w:space="0"/>
            </w:tcBorders>
            <w:vAlign w:val="center"/>
          </w:tcPr>
          <w:p>
            <w:pPr>
              <w:jc w:val="center"/>
              <w:rPr>
                <w:rFonts w:ascii="Times New Roman" w:hAnsi="Times New Roman"/>
                <w:kern w:val="0"/>
                <w:sz w:val="22"/>
                <w:szCs w:val="22"/>
                <w:lang w:eastAsia="en-US"/>
              </w:rPr>
            </w:pPr>
          </w:p>
        </w:tc>
        <w:tc>
          <w:tcPr>
            <w:tcW w:w="4002" w:type="pct"/>
            <w:tcBorders>
              <w:top w:val="single" w:color="000000" w:sz="4" w:space="0"/>
              <w:left w:val="single" w:color="000000" w:sz="6" w:space="0"/>
              <w:bottom w:val="single" w:color="000000" w:sz="4" w:space="0"/>
              <w:right w:val="single" w:color="000000" w:sz="4" w:space="0"/>
            </w:tcBorders>
            <w:vAlign w:val="center"/>
          </w:tcPr>
          <w:p>
            <w:pPr>
              <w:spacing w:line="240" w:lineRule="exact"/>
              <w:rPr>
                <w:rFonts w:ascii="Times New Roman" w:hAnsi="Times New Roman"/>
                <w:kern w:val="0"/>
                <w:lang w:eastAsia="zh-CN"/>
              </w:rPr>
            </w:pPr>
            <w:r>
              <w:rPr>
                <w:rFonts w:ascii="Times New Roman" w:hAnsi="Times New Roman"/>
                <w:kern w:val="0"/>
                <w:lang w:eastAsia="zh-CN"/>
              </w:rPr>
              <w:t>机动</w:t>
            </w:r>
            <w:r>
              <w:rPr>
                <w:rFonts w:ascii="Times New Roman" w:hAnsi="Times New Roman"/>
                <w:spacing w:val="-3"/>
                <w:kern w:val="0"/>
                <w:lang w:eastAsia="zh-CN"/>
              </w:rPr>
              <w:t>车</w:t>
            </w:r>
            <w:r>
              <w:rPr>
                <w:rFonts w:ascii="Times New Roman" w:hAnsi="Times New Roman"/>
                <w:kern w:val="0"/>
                <w:lang w:eastAsia="zh-CN"/>
              </w:rPr>
              <w:t>加</w:t>
            </w:r>
            <w:r>
              <w:rPr>
                <w:rFonts w:ascii="Times New Roman" w:hAnsi="Times New Roman"/>
                <w:spacing w:val="-3"/>
                <w:kern w:val="0"/>
                <w:lang w:eastAsia="zh-CN"/>
              </w:rPr>
              <w:t>油</w:t>
            </w:r>
            <w:r>
              <w:rPr>
                <w:rFonts w:ascii="Times New Roman" w:hAnsi="Times New Roman"/>
                <w:kern w:val="0"/>
                <w:lang w:eastAsia="zh-CN"/>
              </w:rPr>
              <w:t>过</w:t>
            </w:r>
            <w:r>
              <w:rPr>
                <w:rFonts w:ascii="Times New Roman" w:hAnsi="Times New Roman"/>
                <w:spacing w:val="-3"/>
                <w:kern w:val="0"/>
                <w:lang w:eastAsia="zh-CN"/>
              </w:rPr>
              <w:t>程</w:t>
            </w:r>
            <w:r>
              <w:rPr>
                <w:rFonts w:ascii="Times New Roman" w:hAnsi="Times New Roman"/>
                <w:kern w:val="0"/>
                <w:lang w:eastAsia="zh-CN"/>
              </w:rPr>
              <w:t>中</w:t>
            </w:r>
            <w:r>
              <w:rPr>
                <w:rFonts w:ascii="Times New Roman" w:hAnsi="Times New Roman"/>
                <w:spacing w:val="-3"/>
                <w:kern w:val="0"/>
                <w:lang w:eastAsia="zh-CN"/>
              </w:rPr>
              <w:t>总</w:t>
            </w:r>
            <w:r>
              <w:rPr>
                <w:rFonts w:ascii="Times New Roman" w:hAnsi="Times New Roman"/>
                <w:kern w:val="0"/>
                <w:lang w:eastAsia="zh-CN"/>
              </w:rPr>
              <w:t>碳</w:t>
            </w:r>
            <w:r>
              <w:rPr>
                <w:rFonts w:ascii="Times New Roman" w:hAnsi="Times New Roman"/>
                <w:spacing w:val="-3"/>
                <w:kern w:val="0"/>
                <w:lang w:eastAsia="zh-CN"/>
              </w:rPr>
              <w:t>氢</w:t>
            </w:r>
            <w:r>
              <w:rPr>
                <w:rFonts w:ascii="Times New Roman" w:hAnsi="Times New Roman"/>
                <w:kern w:val="0"/>
                <w:lang w:eastAsia="zh-CN"/>
              </w:rPr>
              <w:t>化合</w:t>
            </w:r>
            <w:r>
              <w:rPr>
                <w:rFonts w:ascii="Times New Roman" w:hAnsi="Times New Roman"/>
                <w:spacing w:val="-3"/>
                <w:kern w:val="0"/>
                <w:lang w:eastAsia="zh-CN"/>
              </w:rPr>
              <w:t>物</w:t>
            </w:r>
            <w:r>
              <w:rPr>
                <w:rFonts w:ascii="Times New Roman" w:hAnsi="Times New Roman"/>
                <w:kern w:val="0"/>
                <w:lang w:eastAsia="zh-CN"/>
              </w:rPr>
              <w:t>排</w:t>
            </w:r>
            <w:r>
              <w:rPr>
                <w:rFonts w:ascii="Times New Roman" w:hAnsi="Times New Roman"/>
                <w:spacing w:val="-3"/>
                <w:kern w:val="0"/>
                <w:lang w:eastAsia="zh-CN"/>
              </w:rPr>
              <w:t>放</w:t>
            </w:r>
            <w:r>
              <w:rPr>
                <w:rFonts w:ascii="Times New Roman" w:hAnsi="Times New Roman"/>
                <w:kern w:val="0"/>
                <w:lang w:eastAsia="zh-CN"/>
              </w:rPr>
              <w:t>规则</w:t>
            </w:r>
          </w:p>
        </w:tc>
      </w:tr>
      <w:tr>
        <w:tblPrEx>
          <w:tblCellMar>
            <w:top w:w="0" w:type="dxa"/>
            <w:left w:w="0" w:type="dxa"/>
            <w:bottom w:w="0" w:type="dxa"/>
            <w:right w:w="0" w:type="dxa"/>
          </w:tblCellMar>
        </w:tblPrEx>
        <w:trPr>
          <w:trHeight w:val="350" w:hRule="exact"/>
          <w:jc w:val="center"/>
        </w:trPr>
        <w:tc>
          <w:tcPr>
            <w:tcW w:w="998" w:type="pct"/>
            <w:vMerge w:val="continue"/>
            <w:tcBorders>
              <w:left w:val="single" w:color="000000" w:sz="6" w:space="0"/>
              <w:bottom w:val="single" w:color="auto" w:sz="4" w:space="0"/>
              <w:right w:val="single" w:color="000000" w:sz="6" w:space="0"/>
            </w:tcBorders>
            <w:vAlign w:val="center"/>
          </w:tcPr>
          <w:p>
            <w:pPr>
              <w:jc w:val="center"/>
              <w:rPr>
                <w:rFonts w:ascii="Times New Roman" w:hAnsi="Times New Roman"/>
                <w:kern w:val="0"/>
                <w:sz w:val="22"/>
                <w:szCs w:val="22"/>
                <w:lang w:eastAsia="zh-CN"/>
              </w:rPr>
            </w:pPr>
          </w:p>
        </w:tc>
        <w:tc>
          <w:tcPr>
            <w:tcW w:w="4002" w:type="pct"/>
            <w:tcBorders>
              <w:top w:val="single" w:color="000000" w:sz="4" w:space="0"/>
              <w:left w:val="single" w:color="000000" w:sz="6" w:space="0"/>
              <w:bottom w:val="single" w:color="000000" w:sz="4" w:space="0"/>
              <w:right w:val="single" w:color="000000" w:sz="4" w:space="0"/>
            </w:tcBorders>
            <w:vAlign w:val="center"/>
          </w:tcPr>
          <w:p>
            <w:pPr>
              <w:spacing w:line="240" w:lineRule="exact"/>
              <w:rPr>
                <w:rFonts w:ascii="Times New Roman" w:hAnsi="Times New Roman"/>
                <w:kern w:val="0"/>
                <w:lang w:eastAsia="zh-CN"/>
              </w:rPr>
            </w:pPr>
            <w:r>
              <w:rPr>
                <w:rFonts w:ascii="Times New Roman" w:hAnsi="Times New Roman"/>
                <w:kern w:val="0"/>
                <w:lang w:eastAsia="zh-CN"/>
              </w:rPr>
              <w:t>在某</w:t>
            </w:r>
            <w:r>
              <w:rPr>
                <w:rFonts w:ascii="Times New Roman" w:hAnsi="Times New Roman"/>
                <w:spacing w:val="-3"/>
                <w:kern w:val="0"/>
                <w:lang w:eastAsia="zh-CN"/>
              </w:rPr>
              <w:t>些</w:t>
            </w:r>
            <w:r>
              <w:rPr>
                <w:rFonts w:ascii="Times New Roman" w:hAnsi="Times New Roman"/>
                <w:kern w:val="0"/>
                <w:lang w:eastAsia="zh-CN"/>
              </w:rPr>
              <w:t>使</w:t>
            </w:r>
            <w:r>
              <w:rPr>
                <w:rFonts w:ascii="Times New Roman" w:hAnsi="Times New Roman"/>
                <w:spacing w:val="-3"/>
                <w:kern w:val="0"/>
                <w:lang w:eastAsia="zh-CN"/>
              </w:rPr>
              <w:t>用</w:t>
            </w:r>
            <w:r>
              <w:rPr>
                <w:rFonts w:ascii="Times New Roman" w:hAnsi="Times New Roman"/>
                <w:kern w:val="0"/>
                <w:lang w:eastAsia="zh-CN"/>
              </w:rPr>
              <w:t>有</w:t>
            </w:r>
            <w:r>
              <w:rPr>
                <w:rFonts w:ascii="Times New Roman" w:hAnsi="Times New Roman"/>
                <w:spacing w:val="-3"/>
                <w:kern w:val="0"/>
                <w:lang w:eastAsia="zh-CN"/>
              </w:rPr>
              <w:t>机</w:t>
            </w:r>
            <w:r>
              <w:rPr>
                <w:rFonts w:ascii="Times New Roman" w:hAnsi="Times New Roman"/>
                <w:kern w:val="0"/>
                <w:lang w:eastAsia="zh-CN"/>
              </w:rPr>
              <w:t>溶</w:t>
            </w:r>
            <w:r>
              <w:rPr>
                <w:rFonts w:ascii="Times New Roman" w:hAnsi="Times New Roman"/>
                <w:spacing w:val="-3"/>
                <w:kern w:val="0"/>
                <w:lang w:eastAsia="zh-CN"/>
              </w:rPr>
              <w:t>剂</w:t>
            </w:r>
            <w:r>
              <w:rPr>
                <w:rFonts w:ascii="Times New Roman" w:hAnsi="Times New Roman"/>
                <w:kern w:val="0"/>
                <w:lang w:eastAsia="zh-CN"/>
              </w:rPr>
              <w:t>的</w:t>
            </w:r>
            <w:r>
              <w:rPr>
                <w:rFonts w:ascii="Times New Roman" w:hAnsi="Times New Roman"/>
                <w:spacing w:val="-3"/>
                <w:kern w:val="0"/>
                <w:lang w:eastAsia="zh-CN"/>
              </w:rPr>
              <w:t>工</w:t>
            </w:r>
            <w:r>
              <w:rPr>
                <w:rFonts w:ascii="Times New Roman" w:hAnsi="Times New Roman"/>
                <w:kern w:val="0"/>
                <w:lang w:eastAsia="zh-CN"/>
              </w:rPr>
              <w:t>厂限</w:t>
            </w:r>
            <w:r>
              <w:rPr>
                <w:rFonts w:ascii="Times New Roman" w:hAnsi="Times New Roman"/>
                <w:spacing w:val="-3"/>
                <w:kern w:val="0"/>
                <w:lang w:eastAsia="zh-CN"/>
              </w:rPr>
              <w:t>制</w:t>
            </w:r>
            <w:r>
              <w:rPr>
                <w:rFonts w:ascii="Times New Roman" w:hAnsi="Times New Roman"/>
                <w:kern w:val="0"/>
                <w:lang w:eastAsia="zh-CN"/>
              </w:rPr>
              <w:t>挥</w:t>
            </w:r>
            <w:r>
              <w:rPr>
                <w:rFonts w:ascii="Times New Roman" w:hAnsi="Times New Roman"/>
                <w:spacing w:val="-3"/>
                <w:kern w:val="0"/>
                <w:lang w:eastAsia="zh-CN"/>
              </w:rPr>
              <w:t>发</w:t>
            </w:r>
            <w:r>
              <w:rPr>
                <w:rFonts w:ascii="Times New Roman" w:hAnsi="Times New Roman"/>
                <w:kern w:val="0"/>
                <w:lang w:eastAsia="zh-CN"/>
              </w:rPr>
              <w:t>性</w:t>
            </w:r>
            <w:r>
              <w:rPr>
                <w:rFonts w:ascii="Times New Roman" w:hAnsi="Times New Roman"/>
                <w:spacing w:val="-3"/>
                <w:kern w:val="0"/>
                <w:lang w:eastAsia="zh-CN"/>
              </w:rPr>
              <w:t>有</w:t>
            </w:r>
            <w:r>
              <w:rPr>
                <w:rFonts w:ascii="Times New Roman" w:hAnsi="Times New Roman"/>
                <w:kern w:val="0"/>
                <w:lang w:eastAsia="zh-CN"/>
              </w:rPr>
              <w:t>机</w:t>
            </w:r>
            <w:r>
              <w:rPr>
                <w:rFonts w:ascii="Times New Roman" w:hAnsi="Times New Roman"/>
                <w:spacing w:val="-3"/>
                <w:kern w:val="0"/>
                <w:lang w:eastAsia="zh-CN"/>
              </w:rPr>
              <w:t>化</w:t>
            </w:r>
            <w:r>
              <w:rPr>
                <w:rFonts w:ascii="Times New Roman" w:hAnsi="Times New Roman"/>
                <w:kern w:val="0"/>
                <w:lang w:eastAsia="zh-CN"/>
              </w:rPr>
              <w:t>合</w:t>
            </w:r>
            <w:r>
              <w:rPr>
                <w:rFonts w:ascii="Times New Roman" w:hAnsi="Times New Roman"/>
                <w:spacing w:val="-3"/>
                <w:kern w:val="0"/>
                <w:lang w:eastAsia="zh-CN"/>
              </w:rPr>
              <w:t>物</w:t>
            </w:r>
            <w:r>
              <w:rPr>
                <w:rFonts w:ascii="Times New Roman" w:hAnsi="Times New Roman"/>
                <w:kern w:val="0"/>
                <w:lang w:eastAsia="zh-CN"/>
              </w:rPr>
              <w:t>排放</w:t>
            </w:r>
            <w:r>
              <w:rPr>
                <w:rFonts w:ascii="Times New Roman" w:hAnsi="Times New Roman"/>
                <w:spacing w:val="-3"/>
                <w:kern w:val="0"/>
                <w:lang w:eastAsia="zh-CN"/>
              </w:rPr>
              <w:t>的</w:t>
            </w:r>
            <w:r>
              <w:rPr>
                <w:rFonts w:ascii="Times New Roman" w:hAnsi="Times New Roman"/>
                <w:kern w:val="0"/>
                <w:lang w:eastAsia="zh-CN"/>
              </w:rPr>
              <w:t>条例</w:t>
            </w:r>
          </w:p>
        </w:tc>
      </w:tr>
    </w:tbl>
    <w:p>
      <w:pPr>
        <w:pStyle w:val="68"/>
      </w:pPr>
      <w:r>
        <w:t xml:space="preserve">在TA-Luft </w:t>
      </w:r>
      <w:r>
        <w:rPr>
          <w:spacing w:val="2"/>
        </w:rPr>
        <w:t>中</w:t>
      </w:r>
      <w:r>
        <w:t>，主</w:t>
      </w:r>
      <w:r>
        <w:rPr>
          <w:spacing w:val="2"/>
        </w:rPr>
        <w:t>要</w:t>
      </w:r>
      <w:r>
        <w:t>包括</w:t>
      </w:r>
      <w:r>
        <w:rPr>
          <w:spacing w:val="2"/>
        </w:rPr>
        <w:t>了</w:t>
      </w:r>
      <w:r>
        <w:t>产业</w:t>
      </w:r>
      <w:r>
        <w:rPr>
          <w:spacing w:val="2"/>
        </w:rPr>
        <w:t>类</w:t>
      </w:r>
      <w:r>
        <w:t>型</w:t>
      </w:r>
      <w:r>
        <w:rPr>
          <w:spacing w:val="2"/>
        </w:rPr>
        <w:t>、</w:t>
      </w:r>
      <w:r>
        <w:t>过</w:t>
      </w:r>
      <w:r>
        <w:rPr>
          <w:spacing w:val="2"/>
        </w:rPr>
        <w:t>程</w:t>
      </w:r>
      <w:r>
        <w:t>控制</w:t>
      </w:r>
      <w:r>
        <w:rPr>
          <w:spacing w:val="2"/>
        </w:rPr>
        <w:t>、</w:t>
      </w:r>
      <w:r>
        <w:t>燃料</w:t>
      </w:r>
      <w:r>
        <w:rPr>
          <w:spacing w:val="2"/>
        </w:rPr>
        <w:t>种</w:t>
      </w:r>
      <w:r>
        <w:t>类</w:t>
      </w:r>
      <w:r>
        <w:rPr>
          <w:spacing w:val="2"/>
        </w:rPr>
        <w:t>、</w:t>
      </w:r>
      <w:r>
        <w:t>设</w:t>
      </w:r>
      <w:r>
        <w:rPr>
          <w:spacing w:val="2"/>
        </w:rPr>
        <w:t>施</w:t>
      </w:r>
      <w:r>
        <w:t>及输入</w:t>
      </w:r>
      <w:r>
        <w:rPr>
          <w:spacing w:val="4"/>
        </w:rPr>
        <w:t>能量、标准限值、治</w:t>
      </w:r>
      <w:r>
        <w:rPr>
          <w:spacing w:val="2"/>
        </w:rPr>
        <w:t>理</w:t>
      </w:r>
      <w:r>
        <w:rPr>
          <w:spacing w:val="4"/>
        </w:rPr>
        <w:t>技术标准、排放监测</w:t>
      </w:r>
      <w:r>
        <w:rPr>
          <w:spacing w:val="2"/>
        </w:rPr>
        <w:t>方</w:t>
      </w:r>
      <w:r>
        <w:rPr>
          <w:spacing w:val="4"/>
        </w:rPr>
        <w:t>法和程序。对现有污</w:t>
      </w:r>
      <w:r>
        <w:rPr>
          <w:spacing w:val="2"/>
        </w:rPr>
        <w:t>染</w:t>
      </w:r>
      <w:r>
        <w:rPr>
          <w:spacing w:val="4"/>
        </w:rPr>
        <w:t>源提</w:t>
      </w:r>
      <w:r>
        <w:rPr>
          <w:spacing w:val="2"/>
        </w:rPr>
        <w:t>出</w:t>
      </w:r>
      <w:r>
        <w:t>了</w:t>
      </w:r>
      <w:r>
        <w:rPr>
          <w:spacing w:val="12"/>
        </w:rPr>
        <w:t>补充规定，即达到一定标准的最后期限，规定了几类污染物共存时的标准限</w:t>
      </w:r>
      <w:r>
        <w:t>值。具</w:t>
      </w:r>
      <w:r>
        <w:rPr>
          <w:spacing w:val="2"/>
        </w:rPr>
        <w:t>体</w:t>
      </w:r>
      <w:r>
        <w:t>如</w:t>
      </w:r>
      <w:r>
        <w:fldChar w:fldCharType="begin"/>
      </w:r>
      <w:r>
        <w:instrText xml:space="preserve"> REF _Ref26348456 \h  \* MERGEFORMAT </w:instrText>
      </w:r>
      <w:r>
        <w:fldChar w:fldCharType="separate"/>
      </w:r>
      <w:r>
        <w:t>表 5</w:t>
      </w:r>
      <w:r>
        <w:noBreakHyphen/>
      </w:r>
      <w:r>
        <w:fldChar w:fldCharType="end"/>
      </w:r>
      <w:r>
        <w:t>10</w:t>
      </w:r>
      <w:r>
        <w:rPr>
          <w:spacing w:val="2"/>
        </w:rPr>
        <w:t>所</w:t>
      </w:r>
      <w:r>
        <w:t>示。需</w:t>
      </w:r>
      <w:r>
        <w:rPr>
          <w:spacing w:val="2"/>
        </w:rPr>
        <w:t>要</w:t>
      </w:r>
      <w:r>
        <w:t>注</w:t>
      </w:r>
      <w:r>
        <w:rPr>
          <w:spacing w:val="2"/>
        </w:rPr>
        <w:t>意</w:t>
      </w:r>
      <w:r>
        <w:t>的是</w:t>
      </w:r>
      <w:r>
        <w:rPr>
          <w:spacing w:val="1"/>
        </w:rPr>
        <w:t>，</w:t>
      </w:r>
      <w:r>
        <w:t>2</w:t>
      </w:r>
      <w:r>
        <w:rPr>
          <w:spacing w:val="2"/>
        </w:rPr>
        <w:t>0</w:t>
      </w:r>
      <w:r>
        <w:t>02年版</w:t>
      </w:r>
      <w:r>
        <w:rPr>
          <w:spacing w:val="2"/>
        </w:rPr>
        <w:t>本</w:t>
      </w:r>
      <w:r>
        <w:t>有</w:t>
      </w:r>
      <w:r>
        <w:rPr>
          <w:spacing w:val="2"/>
        </w:rPr>
        <w:t>所</w:t>
      </w:r>
      <w:r>
        <w:t>改进</w:t>
      </w:r>
      <w:r>
        <w:rPr>
          <w:spacing w:val="2"/>
        </w:rPr>
        <w:t>，</w:t>
      </w:r>
      <w:r>
        <w:t>比</w:t>
      </w:r>
      <w:r>
        <w:rPr>
          <w:spacing w:val="1"/>
        </w:rPr>
        <w:t>如</w:t>
      </w:r>
      <w:r>
        <w:t>将第三</w:t>
      </w:r>
      <w:r>
        <w:rPr>
          <w:spacing w:val="4"/>
        </w:rPr>
        <w:t>级别归并与第二级别</w:t>
      </w:r>
      <w:r>
        <w:rPr>
          <w:spacing w:val="2"/>
        </w:rPr>
        <w:t>，</w:t>
      </w:r>
      <w:r>
        <w:rPr>
          <w:spacing w:val="4"/>
        </w:rPr>
        <w:t>仅</w:t>
      </w:r>
      <w:r>
        <w:rPr>
          <w:spacing w:val="5"/>
        </w:rPr>
        <w:t>仅</w:t>
      </w:r>
      <w:r>
        <w:rPr>
          <w:spacing w:val="4"/>
        </w:rPr>
        <w:t>设置了两个级别</w:t>
      </w:r>
      <w:r>
        <w:rPr>
          <w:spacing w:val="2"/>
        </w:rPr>
        <w:t>，</w:t>
      </w:r>
      <w:r>
        <w:rPr>
          <w:spacing w:val="4"/>
        </w:rPr>
        <w:t>加严了标准</w:t>
      </w:r>
      <w:r>
        <w:rPr>
          <w:spacing w:val="7"/>
        </w:rPr>
        <w:t>。</w:t>
      </w:r>
      <w:r>
        <w:rPr>
          <w:spacing w:val="4"/>
        </w:rPr>
        <w:t>该标准</w:t>
      </w:r>
      <w:r>
        <w:rPr>
          <w:spacing w:val="2"/>
        </w:rPr>
        <w:t>共</w:t>
      </w:r>
      <w:r>
        <w:rPr>
          <w:spacing w:val="4"/>
        </w:rPr>
        <w:t>涉</w:t>
      </w:r>
      <w:r>
        <w:t>及239 种污染物。</w:t>
      </w:r>
    </w:p>
    <w:p>
      <w:pPr>
        <w:pStyle w:val="13"/>
        <w:spacing w:before="156" w:beforeLines="50" w:after="156" w:afterLines="50"/>
      </w:pPr>
      <w:bookmarkStart w:id="132" w:name="_Ref26348456"/>
      <w:r>
        <w:t xml:space="preserve">表 </w:t>
      </w:r>
      <w:r>
        <w:fldChar w:fldCharType="begin"/>
      </w:r>
      <w:r>
        <w:instrText xml:space="preserve"> STYLEREF 1 \s </w:instrText>
      </w:r>
      <w:r>
        <w:fldChar w:fldCharType="separate"/>
      </w:r>
      <w:r>
        <w:t>5</w:t>
      </w:r>
      <w:r>
        <w:fldChar w:fldCharType="end"/>
      </w:r>
      <w:r>
        <w:noBreakHyphen/>
      </w:r>
      <w:bookmarkEnd w:id="132"/>
      <w:r>
        <w:t>10 德国 TA-Luft 空气质量技术规范</w:t>
      </w:r>
    </w:p>
    <w:tbl>
      <w:tblPr>
        <w:tblStyle w:val="129"/>
        <w:tblW w:w="5000" w:type="pct"/>
        <w:tblInd w:w="0" w:type="dxa"/>
        <w:tblLayout w:type="autofit"/>
        <w:tblCellMar>
          <w:top w:w="0" w:type="dxa"/>
          <w:left w:w="0" w:type="dxa"/>
          <w:bottom w:w="0" w:type="dxa"/>
          <w:right w:w="0" w:type="dxa"/>
        </w:tblCellMar>
      </w:tblPr>
      <w:tblGrid>
        <w:gridCol w:w="1402"/>
        <w:gridCol w:w="923"/>
        <w:gridCol w:w="3138"/>
        <w:gridCol w:w="1525"/>
        <w:gridCol w:w="1328"/>
      </w:tblGrid>
      <w:tr>
        <w:tblPrEx>
          <w:tblCellMar>
            <w:top w:w="0" w:type="dxa"/>
            <w:left w:w="0" w:type="dxa"/>
            <w:bottom w:w="0" w:type="dxa"/>
            <w:right w:w="0" w:type="dxa"/>
          </w:tblCellMar>
        </w:tblPrEx>
        <w:trPr>
          <w:trHeight w:val="20" w:hRule="atLeast"/>
          <w:tblHeader/>
        </w:trPr>
        <w:tc>
          <w:tcPr>
            <w:tcW w:w="843" w:type="pct"/>
            <w:tcBorders>
              <w:top w:val="single" w:color="000000" w:sz="4" w:space="0"/>
              <w:left w:val="single" w:color="000000" w:sz="4" w:space="0"/>
              <w:bottom w:val="single" w:color="000000" w:sz="6" w:space="0"/>
              <w:right w:val="single" w:color="000000" w:sz="4" w:space="0"/>
            </w:tcBorders>
            <w:vAlign w:val="center"/>
          </w:tcPr>
          <w:p>
            <w:pPr>
              <w:jc w:val="center"/>
              <w:rPr>
                <w:rFonts w:ascii="Times New Roman" w:hAnsi="Times New Roman"/>
                <w:b/>
                <w:kern w:val="0"/>
                <w:sz w:val="18"/>
                <w:szCs w:val="18"/>
                <w:lang w:eastAsia="zh-CN"/>
              </w:rPr>
            </w:pPr>
            <w:r>
              <w:rPr>
                <w:rFonts w:ascii="Times New Roman" w:hAnsi="Times New Roman"/>
                <w:b/>
                <w:kern w:val="0"/>
                <w:sz w:val="18"/>
                <w:szCs w:val="18"/>
                <w:lang w:eastAsia="zh-CN"/>
              </w:rPr>
              <w:t>种类</w:t>
            </w:r>
          </w:p>
        </w:tc>
        <w:tc>
          <w:tcPr>
            <w:tcW w:w="555" w:type="pct"/>
            <w:tcBorders>
              <w:top w:val="single" w:color="000000" w:sz="4" w:space="0"/>
              <w:left w:val="single" w:color="000000" w:sz="4" w:space="0"/>
              <w:bottom w:val="single" w:color="000000" w:sz="4" w:space="0"/>
              <w:right w:val="single" w:color="000000" w:sz="4" w:space="0"/>
            </w:tcBorders>
            <w:vAlign w:val="center"/>
          </w:tcPr>
          <w:p>
            <w:pPr>
              <w:spacing w:line="229" w:lineRule="exact"/>
              <w:jc w:val="center"/>
              <w:rPr>
                <w:rFonts w:ascii="Times New Roman" w:hAnsi="Times New Roman"/>
                <w:b/>
                <w:kern w:val="0"/>
                <w:sz w:val="18"/>
                <w:szCs w:val="18"/>
                <w:lang w:eastAsia="en-US"/>
              </w:rPr>
            </w:pPr>
            <w:r>
              <w:rPr>
                <w:rFonts w:ascii="Times New Roman" w:hAnsi="Times New Roman"/>
                <w:b/>
                <w:kern w:val="0"/>
                <w:sz w:val="18"/>
                <w:szCs w:val="18"/>
                <w:lang w:eastAsia="en-US"/>
              </w:rPr>
              <w:t>级别</w:t>
            </w:r>
          </w:p>
        </w:tc>
        <w:tc>
          <w:tcPr>
            <w:tcW w:w="1887" w:type="pct"/>
            <w:tcBorders>
              <w:top w:val="single" w:color="000000" w:sz="4" w:space="0"/>
              <w:left w:val="single" w:color="000000" w:sz="4" w:space="0"/>
              <w:bottom w:val="single" w:color="000000" w:sz="4" w:space="0"/>
              <w:right w:val="single" w:color="000000" w:sz="4" w:space="0"/>
            </w:tcBorders>
            <w:vAlign w:val="center"/>
          </w:tcPr>
          <w:p>
            <w:pPr>
              <w:spacing w:line="229" w:lineRule="exact"/>
              <w:jc w:val="center"/>
              <w:rPr>
                <w:rFonts w:ascii="Times New Roman" w:hAnsi="Times New Roman"/>
                <w:b/>
                <w:kern w:val="0"/>
                <w:sz w:val="18"/>
                <w:szCs w:val="18"/>
                <w:lang w:eastAsia="en-US"/>
              </w:rPr>
            </w:pPr>
            <w:r>
              <w:rPr>
                <w:rFonts w:ascii="Times New Roman" w:hAnsi="Times New Roman"/>
                <w:b/>
                <w:kern w:val="0"/>
                <w:sz w:val="18"/>
                <w:szCs w:val="18"/>
                <w:lang w:eastAsia="en-US"/>
              </w:rPr>
              <w:t>包含化</w:t>
            </w:r>
            <w:r>
              <w:rPr>
                <w:rFonts w:ascii="Times New Roman" w:hAnsi="Times New Roman"/>
                <w:b/>
                <w:spacing w:val="2"/>
                <w:kern w:val="0"/>
                <w:sz w:val="18"/>
                <w:szCs w:val="18"/>
                <w:lang w:eastAsia="en-US"/>
              </w:rPr>
              <w:t>合</w:t>
            </w:r>
            <w:r>
              <w:rPr>
                <w:rFonts w:ascii="Times New Roman" w:hAnsi="Times New Roman"/>
                <w:b/>
                <w:kern w:val="0"/>
                <w:sz w:val="18"/>
                <w:szCs w:val="18"/>
                <w:lang w:eastAsia="en-US"/>
              </w:rPr>
              <w:t>物</w:t>
            </w:r>
          </w:p>
        </w:tc>
        <w:tc>
          <w:tcPr>
            <w:tcW w:w="917" w:type="pct"/>
            <w:tcBorders>
              <w:top w:val="single" w:color="000000" w:sz="4" w:space="0"/>
              <w:left w:val="single" w:color="000000" w:sz="4" w:space="0"/>
              <w:bottom w:val="single" w:color="000000" w:sz="4" w:space="0"/>
              <w:right w:val="single" w:color="000000" w:sz="4" w:space="0"/>
            </w:tcBorders>
            <w:vAlign w:val="center"/>
          </w:tcPr>
          <w:p>
            <w:pPr>
              <w:spacing w:line="229" w:lineRule="exact"/>
              <w:jc w:val="center"/>
              <w:rPr>
                <w:rFonts w:ascii="Times New Roman" w:hAnsi="Times New Roman"/>
                <w:b/>
                <w:kern w:val="0"/>
                <w:sz w:val="18"/>
                <w:szCs w:val="18"/>
                <w:lang w:eastAsia="en-US"/>
              </w:rPr>
            </w:pPr>
            <w:r>
              <w:rPr>
                <w:rFonts w:ascii="Times New Roman" w:hAnsi="Times New Roman"/>
                <w:b/>
                <w:spacing w:val="1"/>
                <w:kern w:val="0"/>
                <w:sz w:val="18"/>
                <w:szCs w:val="18"/>
                <w:lang w:eastAsia="en-US"/>
              </w:rPr>
              <w:t>m</w:t>
            </w:r>
            <w:r>
              <w:rPr>
                <w:rFonts w:hint="eastAsia" w:ascii="Times New Roman" w:hAnsi="Times New Roman"/>
                <w:b/>
                <w:spacing w:val="1"/>
                <w:kern w:val="0"/>
                <w:sz w:val="18"/>
                <w:szCs w:val="18"/>
                <w:lang w:eastAsia="zh-CN"/>
              </w:rPr>
              <w:t>g</w:t>
            </w:r>
            <w:r>
              <w:rPr>
                <w:rFonts w:ascii="Times New Roman" w:hAnsi="Times New Roman"/>
                <w:b/>
                <w:spacing w:val="1"/>
                <w:kern w:val="0"/>
                <w:sz w:val="18"/>
                <w:szCs w:val="18"/>
                <w:lang w:eastAsia="en-US"/>
              </w:rPr>
              <w:t>/m</w:t>
            </w:r>
            <w:r>
              <w:rPr>
                <w:rFonts w:ascii="Times New Roman" w:hAnsi="Times New Roman"/>
                <w:b/>
                <w:spacing w:val="1"/>
                <w:kern w:val="0"/>
                <w:sz w:val="18"/>
                <w:szCs w:val="18"/>
                <w:vertAlign w:val="superscript"/>
                <w:lang w:eastAsia="en-US"/>
              </w:rPr>
              <w:t>3</w:t>
            </w:r>
          </w:p>
        </w:tc>
        <w:tc>
          <w:tcPr>
            <w:tcW w:w="797" w:type="pct"/>
            <w:tcBorders>
              <w:top w:val="single" w:color="000000" w:sz="4" w:space="0"/>
              <w:left w:val="single" w:color="000000" w:sz="4" w:space="0"/>
              <w:bottom w:val="single" w:color="000000" w:sz="4" w:space="0"/>
              <w:right w:val="single" w:color="000000" w:sz="4" w:space="0"/>
            </w:tcBorders>
            <w:vAlign w:val="center"/>
          </w:tcPr>
          <w:p>
            <w:pPr>
              <w:spacing w:line="229" w:lineRule="exact"/>
              <w:jc w:val="center"/>
              <w:rPr>
                <w:rFonts w:ascii="Times New Roman" w:hAnsi="Times New Roman"/>
                <w:b/>
                <w:kern w:val="0"/>
                <w:sz w:val="18"/>
                <w:szCs w:val="18"/>
                <w:lang w:eastAsia="en-US"/>
              </w:rPr>
            </w:pPr>
            <w:r>
              <w:rPr>
                <w:rFonts w:ascii="Times New Roman" w:hAnsi="Times New Roman"/>
                <w:b/>
                <w:spacing w:val="1"/>
                <w:kern w:val="0"/>
                <w:sz w:val="18"/>
                <w:szCs w:val="18"/>
                <w:lang w:eastAsia="en-US"/>
              </w:rPr>
              <w:t>Kg/h</w:t>
            </w:r>
          </w:p>
        </w:tc>
      </w:tr>
      <w:tr>
        <w:tblPrEx>
          <w:tblCellMar>
            <w:top w:w="0" w:type="dxa"/>
            <w:left w:w="0" w:type="dxa"/>
            <w:bottom w:w="0" w:type="dxa"/>
            <w:right w:w="0" w:type="dxa"/>
          </w:tblCellMar>
        </w:tblPrEx>
        <w:trPr>
          <w:trHeight w:val="20" w:hRule="atLeast"/>
        </w:trPr>
        <w:tc>
          <w:tcPr>
            <w:tcW w:w="843" w:type="pct"/>
            <w:vMerge w:val="restart"/>
            <w:tcBorders>
              <w:top w:val="single" w:color="000000" w:sz="6" w:space="0"/>
              <w:left w:val="single" w:color="000000" w:sz="6" w:space="0"/>
              <w:bottom w:val="single" w:color="auto" w:sz="4" w:space="0"/>
              <w:right w:val="single" w:color="000000" w:sz="6" w:space="0"/>
            </w:tcBorders>
            <w:vAlign w:val="center"/>
          </w:tcPr>
          <w:p>
            <w:pPr>
              <w:spacing w:line="229" w:lineRule="exact"/>
              <w:jc w:val="center"/>
              <w:rPr>
                <w:rFonts w:ascii="Times New Roman" w:hAnsi="Times New Roman"/>
                <w:kern w:val="0"/>
                <w:sz w:val="18"/>
                <w:szCs w:val="18"/>
                <w:lang w:eastAsia="en-US"/>
              </w:rPr>
            </w:pPr>
            <w:r>
              <w:rPr>
                <w:rFonts w:ascii="Times New Roman" w:hAnsi="Times New Roman"/>
                <w:kern w:val="0"/>
                <w:sz w:val="18"/>
                <w:szCs w:val="18"/>
                <w:lang w:eastAsia="en-US"/>
              </w:rPr>
              <w:t>有机化</w:t>
            </w:r>
            <w:r>
              <w:rPr>
                <w:rFonts w:ascii="Times New Roman" w:hAnsi="Times New Roman"/>
                <w:spacing w:val="2"/>
                <w:kern w:val="0"/>
                <w:sz w:val="18"/>
                <w:szCs w:val="18"/>
                <w:lang w:eastAsia="en-US"/>
              </w:rPr>
              <w:t>合</w:t>
            </w:r>
            <w:r>
              <w:rPr>
                <w:rFonts w:ascii="Times New Roman" w:hAnsi="Times New Roman"/>
                <w:kern w:val="0"/>
                <w:sz w:val="18"/>
                <w:szCs w:val="18"/>
                <w:lang w:eastAsia="en-US"/>
              </w:rPr>
              <w:t>物</w:t>
            </w:r>
          </w:p>
        </w:tc>
        <w:tc>
          <w:tcPr>
            <w:tcW w:w="555" w:type="pct"/>
            <w:vMerge w:val="restart"/>
            <w:tcBorders>
              <w:top w:val="single" w:color="000000" w:sz="4" w:space="0"/>
              <w:left w:val="single" w:color="000000" w:sz="6" w:space="0"/>
              <w:right w:val="single" w:color="000000" w:sz="4" w:space="0"/>
            </w:tcBorders>
            <w:vAlign w:val="center"/>
          </w:tcPr>
          <w:p>
            <w:pPr>
              <w:spacing w:line="229" w:lineRule="exact"/>
              <w:jc w:val="center"/>
              <w:rPr>
                <w:rFonts w:ascii="Times New Roman" w:hAnsi="Times New Roman"/>
                <w:kern w:val="0"/>
                <w:sz w:val="18"/>
                <w:szCs w:val="18"/>
                <w:lang w:eastAsia="en-US"/>
              </w:rPr>
            </w:pPr>
            <w:r>
              <w:rPr>
                <w:rFonts w:ascii="Times New Roman" w:hAnsi="Times New Roman"/>
                <w:spacing w:val="43"/>
                <w:kern w:val="0"/>
                <w:sz w:val="18"/>
                <w:szCs w:val="18"/>
                <w:lang w:eastAsia="en-US"/>
              </w:rPr>
              <w:t>总体</w:t>
            </w:r>
            <w:r>
              <w:rPr>
                <w:rFonts w:ascii="Times New Roman" w:hAnsi="Times New Roman"/>
                <w:kern w:val="0"/>
                <w:sz w:val="18"/>
                <w:szCs w:val="18"/>
                <w:lang w:eastAsia="en-US"/>
              </w:rPr>
              <w:t>要</w:t>
            </w:r>
            <w:r>
              <w:rPr>
                <w:rFonts w:ascii="Times New Roman" w:hAnsi="Times New Roman"/>
                <w:spacing w:val="-57"/>
                <w:kern w:val="0"/>
                <w:sz w:val="18"/>
                <w:szCs w:val="18"/>
                <w:lang w:eastAsia="en-US"/>
              </w:rPr>
              <w:t xml:space="preserve"> </w:t>
            </w:r>
            <w:r>
              <w:rPr>
                <w:rFonts w:ascii="Times New Roman" w:hAnsi="Times New Roman"/>
                <w:kern w:val="0"/>
                <w:sz w:val="18"/>
                <w:szCs w:val="18"/>
                <w:lang w:eastAsia="en-US"/>
              </w:rPr>
              <w:t>求</w:t>
            </w:r>
          </w:p>
        </w:tc>
        <w:tc>
          <w:tcPr>
            <w:tcW w:w="1887" w:type="pct"/>
            <w:tcBorders>
              <w:top w:val="single" w:color="000000" w:sz="4" w:space="0"/>
              <w:left w:val="single" w:color="000000" w:sz="4" w:space="0"/>
              <w:bottom w:val="single" w:color="000000" w:sz="4" w:space="0"/>
              <w:right w:val="single" w:color="000000" w:sz="4" w:space="0"/>
            </w:tcBorders>
            <w:vAlign w:val="center"/>
          </w:tcPr>
          <w:p>
            <w:pPr>
              <w:spacing w:line="229" w:lineRule="exact"/>
              <w:rPr>
                <w:rFonts w:ascii="Times New Roman" w:hAnsi="Times New Roman"/>
                <w:kern w:val="0"/>
                <w:sz w:val="18"/>
                <w:szCs w:val="18"/>
                <w:lang w:eastAsia="zh-CN"/>
              </w:rPr>
            </w:pPr>
            <w:r>
              <w:rPr>
                <w:rFonts w:ascii="Times New Roman" w:hAnsi="Times New Roman"/>
                <w:kern w:val="0"/>
                <w:sz w:val="18"/>
                <w:szCs w:val="18"/>
                <w:lang w:eastAsia="zh-CN"/>
              </w:rPr>
              <w:t>除了有机颗粒物外，有机物</w:t>
            </w:r>
          </w:p>
        </w:tc>
        <w:tc>
          <w:tcPr>
            <w:tcW w:w="917" w:type="pct"/>
            <w:tcBorders>
              <w:top w:val="single" w:color="000000" w:sz="4" w:space="0"/>
              <w:left w:val="single" w:color="000000" w:sz="4" w:space="0"/>
              <w:bottom w:val="single" w:color="000000" w:sz="4" w:space="0"/>
              <w:right w:val="single" w:color="000000" w:sz="4" w:space="0"/>
            </w:tcBorders>
            <w:vAlign w:val="center"/>
          </w:tcPr>
          <w:p>
            <w:pPr>
              <w:spacing w:line="229" w:lineRule="exact"/>
              <w:jc w:val="center"/>
              <w:rPr>
                <w:rFonts w:ascii="Times New Roman" w:hAnsi="Times New Roman"/>
                <w:kern w:val="0"/>
                <w:sz w:val="18"/>
                <w:szCs w:val="18"/>
                <w:lang w:eastAsia="en-US"/>
              </w:rPr>
            </w:pPr>
            <w:r>
              <w:rPr>
                <w:rFonts w:ascii="Times New Roman" w:hAnsi="Times New Roman"/>
                <w:spacing w:val="1"/>
                <w:kern w:val="0"/>
                <w:sz w:val="18"/>
                <w:szCs w:val="18"/>
                <w:lang w:eastAsia="en-US"/>
              </w:rPr>
              <w:t>50</w:t>
            </w:r>
          </w:p>
        </w:tc>
        <w:tc>
          <w:tcPr>
            <w:tcW w:w="797" w:type="pct"/>
            <w:tcBorders>
              <w:top w:val="single" w:color="000000" w:sz="4" w:space="0"/>
              <w:left w:val="single" w:color="000000" w:sz="4" w:space="0"/>
              <w:bottom w:val="single" w:color="000000" w:sz="4" w:space="0"/>
              <w:right w:val="single" w:color="000000" w:sz="4" w:space="0"/>
            </w:tcBorders>
            <w:vAlign w:val="center"/>
          </w:tcPr>
          <w:p>
            <w:pPr>
              <w:spacing w:line="229" w:lineRule="exact"/>
              <w:jc w:val="center"/>
              <w:rPr>
                <w:rFonts w:ascii="Times New Roman" w:hAnsi="Times New Roman"/>
                <w:kern w:val="0"/>
                <w:sz w:val="18"/>
                <w:szCs w:val="18"/>
                <w:lang w:eastAsia="en-US"/>
              </w:rPr>
            </w:pPr>
            <w:r>
              <w:rPr>
                <w:rFonts w:ascii="Times New Roman" w:hAnsi="Times New Roman"/>
                <w:spacing w:val="1"/>
                <w:kern w:val="0"/>
                <w:sz w:val="18"/>
                <w:szCs w:val="18"/>
                <w:lang w:eastAsia="en-US"/>
              </w:rPr>
              <w:t>0.5</w:t>
            </w:r>
          </w:p>
        </w:tc>
      </w:tr>
      <w:tr>
        <w:trPr>
          <w:trHeight w:val="20" w:hRule="atLeast"/>
        </w:trPr>
        <w:tc>
          <w:tcPr>
            <w:tcW w:w="843" w:type="pct"/>
            <w:vMerge w:val="continue"/>
            <w:tcBorders>
              <w:left w:val="single" w:color="000000" w:sz="6" w:space="0"/>
              <w:bottom w:val="single" w:color="auto" w:sz="4" w:space="0"/>
              <w:right w:val="single" w:color="000000" w:sz="6" w:space="0"/>
            </w:tcBorders>
            <w:vAlign w:val="center"/>
          </w:tcPr>
          <w:p>
            <w:pPr>
              <w:rPr>
                <w:rFonts w:ascii="Times New Roman" w:hAnsi="Times New Roman"/>
                <w:kern w:val="0"/>
                <w:sz w:val="18"/>
                <w:szCs w:val="18"/>
                <w:lang w:eastAsia="en-US"/>
              </w:rPr>
            </w:pPr>
          </w:p>
        </w:tc>
        <w:tc>
          <w:tcPr>
            <w:tcW w:w="555" w:type="pct"/>
            <w:vMerge w:val="continue"/>
            <w:tcBorders>
              <w:left w:val="single" w:color="000000" w:sz="6" w:space="0"/>
              <w:bottom w:val="single" w:color="000000" w:sz="4" w:space="0"/>
              <w:right w:val="single" w:color="000000" w:sz="4" w:space="0"/>
            </w:tcBorders>
            <w:vAlign w:val="center"/>
          </w:tcPr>
          <w:p>
            <w:pPr>
              <w:jc w:val="center"/>
              <w:rPr>
                <w:rFonts w:ascii="Times New Roman" w:hAnsi="Times New Roman"/>
                <w:kern w:val="0"/>
                <w:sz w:val="18"/>
                <w:szCs w:val="18"/>
                <w:lang w:eastAsia="en-US"/>
              </w:rPr>
            </w:pPr>
          </w:p>
        </w:tc>
        <w:tc>
          <w:tcPr>
            <w:tcW w:w="1887" w:type="pct"/>
            <w:tcBorders>
              <w:top w:val="single" w:color="000000" w:sz="4" w:space="0"/>
              <w:left w:val="single" w:color="000000" w:sz="4" w:space="0"/>
              <w:bottom w:val="single" w:color="000000" w:sz="4" w:space="0"/>
              <w:right w:val="single" w:color="000000" w:sz="4" w:space="0"/>
            </w:tcBorders>
            <w:vAlign w:val="center"/>
          </w:tcPr>
          <w:p>
            <w:pPr>
              <w:spacing w:line="229" w:lineRule="exact"/>
              <w:rPr>
                <w:rFonts w:ascii="Times New Roman" w:hAnsi="Times New Roman"/>
                <w:kern w:val="0"/>
                <w:sz w:val="18"/>
                <w:szCs w:val="18"/>
                <w:lang w:eastAsia="zh-CN"/>
              </w:rPr>
            </w:pPr>
            <w:r>
              <w:rPr>
                <w:rFonts w:ascii="Times New Roman" w:hAnsi="Times New Roman"/>
                <w:kern w:val="0"/>
                <w:sz w:val="18"/>
                <w:szCs w:val="18"/>
                <w:lang w:eastAsia="zh-CN"/>
              </w:rPr>
              <w:t>现有源(&gt;1.5Mg/a)</w:t>
            </w:r>
          </w:p>
        </w:tc>
        <w:tc>
          <w:tcPr>
            <w:tcW w:w="917"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kern w:val="0"/>
                <w:sz w:val="18"/>
                <w:szCs w:val="18"/>
                <w:lang w:eastAsia="zh-CN"/>
              </w:rPr>
            </w:pPr>
            <w:r>
              <w:rPr>
                <w:rFonts w:hint="eastAsia" w:ascii="Times New Roman" w:hAnsi="Times New Roman"/>
                <w:kern w:val="0"/>
                <w:sz w:val="18"/>
                <w:szCs w:val="18"/>
                <w:lang w:eastAsia="zh-CN"/>
              </w:rPr>
              <w:t>/</w:t>
            </w:r>
          </w:p>
        </w:tc>
        <w:tc>
          <w:tcPr>
            <w:tcW w:w="797" w:type="pct"/>
            <w:tcBorders>
              <w:top w:val="single" w:color="000000" w:sz="4" w:space="0"/>
              <w:left w:val="single" w:color="000000" w:sz="4" w:space="0"/>
              <w:bottom w:val="single" w:color="000000" w:sz="4" w:space="0"/>
              <w:right w:val="single" w:color="000000" w:sz="4" w:space="0"/>
            </w:tcBorders>
            <w:vAlign w:val="center"/>
          </w:tcPr>
          <w:p>
            <w:pPr>
              <w:spacing w:line="229" w:lineRule="exact"/>
              <w:jc w:val="center"/>
              <w:rPr>
                <w:rFonts w:ascii="Times New Roman" w:hAnsi="Times New Roman"/>
                <w:kern w:val="0"/>
                <w:sz w:val="18"/>
                <w:szCs w:val="18"/>
                <w:lang w:eastAsia="en-US"/>
              </w:rPr>
            </w:pPr>
            <w:r>
              <w:rPr>
                <w:rFonts w:ascii="Times New Roman" w:hAnsi="Times New Roman"/>
                <w:spacing w:val="1"/>
                <w:kern w:val="0"/>
                <w:sz w:val="18"/>
                <w:szCs w:val="18"/>
                <w:lang w:eastAsia="en-US"/>
              </w:rPr>
              <w:t>1.5</w:t>
            </w:r>
          </w:p>
        </w:tc>
      </w:tr>
      <w:tr>
        <w:trPr>
          <w:trHeight w:val="20" w:hRule="atLeast"/>
        </w:trPr>
        <w:tc>
          <w:tcPr>
            <w:tcW w:w="843" w:type="pct"/>
            <w:vMerge w:val="continue"/>
            <w:tcBorders>
              <w:left w:val="single" w:color="000000" w:sz="6" w:space="0"/>
              <w:bottom w:val="single" w:color="auto" w:sz="4" w:space="0"/>
              <w:right w:val="single" w:color="000000" w:sz="6" w:space="0"/>
            </w:tcBorders>
            <w:vAlign w:val="center"/>
          </w:tcPr>
          <w:p>
            <w:pPr>
              <w:rPr>
                <w:rFonts w:ascii="Times New Roman" w:hAnsi="Times New Roman"/>
                <w:kern w:val="0"/>
                <w:sz w:val="18"/>
                <w:szCs w:val="18"/>
                <w:lang w:eastAsia="en-US"/>
              </w:rPr>
            </w:pPr>
          </w:p>
        </w:tc>
        <w:tc>
          <w:tcPr>
            <w:tcW w:w="555" w:type="pct"/>
            <w:tcBorders>
              <w:top w:val="single" w:color="000000" w:sz="4" w:space="0"/>
              <w:left w:val="single" w:color="000000" w:sz="6" w:space="0"/>
              <w:bottom w:val="single" w:color="000000" w:sz="4" w:space="0"/>
              <w:right w:val="single" w:color="000000" w:sz="4" w:space="0"/>
            </w:tcBorders>
            <w:vAlign w:val="center"/>
          </w:tcPr>
          <w:p>
            <w:pPr>
              <w:spacing w:line="231" w:lineRule="exact"/>
              <w:jc w:val="center"/>
              <w:rPr>
                <w:rFonts w:ascii="Times New Roman" w:hAnsi="Times New Roman"/>
                <w:kern w:val="0"/>
                <w:sz w:val="18"/>
                <w:szCs w:val="18"/>
                <w:lang w:eastAsia="en-US"/>
              </w:rPr>
            </w:pPr>
            <w:r>
              <w:rPr>
                <w:rFonts w:ascii="Times New Roman" w:hAnsi="Times New Roman"/>
                <w:kern w:val="0"/>
                <w:sz w:val="18"/>
                <w:szCs w:val="18"/>
                <w:lang w:eastAsia="en-US"/>
              </w:rPr>
              <w:t>I</w:t>
            </w:r>
            <w:r>
              <w:rPr>
                <w:rFonts w:ascii="Times New Roman" w:hAnsi="Times New Roman"/>
                <w:spacing w:val="-52"/>
                <w:kern w:val="0"/>
                <w:sz w:val="18"/>
                <w:szCs w:val="18"/>
                <w:lang w:eastAsia="en-US"/>
              </w:rPr>
              <w:t xml:space="preserve"> </w:t>
            </w:r>
            <w:r>
              <w:rPr>
                <w:rFonts w:ascii="Times New Roman" w:hAnsi="Times New Roman"/>
                <w:kern w:val="0"/>
                <w:sz w:val="18"/>
                <w:szCs w:val="18"/>
                <w:lang w:eastAsia="en-US"/>
              </w:rPr>
              <w:t>级</w:t>
            </w:r>
          </w:p>
        </w:tc>
        <w:tc>
          <w:tcPr>
            <w:tcW w:w="1887" w:type="pct"/>
            <w:tcBorders>
              <w:top w:val="single" w:color="000000" w:sz="4" w:space="0"/>
              <w:left w:val="single" w:color="000000" w:sz="4" w:space="0"/>
              <w:bottom w:val="single" w:color="000000" w:sz="4" w:space="0"/>
              <w:right w:val="single" w:color="000000" w:sz="4" w:space="0"/>
            </w:tcBorders>
            <w:vAlign w:val="center"/>
          </w:tcPr>
          <w:p>
            <w:pPr>
              <w:spacing w:line="231" w:lineRule="exact"/>
              <w:rPr>
                <w:rFonts w:ascii="Times New Roman" w:hAnsi="Times New Roman"/>
                <w:kern w:val="0"/>
                <w:sz w:val="18"/>
                <w:szCs w:val="18"/>
                <w:lang w:eastAsia="zh-CN"/>
              </w:rPr>
            </w:pPr>
            <w:r>
              <w:rPr>
                <w:rFonts w:ascii="Times New Roman" w:hAnsi="Times New Roman"/>
                <w:kern w:val="0"/>
                <w:sz w:val="18"/>
                <w:szCs w:val="18"/>
                <w:lang w:eastAsia="zh-CN"/>
              </w:rPr>
              <w:t>176 种</w:t>
            </w:r>
          </w:p>
        </w:tc>
        <w:tc>
          <w:tcPr>
            <w:tcW w:w="917" w:type="pct"/>
            <w:tcBorders>
              <w:top w:val="single" w:color="000000" w:sz="4" w:space="0"/>
              <w:left w:val="single" w:color="000000" w:sz="4" w:space="0"/>
              <w:bottom w:val="single" w:color="000000" w:sz="4" w:space="0"/>
              <w:right w:val="single" w:color="000000" w:sz="4" w:space="0"/>
            </w:tcBorders>
            <w:vAlign w:val="center"/>
          </w:tcPr>
          <w:p>
            <w:pPr>
              <w:spacing w:line="231" w:lineRule="exact"/>
              <w:jc w:val="center"/>
              <w:rPr>
                <w:rFonts w:ascii="Times New Roman" w:hAnsi="Times New Roman"/>
                <w:kern w:val="0"/>
                <w:sz w:val="18"/>
                <w:szCs w:val="18"/>
                <w:lang w:eastAsia="en-US"/>
              </w:rPr>
            </w:pPr>
            <w:r>
              <w:rPr>
                <w:rFonts w:ascii="Times New Roman" w:hAnsi="Times New Roman"/>
                <w:spacing w:val="1"/>
                <w:kern w:val="0"/>
                <w:sz w:val="18"/>
                <w:szCs w:val="18"/>
                <w:lang w:eastAsia="en-US"/>
              </w:rPr>
              <w:t>20</w:t>
            </w:r>
          </w:p>
        </w:tc>
        <w:tc>
          <w:tcPr>
            <w:tcW w:w="797" w:type="pct"/>
            <w:tcBorders>
              <w:top w:val="single" w:color="000000" w:sz="4" w:space="0"/>
              <w:left w:val="single" w:color="000000" w:sz="4" w:space="0"/>
              <w:bottom w:val="single" w:color="000000" w:sz="4" w:space="0"/>
              <w:right w:val="single" w:color="000000" w:sz="4" w:space="0"/>
            </w:tcBorders>
            <w:vAlign w:val="center"/>
          </w:tcPr>
          <w:p>
            <w:pPr>
              <w:spacing w:line="231" w:lineRule="exact"/>
              <w:jc w:val="center"/>
              <w:rPr>
                <w:rFonts w:ascii="Times New Roman" w:hAnsi="Times New Roman"/>
                <w:kern w:val="0"/>
                <w:sz w:val="18"/>
                <w:szCs w:val="18"/>
                <w:lang w:eastAsia="en-US"/>
              </w:rPr>
            </w:pPr>
            <w:r>
              <w:rPr>
                <w:rFonts w:ascii="Times New Roman" w:hAnsi="Times New Roman"/>
                <w:spacing w:val="1"/>
                <w:kern w:val="0"/>
                <w:sz w:val="18"/>
                <w:szCs w:val="18"/>
                <w:lang w:eastAsia="en-US"/>
              </w:rPr>
              <w:t>0.10</w:t>
            </w:r>
          </w:p>
        </w:tc>
      </w:tr>
      <w:tr>
        <w:trPr>
          <w:trHeight w:val="20" w:hRule="atLeast"/>
        </w:trPr>
        <w:tc>
          <w:tcPr>
            <w:tcW w:w="843" w:type="pct"/>
            <w:vMerge w:val="continue"/>
            <w:tcBorders>
              <w:left w:val="single" w:color="000000" w:sz="6" w:space="0"/>
              <w:bottom w:val="single" w:color="auto" w:sz="4" w:space="0"/>
              <w:right w:val="single" w:color="000000" w:sz="6" w:space="0"/>
            </w:tcBorders>
            <w:vAlign w:val="center"/>
          </w:tcPr>
          <w:p>
            <w:pPr>
              <w:rPr>
                <w:rFonts w:ascii="Times New Roman" w:hAnsi="Times New Roman"/>
                <w:kern w:val="0"/>
                <w:sz w:val="18"/>
                <w:szCs w:val="18"/>
                <w:lang w:eastAsia="en-US"/>
              </w:rPr>
            </w:pPr>
          </w:p>
        </w:tc>
        <w:tc>
          <w:tcPr>
            <w:tcW w:w="555" w:type="pct"/>
            <w:tcBorders>
              <w:top w:val="single" w:color="000000" w:sz="4" w:space="0"/>
              <w:left w:val="single" w:color="000000" w:sz="6" w:space="0"/>
              <w:bottom w:val="single" w:color="000000" w:sz="4" w:space="0"/>
              <w:right w:val="single" w:color="000000" w:sz="4" w:space="0"/>
            </w:tcBorders>
            <w:vAlign w:val="center"/>
          </w:tcPr>
          <w:p>
            <w:pPr>
              <w:spacing w:line="229" w:lineRule="exact"/>
              <w:jc w:val="center"/>
              <w:rPr>
                <w:rFonts w:ascii="Times New Roman" w:hAnsi="Times New Roman"/>
                <w:kern w:val="0"/>
                <w:sz w:val="18"/>
                <w:szCs w:val="18"/>
                <w:lang w:eastAsia="en-US"/>
              </w:rPr>
            </w:pPr>
            <w:r>
              <w:rPr>
                <w:rFonts w:ascii="Times New Roman" w:hAnsi="Times New Roman"/>
                <w:spacing w:val="1"/>
                <w:kern w:val="0"/>
                <w:sz w:val="18"/>
                <w:szCs w:val="18"/>
                <w:lang w:eastAsia="en-US"/>
              </w:rPr>
              <w:t>I</w:t>
            </w:r>
            <w:r>
              <w:rPr>
                <w:rFonts w:ascii="Times New Roman" w:hAnsi="Times New Roman"/>
                <w:kern w:val="0"/>
                <w:sz w:val="18"/>
                <w:szCs w:val="18"/>
                <w:lang w:eastAsia="en-US"/>
              </w:rPr>
              <w:t>I</w:t>
            </w:r>
            <w:r>
              <w:rPr>
                <w:rFonts w:ascii="Times New Roman" w:hAnsi="Times New Roman"/>
                <w:spacing w:val="-53"/>
                <w:kern w:val="0"/>
                <w:sz w:val="18"/>
                <w:szCs w:val="18"/>
                <w:lang w:eastAsia="en-US"/>
              </w:rPr>
              <w:t xml:space="preserve"> </w:t>
            </w:r>
            <w:r>
              <w:rPr>
                <w:rFonts w:ascii="Times New Roman" w:hAnsi="Times New Roman"/>
                <w:kern w:val="0"/>
                <w:sz w:val="18"/>
                <w:szCs w:val="18"/>
                <w:lang w:eastAsia="en-US"/>
              </w:rPr>
              <w:t>级</w:t>
            </w:r>
          </w:p>
        </w:tc>
        <w:tc>
          <w:tcPr>
            <w:tcW w:w="1887" w:type="pct"/>
            <w:tcBorders>
              <w:top w:val="single" w:color="000000" w:sz="4" w:space="0"/>
              <w:left w:val="single" w:color="000000" w:sz="4" w:space="0"/>
              <w:bottom w:val="single" w:color="000000" w:sz="4" w:space="0"/>
              <w:right w:val="single" w:color="000000" w:sz="4" w:space="0"/>
            </w:tcBorders>
            <w:vAlign w:val="center"/>
          </w:tcPr>
          <w:p>
            <w:pPr>
              <w:spacing w:line="229" w:lineRule="exact"/>
              <w:rPr>
                <w:rFonts w:ascii="Times New Roman" w:hAnsi="Times New Roman"/>
                <w:kern w:val="0"/>
                <w:sz w:val="18"/>
                <w:szCs w:val="18"/>
                <w:lang w:eastAsia="zh-CN"/>
              </w:rPr>
            </w:pPr>
            <w:r>
              <w:rPr>
                <w:rFonts w:ascii="Times New Roman" w:hAnsi="Times New Roman"/>
                <w:kern w:val="0"/>
                <w:sz w:val="18"/>
                <w:szCs w:val="18"/>
                <w:lang w:eastAsia="zh-CN"/>
              </w:rPr>
              <w:t>1-溴-3-氯丙烷、1,1-二氯乙烷、1,2-dichloroethylene（顺 式、反式）、乙酸、甲酸甲酯、 硝基乙烷、硝基甲烷、八甲基化 环四硅氧烷、1,1,1-三氯乙烷、1,3,5-三噁烷</w:t>
            </w:r>
          </w:p>
        </w:tc>
        <w:tc>
          <w:tcPr>
            <w:tcW w:w="917" w:type="pct"/>
            <w:tcBorders>
              <w:top w:val="single" w:color="000000" w:sz="4" w:space="0"/>
              <w:left w:val="single" w:color="000000" w:sz="4" w:space="0"/>
              <w:bottom w:val="single" w:color="000000" w:sz="4" w:space="0"/>
              <w:right w:val="single" w:color="000000" w:sz="4" w:space="0"/>
            </w:tcBorders>
            <w:vAlign w:val="center"/>
          </w:tcPr>
          <w:p>
            <w:pPr>
              <w:spacing w:line="229" w:lineRule="exact"/>
              <w:jc w:val="center"/>
              <w:rPr>
                <w:rFonts w:ascii="Times New Roman" w:hAnsi="Times New Roman"/>
                <w:kern w:val="0"/>
                <w:sz w:val="18"/>
                <w:szCs w:val="18"/>
                <w:lang w:eastAsia="en-US"/>
              </w:rPr>
            </w:pPr>
            <w:r>
              <w:rPr>
                <w:rFonts w:ascii="Times New Roman" w:hAnsi="Times New Roman"/>
                <w:spacing w:val="1"/>
                <w:kern w:val="0"/>
                <w:sz w:val="18"/>
                <w:szCs w:val="18"/>
                <w:lang w:eastAsia="en-US"/>
              </w:rPr>
              <w:t>100</w:t>
            </w:r>
          </w:p>
        </w:tc>
        <w:tc>
          <w:tcPr>
            <w:tcW w:w="797" w:type="pct"/>
            <w:tcBorders>
              <w:top w:val="single" w:color="000000" w:sz="4" w:space="0"/>
              <w:left w:val="single" w:color="000000" w:sz="4" w:space="0"/>
              <w:bottom w:val="single" w:color="000000" w:sz="4" w:space="0"/>
              <w:right w:val="single" w:color="000000" w:sz="4" w:space="0"/>
            </w:tcBorders>
            <w:vAlign w:val="center"/>
          </w:tcPr>
          <w:p>
            <w:pPr>
              <w:spacing w:line="229" w:lineRule="exact"/>
              <w:jc w:val="center"/>
              <w:rPr>
                <w:rFonts w:ascii="Times New Roman" w:hAnsi="Times New Roman"/>
                <w:kern w:val="0"/>
                <w:sz w:val="18"/>
                <w:szCs w:val="18"/>
                <w:lang w:eastAsia="en-US"/>
              </w:rPr>
            </w:pPr>
            <w:r>
              <w:rPr>
                <w:rFonts w:ascii="Times New Roman" w:hAnsi="Times New Roman"/>
                <w:spacing w:val="1"/>
                <w:kern w:val="0"/>
                <w:sz w:val="18"/>
                <w:szCs w:val="18"/>
                <w:lang w:eastAsia="en-US"/>
              </w:rPr>
              <w:t>0.50</w:t>
            </w:r>
          </w:p>
        </w:tc>
      </w:tr>
      <w:tr>
        <w:trPr>
          <w:trHeight w:val="20" w:hRule="atLeast"/>
        </w:trPr>
        <w:tc>
          <w:tcPr>
            <w:tcW w:w="843" w:type="pct"/>
            <w:vMerge w:val="continue"/>
            <w:tcBorders>
              <w:left w:val="single" w:color="000000" w:sz="6" w:space="0"/>
              <w:bottom w:val="single" w:color="auto" w:sz="4" w:space="0"/>
              <w:right w:val="single" w:color="000000" w:sz="6" w:space="0"/>
            </w:tcBorders>
            <w:vAlign w:val="center"/>
          </w:tcPr>
          <w:p>
            <w:pPr>
              <w:rPr>
                <w:rFonts w:ascii="Times New Roman" w:hAnsi="Times New Roman"/>
                <w:kern w:val="0"/>
                <w:sz w:val="18"/>
                <w:szCs w:val="18"/>
                <w:lang w:eastAsia="en-US"/>
              </w:rPr>
            </w:pPr>
          </w:p>
        </w:tc>
        <w:tc>
          <w:tcPr>
            <w:tcW w:w="4157" w:type="pct"/>
            <w:gridSpan w:val="4"/>
            <w:tcBorders>
              <w:top w:val="single" w:color="000000" w:sz="4" w:space="0"/>
              <w:left w:val="single" w:color="000000" w:sz="6" w:space="0"/>
              <w:bottom w:val="single" w:color="000000" w:sz="4" w:space="0"/>
              <w:right w:val="single" w:color="000000" w:sz="4" w:space="0"/>
            </w:tcBorders>
            <w:vAlign w:val="center"/>
          </w:tcPr>
          <w:p>
            <w:pPr>
              <w:spacing w:line="229" w:lineRule="exact"/>
              <w:jc w:val="center"/>
              <w:rPr>
                <w:rFonts w:ascii="Times New Roman" w:hAnsi="Times New Roman"/>
                <w:kern w:val="0"/>
                <w:sz w:val="18"/>
                <w:szCs w:val="18"/>
                <w:lang w:eastAsia="zh-CN"/>
              </w:rPr>
            </w:pPr>
            <w:r>
              <w:rPr>
                <w:rFonts w:ascii="Times New Roman" w:hAnsi="Times New Roman"/>
                <w:kern w:val="0"/>
                <w:sz w:val="18"/>
                <w:szCs w:val="18"/>
                <w:lang w:eastAsia="zh-CN"/>
              </w:rPr>
              <w:t>I</w:t>
            </w:r>
            <w:r>
              <w:rPr>
                <w:rFonts w:ascii="Times New Roman" w:hAnsi="Times New Roman"/>
                <w:spacing w:val="-54"/>
                <w:kern w:val="0"/>
                <w:sz w:val="18"/>
                <w:szCs w:val="18"/>
                <w:lang w:eastAsia="zh-CN"/>
              </w:rPr>
              <w:t xml:space="preserve"> </w:t>
            </w:r>
            <w:r>
              <w:rPr>
                <w:rFonts w:ascii="Times New Roman" w:hAnsi="Times New Roman"/>
                <w:kern w:val="0"/>
                <w:sz w:val="18"/>
                <w:szCs w:val="18"/>
                <w:lang w:eastAsia="zh-CN"/>
              </w:rPr>
              <w:t>级</w:t>
            </w:r>
            <w:r>
              <w:rPr>
                <w:rFonts w:ascii="Times New Roman" w:hAnsi="Times New Roman"/>
                <w:spacing w:val="1"/>
                <w:kern w:val="0"/>
                <w:sz w:val="18"/>
                <w:szCs w:val="18"/>
                <w:lang w:eastAsia="zh-CN"/>
              </w:rPr>
              <w:t>+I</w:t>
            </w:r>
            <w:r>
              <w:rPr>
                <w:rFonts w:ascii="Times New Roman" w:hAnsi="Times New Roman"/>
                <w:kern w:val="0"/>
                <w:sz w:val="18"/>
                <w:szCs w:val="18"/>
                <w:lang w:eastAsia="zh-CN"/>
              </w:rPr>
              <w:t>I</w:t>
            </w:r>
            <w:r>
              <w:rPr>
                <w:rFonts w:ascii="Times New Roman" w:hAnsi="Times New Roman"/>
                <w:spacing w:val="-54"/>
                <w:kern w:val="0"/>
                <w:sz w:val="18"/>
                <w:szCs w:val="18"/>
                <w:lang w:eastAsia="zh-CN"/>
              </w:rPr>
              <w:t xml:space="preserve"> </w:t>
            </w:r>
            <w:r>
              <w:rPr>
                <w:rFonts w:ascii="Times New Roman" w:hAnsi="Times New Roman"/>
                <w:kern w:val="0"/>
                <w:sz w:val="18"/>
                <w:szCs w:val="18"/>
                <w:lang w:eastAsia="zh-CN"/>
              </w:rPr>
              <w:t>级</w:t>
            </w:r>
            <w:r>
              <w:rPr>
                <w:rFonts w:ascii="Times New Roman" w:hAnsi="Times New Roman"/>
                <w:spacing w:val="1"/>
                <w:kern w:val="0"/>
                <w:sz w:val="18"/>
                <w:szCs w:val="18"/>
                <w:lang w:eastAsia="zh-CN"/>
              </w:rPr>
              <w:t>:</w:t>
            </w:r>
            <w:r>
              <w:rPr>
                <w:rFonts w:ascii="Times New Roman" w:hAnsi="Times New Roman"/>
                <w:kern w:val="0"/>
                <w:sz w:val="18"/>
                <w:szCs w:val="18"/>
                <w:lang w:eastAsia="zh-CN"/>
              </w:rPr>
              <w:t>不超过</w:t>
            </w:r>
            <w:r>
              <w:rPr>
                <w:rFonts w:ascii="Times New Roman" w:hAnsi="Times New Roman"/>
                <w:spacing w:val="-55"/>
                <w:kern w:val="0"/>
                <w:sz w:val="18"/>
                <w:szCs w:val="18"/>
                <w:lang w:eastAsia="zh-CN"/>
              </w:rPr>
              <w:t xml:space="preserve"> </w:t>
            </w:r>
            <w:r>
              <w:rPr>
                <w:rFonts w:ascii="Times New Roman" w:hAnsi="Times New Roman"/>
                <w:spacing w:val="1"/>
                <w:kern w:val="0"/>
                <w:sz w:val="18"/>
                <w:szCs w:val="18"/>
                <w:lang w:eastAsia="zh-CN"/>
              </w:rPr>
              <w:t>I</w:t>
            </w:r>
            <w:r>
              <w:rPr>
                <w:rFonts w:ascii="Times New Roman" w:hAnsi="Times New Roman"/>
                <w:kern w:val="0"/>
                <w:sz w:val="18"/>
                <w:szCs w:val="18"/>
                <w:lang w:eastAsia="zh-CN"/>
              </w:rPr>
              <w:t>I</w:t>
            </w:r>
            <w:r>
              <w:rPr>
                <w:rFonts w:ascii="Times New Roman" w:hAnsi="Times New Roman"/>
                <w:spacing w:val="-53"/>
                <w:kern w:val="0"/>
                <w:sz w:val="18"/>
                <w:szCs w:val="18"/>
                <w:lang w:eastAsia="zh-CN"/>
              </w:rPr>
              <w:t xml:space="preserve"> </w:t>
            </w:r>
            <w:r>
              <w:rPr>
                <w:rFonts w:ascii="Times New Roman" w:hAnsi="Times New Roman"/>
                <w:kern w:val="0"/>
                <w:sz w:val="18"/>
                <w:szCs w:val="18"/>
                <w:lang w:eastAsia="zh-CN"/>
              </w:rPr>
              <w:t>级</w:t>
            </w:r>
          </w:p>
        </w:tc>
      </w:tr>
      <w:tr>
        <w:trPr>
          <w:trHeight w:val="20" w:hRule="atLeast"/>
        </w:trPr>
        <w:tc>
          <w:tcPr>
            <w:tcW w:w="843" w:type="pct"/>
            <w:vMerge w:val="restart"/>
            <w:tcBorders>
              <w:top w:val="single" w:color="auto" w:sz="4" w:space="0"/>
              <w:left w:val="single" w:color="auto" w:sz="4" w:space="0"/>
              <w:bottom w:val="single" w:color="auto" w:sz="4" w:space="0"/>
              <w:right w:val="single" w:color="auto" w:sz="4" w:space="0"/>
            </w:tcBorders>
            <w:vAlign w:val="center"/>
          </w:tcPr>
          <w:p>
            <w:pPr>
              <w:spacing w:line="229" w:lineRule="exact"/>
              <w:jc w:val="center"/>
              <w:rPr>
                <w:rFonts w:ascii="Times New Roman" w:hAnsi="Times New Roman"/>
                <w:kern w:val="0"/>
                <w:sz w:val="18"/>
                <w:szCs w:val="18"/>
                <w:lang w:eastAsia="en-US"/>
              </w:rPr>
            </w:pPr>
            <w:r>
              <w:rPr>
                <w:rFonts w:ascii="Times New Roman" w:hAnsi="Times New Roman"/>
                <w:kern w:val="0"/>
                <w:sz w:val="18"/>
                <w:szCs w:val="18"/>
                <w:lang w:eastAsia="en-US"/>
              </w:rPr>
              <w:t>致癌物质</w:t>
            </w:r>
          </w:p>
        </w:tc>
        <w:tc>
          <w:tcPr>
            <w:tcW w:w="555" w:type="pct"/>
            <w:tcBorders>
              <w:top w:val="single" w:color="000000" w:sz="4" w:space="0"/>
              <w:left w:val="single" w:color="auto" w:sz="4" w:space="0"/>
              <w:bottom w:val="single" w:color="000000" w:sz="4" w:space="0"/>
              <w:right w:val="single" w:color="000000" w:sz="4" w:space="0"/>
            </w:tcBorders>
            <w:vAlign w:val="center"/>
          </w:tcPr>
          <w:p>
            <w:pPr>
              <w:spacing w:line="229" w:lineRule="exact"/>
              <w:jc w:val="center"/>
              <w:rPr>
                <w:rFonts w:ascii="Times New Roman" w:hAnsi="Times New Roman"/>
                <w:kern w:val="0"/>
                <w:sz w:val="18"/>
                <w:szCs w:val="18"/>
                <w:lang w:eastAsia="en-US"/>
              </w:rPr>
            </w:pPr>
            <w:r>
              <w:rPr>
                <w:rFonts w:ascii="Times New Roman" w:hAnsi="Times New Roman"/>
                <w:kern w:val="0"/>
                <w:sz w:val="18"/>
                <w:szCs w:val="18"/>
                <w:lang w:eastAsia="en-US"/>
              </w:rPr>
              <w:t>I</w:t>
            </w:r>
            <w:r>
              <w:rPr>
                <w:rFonts w:ascii="Times New Roman" w:hAnsi="Times New Roman"/>
                <w:spacing w:val="-52"/>
                <w:kern w:val="0"/>
                <w:sz w:val="18"/>
                <w:szCs w:val="18"/>
                <w:lang w:eastAsia="en-US"/>
              </w:rPr>
              <w:t xml:space="preserve"> </w:t>
            </w:r>
            <w:r>
              <w:rPr>
                <w:rFonts w:ascii="Times New Roman" w:hAnsi="Times New Roman"/>
                <w:kern w:val="0"/>
                <w:sz w:val="18"/>
                <w:szCs w:val="18"/>
                <w:lang w:eastAsia="en-US"/>
              </w:rPr>
              <w:t>级</w:t>
            </w:r>
          </w:p>
        </w:tc>
        <w:tc>
          <w:tcPr>
            <w:tcW w:w="1887" w:type="pct"/>
            <w:tcBorders>
              <w:top w:val="single" w:color="000000" w:sz="4" w:space="0"/>
              <w:left w:val="single" w:color="000000" w:sz="4" w:space="0"/>
              <w:bottom w:val="single" w:color="000000" w:sz="4" w:space="0"/>
              <w:right w:val="single" w:color="000000" w:sz="4" w:space="0"/>
            </w:tcBorders>
            <w:vAlign w:val="center"/>
          </w:tcPr>
          <w:p>
            <w:pPr>
              <w:spacing w:line="229" w:lineRule="exact"/>
              <w:rPr>
                <w:rFonts w:ascii="Times New Roman" w:hAnsi="Times New Roman"/>
                <w:kern w:val="0"/>
                <w:sz w:val="18"/>
                <w:szCs w:val="18"/>
                <w:lang w:eastAsia="zh-CN"/>
              </w:rPr>
            </w:pPr>
            <w:r>
              <w:rPr>
                <w:rFonts w:ascii="Times New Roman" w:hAnsi="Times New Roman"/>
                <w:kern w:val="0"/>
                <w:sz w:val="18"/>
                <w:szCs w:val="18"/>
                <w:lang w:eastAsia="zh-CN"/>
              </w:rPr>
              <w:t>砷及其化合物、苯并芘、镉及其化合物、水溶性钴及其化合物、 六价铬化合物</w:t>
            </w:r>
          </w:p>
        </w:tc>
        <w:tc>
          <w:tcPr>
            <w:tcW w:w="917" w:type="pct"/>
            <w:tcBorders>
              <w:top w:val="single" w:color="000000" w:sz="4" w:space="0"/>
              <w:left w:val="single" w:color="000000" w:sz="4" w:space="0"/>
              <w:bottom w:val="single" w:color="000000" w:sz="4" w:space="0"/>
              <w:right w:val="single" w:color="000000" w:sz="4" w:space="0"/>
            </w:tcBorders>
            <w:vAlign w:val="center"/>
          </w:tcPr>
          <w:p>
            <w:pPr>
              <w:spacing w:line="229" w:lineRule="exact"/>
              <w:jc w:val="center"/>
              <w:rPr>
                <w:rFonts w:ascii="Times New Roman" w:hAnsi="Times New Roman"/>
                <w:kern w:val="0"/>
                <w:sz w:val="18"/>
                <w:szCs w:val="18"/>
                <w:lang w:eastAsia="zh-CN"/>
              </w:rPr>
            </w:pPr>
            <w:r>
              <w:rPr>
                <w:rFonts w:ascii="Times New Roman" w:hAnsi="Times New Roman"/>
                <w:kern w:val="0"/>
                <w:sz w:val="18"/>
                <w:szCs w:val="18"/>
                <w:lang w:eastAsia="zh-CN"/>
              </w:rPr>
              <w:t>0.05</w:t>
            </w:r>
          </w:p>
        </w:tc>
        <w:tc>
          <w:tcPr>
            <w:tcW w:w="797" w:type="pct"/>
            <w:tcBorders>
              <w:top w:val="single" w:color="000000" w:sz="4" w:space="0"/>
              <w:left w:val="single" w:color="000000" w:sz="4" w:space="0"/>
              <w:bottom w:val="single" w:color="000000" w:sz="4" w:space="0"/>
              <w:right w:val="single" w:color="000000" w:sz="4" w:space="0"/>
            </w:tcBorders>
            <w:vAlign w:val="center"/>
          </w:tcPr>
          <w:p>
            <w:pPr>
              <w:spacing w:line="229" w:lineRule="exact"/>
              <w:jc w:val="center"/>
              <w:rPr>
                <w:rFonts w:ascii="Times New Roman" w:hAnsi="Times New Roman"/>
                <w:kern w:val="0"/>
                <w:sz w:val="18"/>
                <w:szCs w:val="18"/>
                <w:lang w:eastAsia="zh-CN"/>
              </w:rPr>
            </w:pPr>
            <w:r>
              <w:rPr>
                <w:rFonts w:ascii="Times New Roman" w:hAnsi="Times New Roman"/>
                <w:kern w:val="0"/>
                <w:sz w:val="18"/>
                <w:szCs w:val="18"/>
                <w:lang w:eastAsia="zh-CN"/>
              </w:rPr>
              <w:t>0.15g/h</w:t>
            </w:r>
          </w:p>
        </w:tc>
      </w:tr>
      <w:tr>
        <w:trPr>
          <w:trHeight w:val="20" w:hRule="atLeast"/>
        </w:trPr>
        <w:tc>
          <w:tcPr>
            <w:tcW w:w="843" w:type="pct"/>
            <w:vMerge w:val="continue"/>
            <w:tcBorders>
              <w:top w:val="single" w:color="auto" w:sz="4" w:space="0"/>
              <w:left w:val="single" w:color="auto" w:sz="4" w:space="0"/>
              <w:bottom w:val="single" w:color="auto" w:sz="4" w:space="0"/>
              <w:right w:val="single" w:color="auto" w:sz="4" w:space="0"/>
            </w:tcBorders>
          </w:tcPr>
          <w:p>
            <w:pPr>
              <w:jc w:val="left"/>
              <w:rPr>
                <w:rFonts w:ascii="Times New Roman" w:hAnsi="Times New Roman"/>
                <w:kern w:val="0"/>
                <w:sz w:val="18"/>
                <w:szCs w:val="18"/>
                <w:lang w:eastAsia="en-US"/>
              </w:rPr>
            </w:pPr>
          </w:p>
        </w:tc>
        <w:tc>
          <w:tcPr>
            <w:tcW w:w="555" w:type="pct"/>
            <w:tcBorders>
              <w:top w:val="single" w:color="000000" w:sz="4" w:space="0"/>
              <w:left w:val="single" w:color="auto" w:sz="4" w:space="0"/>
              <w:bottom w:val="single" w:color="000000" w:sz="4" w:space="0"/>
              <w:right w:val="single" w:color="000000" w:sz="4" w:space="0"/>
            </w:tcBorders>
            <w:vAlign w:val="center"/>
          </w:tcPr>
          <w:p>
            <w:pPr>
              <w:spacing w:line="231" w:lineRule="exact"/>
              <w:jc w:val="center"/>
              <w:rPr>
                <w:rFonts w:ascii="Times New Roman" w:hAnsi="Times New Roman"/>
                <w:kern w:val="0"/>
                <w:sz w:val="18"/>
                <w:szCs w:val="18"/>
                <w:lang w:eastAsia="en-US"/>
              </w:rPr>
            </w:pPr>
            <w:r>
              <w:rPr>
                <w:rFonts w:ascii="Times New Roman" w:hAnsi="Times New Roman"/>
                <w:spacing w:val="1"/>
                <w:kern w:val="0"/>
                <w:sz w:val="18"/>
                <w:szCs w:val="18"/>
                <w:lang w:eastAsia="en-US"/>
              </w:rPr>
              <w:t>I</w:t>
            </w:r>
            <w:r>
              <w:rPr>
                <w:rFonts w:ascii="Times New Roman" w:hAnsi="Times New Roman"/>
                <w:kern w:val="0"/>
                <w:sz w:val="18"/>
                <w:szCs w:val="18"/>
                <w:lang w:eastAsia="en-US"/>
              </w:rPr>
              <w:t>I</w:t>
            </w:r>
            <w:r>
              <w:rPr>
                <w:rFonts w:ascii="Times New Roman" w:hAnsi="Times New Roman"/>
                <w:spacing w:val="-53"/>
                <w:kern w:val="0"/>
                <w:sz w:val="18"/>
                <w:szCs w:val="18"/>
                <w:lang w:eastAsia="en-US"/>
              </w:rPr>
              <w:t xml:space="preserve"> </w:t>
            </w:r>
            <w:r>
              <w:rPr>
                <w:rFonts w:ascii="Times New Roman" w:hAnsi="Times New Roman"/>
                <w:kern w:val="0"/>
                <w:sz w:val="18"/>
                <w:szCs w:val="18"/>
                <w:lang w:eastAsia="en-US"/>
              </w:rPr>
              <w:t>级</w:t>
            </w:r>
          </w:p>
        </w:tc>
        <w:tc>
          <w:tcPr>
            <w:tcW w:w="1887" w:type="pct"/>
            <w:tcBorders>
              <w:top w:val="single" w:color="000000" w:sz="4" w:space="0"/>
              <w:left w:val="single" w:color="000000" w:sz="4" w:space="0"/>
              <w:bottom w:val="single" w:color="000000" w:sz="4" w:space="0"/>
              <w:right w:val="single" w:color="000000" w:sz="4" w:space="0"/>
            </w:tcBorders>
            <w:vAlign w:val="center"/>
          </w:tcPr>
          <w:p>
            <w:pPr>
              <w:spacing w:line="231" w:lineRule="exact"/>
              <w:rPr>
                <w:rFonts w:ascii="Times New Roman" w:hAnsi="Times New Roman"/>
                <w:kern w:val="0"/>
                <w:sz w:val="18"/>
                <w:szCs w:val="18"/>
                <w:lang w:eastAsia="zh-CN"/>
              </w:rPr>
            </w:pPr>
            <w:r>
              <w:rPr>
                <w:rFonts w:ascii="Times New Roman" w:hAnsi="Times New Roman"/>
                <w:kern w:val="0"/>
                <w:sz w:val="18"/>
                <w:szCs w:val="18"/>
                <w:lang w:eastAsia="zh-CN"/>
              </w:rPr>
              <w:t>丙烯酰胺、丙烯腈、二硝基苯、环氧乙烷、镍及其化合物（除了 金属镍、镍合金、碳酸镍、氢氧 化镍、四碳酰镍 ）、4-乙烯-1-环己烯</w:t>
            </w:r>
          </w:p>
        </w:tc>
        <w:tc>
          <w:tcPr>
            <w:tcW w:w="917" w:type="pct"/>
            <w:tcBorders>
              <w:top w:val="single" w:color="000000" w:sz="4" w:space="0"/>
              <w:left w:val="single" w:color="000000" w:sz="4" w:space="0"/>
              <w:bottom w:val="single" w:color="000000" w:sz="4" w:space="0"/>
              <w:right w:val="single" w:color="000000" w:sz="4" w:space="0"/>
            </w:tcBorders>
            <w:vAlign w:val="center"/>
          </w:tcPr>
          <w:p>
            <w:pPr>
              <w:spacing w:line="231" w:lineRule="exact"/>
              <w:jc w:val="center"/>
              <w:rPr>
                <w:rFonts w:ascii="Times New Roman" w:hAnsi="Times New Roman"/>
                <w:kern w:val="0"/>
                <w:sz w:val="18"/>
                <w:szCs w:val="18"/>
                <w:lang w:eastAsia="zh-CN"/>
              </w:rPr>
            </w:pPr>
            <w:r>
              <w:rPr>
                <w:rFonts w:ascii="Times New Roman" w:hAnsi="Times New Roman"/>
                <w:kern w:val="0"/>
                <w:sz w:val="18"/>
                <w:szCs w:val="18"/>
                <w:lang w:eastAsia="zh-CN"/>
              </w:rPr>
              <w:t>0.5</w:t>
            </w:r>
          </w:p>
        </w:tc>
        <w:tc>
          <w:tcPr>
            <w:tcW w:w="797" w:type="pct"/>
            <w:tcBorders>
              <w:top w:val="single" w:color="000000" w:sz="4" w:space="0"/>
              <w:left w:val="single" w:color="000000" w:sz="4" w:space="0"/>
              <w:bottom w:val="single" w:color="000000" w:sz="4" w:space="0"/>
              <w:right w:val="single" w:color="000000" w:sz="4" w:space="0"/>
            </w:tcBorders>
            <w:vAlign w:val="center"/>
          </w:tcPr>
          <w:p>
            <w:pPr>
              <w:spacing w:line="231" w:lineRule="exact"/>
              <w:jc w:val="center"/>
              <w:rPr>
                <w:rFonts w:ascii="Times New Roman" w:hAnsi="Times New Roman"/>
                <w:kern w:val="0"/>
                <w:sz w:val="18"/>
                <w:szCs w:val="18"/>
                <w:lang w:eastAsia="zh-CN"/>
              </w:rPr>
            </w:pPr>
            <w:r>
              <w:rPr>
                <w:rFonts w:ascii="Times New Roman" w:hAnsi="Times New Roman"/>
                <w:kern w:val="0"/>
                <w:sz w:val="18"/>
                <w:szCs w:val="18"/>
                <w:lang w:eastAsia="zh-CN"/>
              </w:rPr>
              <w:t>1.5 g/h</w:t>
            </w:r>
          </w:p>
        </w:tc>
      </w:tr>
      <w:tr>
        <w:tblPrEx>
          <w:tblCellMar>
            <w:top w:w="0" w:type="dxa"/>
            <w:left w:w="0" w:type="dxa"/>
            <w:bottom w:w="0" w:type="dxa"/>
            <w:right w:w="0" w:type="dxa"/>
          </w:tblCellMar>
        </w:tblPrEx>
        <w:trPr>
          <w:trHeight w:val="20" w:hRule="atLeast"/>
        </w:trPr>
        <w:tc>
          <w:tcPr>
            <w:tcW w:w="843" w:type="pct"/>
            <w:vMerge w:val="continue"/>
            <w:tcBorders>
              <w:top w:val="single" w:color="auto" w:sz="4" w:space="0"/>
              <w:left w:val="single" w:color="auto" w:sz="4" w:space="0"/>
              <w:bottom w:val="single" w:color="auto" w:sz="4" w:space="0"/>
              <w:right w:val="single" w:color="auto" w:sz="4" w:space="0"/>
            </w:tcBorders>
          </w:tcPr>
          <w:p>
            <w:pPr>
              <w:jc w:val="left"/>
              <w:rPr>
                <w:rFonts w:ascii="Times New Roman" w:hAnsi="Times New Roman"/>
                <w:kern w:val="0"/>
                <w:sz w:val="18"/>
                <w:szCs w:val="18"/>
                <w:lang w:eastAsia="en-US"/>
              </w:rPr>
            </w:pPr>
          </w:p>
        </w:tc>
        <w:tc>
          <w:tcPr>
            <w:tcW w:w="555" w:type="pct"/>
            <w:tcBorders>
              <w:top w:val="single" w:color="000000" w:sz="4" w:space="0"/>
              <w:left w:val="single" w:color="auto" w:sz="4" w:space="0"/>
              <w:bottom w:val="single" w:color="000000" w:sz="4" w:space="0"/>
              <w:right w:val="single" w:color="000000" w:sz="4" w:space="0"/>
            </w:tcBorders>
            <w:vAlign w:val="center"/>
          </w:tcPr>
          <w:p>
            <w:pPr>
              <w:spacing w:line="229" w:lineRule="exact"/>
              <w:jc w:val="center"/>
              <w:rPr>
                <w:rFonts w:ascii="Times New Roman" w:hAnsi="Times New Roman"/>
                <w:kern w:val="0"/>
                <w:sz w:val="18"/>
                <w:szCs w:val="18"/>
                <w:lang w:eastAsia="en-US"/>
              </w:rPr>
            </w:pPr>
            <w:r>
              <w:rPr>
                <w:rFonts w:ascii="Times New Roman" w:hAnsi="Times New Roman"/>
                <w:spacing w:val="1"/>
                <w:kern w:val="0"/>
                <w:sz w:val="18"/>
                <w:szCs w:val="18"/>
                <w:lang w:eastAsia="en-US"/>
              </w:rPr>
              <w:t>II</w:t>
            </w:r>
            <w:r>
              <w:rPr>
                <w:rFonts w:ascii="Times New Roman" w:hAnsi="Times New Roman"/>
                <w:kern w:val="0"/>
                <w:sz w:val="18"/>
                <w:szCs w:val="18"/>
                <w:lang w:eastAsia="en-US"/>
              </w:rPr>
              <w:t>I</w:t>
            </w:r>
            <w:r>
              <w:rPr>
                <w:rFonts w:ascii="Times New Roman" w:hAnsi="Times New Roman"/>
                <w:spacing w:val="-54"/>
                <w:kern w:val="0"/>
                <w:sz w:val="18"/>
                <w:szCs w:val="18"/>
                <w:lang w:eastAsia="en-US"/>
              </w:rPr>
              <w:t xml:space="preserve"> </w:t>
            </w:r>
            <w:r>
              <w:rPr>
                <w:rFonts w:ascii="Times New Roman" w:hAnsi="Times New Roman"/>
                <w:kern w:val="0"/>
                <w:sz w:val="18"/>
                <w:szCs w:val="18"/>
                <w:lang w:eastAsia="en-US"/>
              </w:rPr>
              <w:t>级</w:t>
            </w:r>
          </w:p>
        </w:tc>
        <w:tc>
          <w:tcPr>
            <w:tcW w:w="1887" w:type="pct"/>
            <w:tcBorders>
              <w:top w:val="single" w:color="000000" w:sz="4" w:space="0"/>
              <w:left w:val="single" w:color="000000" w:sz="4" w:space="0"/>
              <w:bottom w:val="single" w:color="000000" w:sz="4" w:space="0"/>
              <w:right w:val="single" w:color="000000" w:sz="4" w:space="0"/>
            </w:tcBorders>
            <w:vAlign w:val="center"/>
          </w:tcPr>
          <w:p>
            <w:pPr>
              <w:spacing w:line="229" w:lineRule="exact"/>
              <w:rPr>
                <w:rFonts w:ascii="Times New Roman" w:hAnsi="Times New Roman"/>
                <w:kern w:val="0"/>
                <w:sz w:val="18"/>
                <w:szCs w:val="18"/>
                <w:lang w:eastAsia="zh-CN"/>
              </w:rPr>
            </w:pPr>
            <w:r>
              <w:rPr>
                <w:rFonts w:ascii="Times New Roman" w:hAnsi="Times New Roman"/>
                <w:kern w:val="0"/>
                <w:sz w:val="18"/>
                <w:szCs w:val="18"/>
                <w:lang w:eastAsia="zh-CN"/>
              </w:rPr>
              <w:t>苯、溴甲烷、1，3-丁二烯、1，2-二氯乙烷、1，2-环氧丙烷、 氧化苯乙烯、邻甲苯胺、三氯乙 烯、氯乙烯</w:t>
            </w:r>
          </w:p>
        </w:tc>
        <w:tc>
          <w:tcPr>
            <w:tcW w:w="917" w:type="pct"/>
            <w:tcBorders>
              <w:top w:val="single" w:color="000000" w:sz="4" w:space="0"/>
              <w:left w:val="single" w:color="000000" w:sz="4" w:space="0"/>
              <w:bottom w:val="single" w:color="000000" w:sz="4" w:space="0"/>
              <w:right w:val="single" w:color="000000" w:sz="4" w:space="0"/>
            </w:tcBorders>
            <w:vAlign w:val="center"/>
          </w:tcPr>
          <w:p>
            <w:pPr>
              <w:spacing w:line="229" w:lineRule="exact"/>
              <w:jc w:val="center"/>
              <w:rPr>
                <w:rFonts w:ascii="Times New Roman" w:hAnsi="Times New Roman"/>
                <w:kern w:val="0"/>
                <w:sz w:val="18"/>
                <w:szCs w:val="18"/>
                <w:lang w:eastAsia="zh-CN"/>
              </w:rPr>
            </w:pPr>
            <w:r>
              <w:rPr>
                <w:rFonts w:ascii="Times New Roman" w:hAnsi="Times New Roman"/>
                <w:kern w:val="0"/>
                <w:sz w:val="18"/>
                <w:szCs w:val="18"/>
                <w:lang w:eastAsia="zh-CN"/>
              </w:rPr>
              <w:t>1</w:t>
            </w:r>
          </w:p>
        </w:tc>
        <w:tc>
          <w:tcPr>
            <w:tcW w:w="797" w:type="pct"/>
            <w:tcBorders>
              <w:top w:val="single" w:color="000000" w:sz="4" w:space="0"/>
              <w:left w:val="single" w:color="000000" w:sz="4" w:space="0"/>
              <w:bottom w:val="single" w:color="000000" w:sz="4" w:space="0"/>
              <w:right w:val="single" w:color="000000" w:sz="4" w:space="0"/>
            </w:tcBorders>
            <w:vAlign w:val="center"/>
          </w:tcPr>
          <w:p>
            <w:pPr>
              <w:spacing w:line="229" w:lineRule="exact"/>
              <w:jc w:val="center"/>
              <w:rPr>
                <w:rFonts w:ascii="Times New Roman" w:hAnsi="Times New Roman"/>
                <w:kern w:val="0"/>
                <w:sz w:val="18"/>
                <w:szCs w:val="18"/>
                <w:lang w:eastAsia="zh-CN"/>
              </w:rPr>
            </w:pPr>
            <w:r>
              <w:rPr>
                <w:rFonts w:ascii="Times New Roman" w:hAnsi="Times New Roman"/>
                <w:kern w:val="0"/>
                <w:sz w:val="18"/>
                <w:szCs w:val="18"/>
                <w:lang w:eastAsia="zh-CN"/>
              </w:rPr>
              <w:t>2.5 g/h</w:t>
            </w:r>
          </w:p>
        </w:tc>
      </w:tr>
      <w:tr>
        <w:tblPrEx>
          <w:tblCellMar>
            <w:top w:w="0" w:type="dxa"/>
            <w:left w:w="0" w:type="dxa"/>
            <w:bottom w:w="0" w:type="dxa"/>
            <w:right w:w="0" w:type="dxa"/>
          </w:tblCellMar>
        </w:tblPrEx>
        <w:trPr>
          <w:trHeight w:val="20" w:hRule="atLeast"/>
        </w:trPr>
        <w:tc>
          <w:tcPr>
            <w:tcW w:w="843" w:type="pct"/>
            <w:vMerge w:val="continue"/>
            <w:tcBorders>
              <w:top w:val="single" w:color="auto" w:sz="4" w:space="0"/>
              <w:left w:val="single" w:color="auto" w:sz="4" w:space="0"/>
              <w:bottom w:val="single" w:color="auto" w:sz="4" w:space="0"/>
              <w:right w:val="single" w:color="auto" w:sz="4" w:space="0"/>
            </w:tcBorders>
          </w:tcPr>
          <w:p>
            <w:pPr>
              <w:jc w:val="left"/>
              <w:rPr>
                <w:rFonts w:ascii="Times New Roman" w:hAnsi="Times New Roman"/>
                <w:kern w:val="0"/>
                <w:sz w:val="18"/>
                <w:szCs w:val="18"/>
                <w:lang w:eastAsia="en-US"/>
              </w:rPr>
            </w:pPr>
          </w:p>
        </w:tc>
        <w:tc>
          <w:tcPr>
            <w:tcW w:w="555" w:type="pct"/>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kern w:val="0"/>
                <w:sz w:val="18"/>
                <w:szCs w:val="18"/>
                <w:lang w:eastAsia="en-US"/>
              </w:rPr>
            </w:pPr>
            <w:r>
              <w:rPr>
                <w:rFonts w:hint="eastAsia" w:ascii="Times New Roman" w:hAnsi="Times New Roman"/>
                <w:kern w:val="0"/>
                <w:sz w:val="18"/>
                <w:szCs w:val="18"/>
                <w:lang w:eastAsia="zh-CN"/>
              </w:rPr>
              <w:t>/</w:t>
            </w:r>
          </w:p>
        </w:tc>
        <w:tc>
          <w:tcPr>
            <w:tcW w:w="1887" w:type="pct"/>
            <w:tcBorders>
              <w:top w:val="single" w:color="000000" w:sz="4" w:space="0"/>
              <w:left w:val="single" w:color="000000" w:sz="4" w:space="0"/>
              <w:bottom w:val="single" w:color="000000" w:sz="4" w:space="0"/>
              <w:right w:val="single" w:color="000000" w:sz="4" w:space="0"/>
            </w:tcBorders>
            <w:vAlign w:val="center"/>
          </w:tcPr>
          <w:p>
            <w:pPr>
              <w:spacing w:line="231" w:lineRule="exact"/>
              <w:rPr>
                <w:rFonts w:ascii="Times New Roman" w:hAnsi="Times New Roman"/>
                <w:kern w:val="0"/>
                <w:sz w:val="18"/>
                <w:szCs w:val="18"/>
                <w:lang w:eastAsia="zh-CN"/>
              </w:rPr>
            </w:pPr>
            <w:r>
              <w:rPr>
                <w:rFonts w:ascii="Times New Roman" w:hAnsi="Times New Roman"/>
                <w:kern w:val="0"/>
                <w:sz w:val="18"/>
                <w:szCs w:val="18"/>
                <w:lang w:eastAsia="zh-CN"/>
              </w:rPr>
              <w:t>石棉纤维</w:t>
            </w:r>
          </w:p>
        </w:tc>
        <w:tc>
          <w:tcPr>
            <w:tcW w:w="917" w:type="pct"/>
            <w:tcBorders>
              <w:top w:val="single" w:color="000000" w:sz="4" w:space="0"/>
              <w:left w:val="single" w:color="000000" w:sz="4" w:space="0"/>
              <w:bottom w:val="single" w:color="000000" w:sz="4" w:space="0"/>
              <w:right w:val="single" w:color="000000" w:sz="4" w:space="0"/>
            </w:tcBorders>
            <w:vAlign w:val="center"/>
          </w:tcPr>
          <w:p>
            <w:pPr>
              <w:spacing w:line="231" w:lineRule="exact"/>
              <w:jc w:val="center"/>
              <w:rPr>
                <w:rFonts w:ascii="Times New Roman" w:hAnsi="Times New Roman"/>
                <w:kern w:val="0"/>
                <w:sz w:val="18"/>
                <w:szCs w:val="18"/>
                <w:lang w:eastAsia="zh-CN"/>
              </w:rPr>
            </w:pPr>
            <w:r>
              <w:rPr>
                <w:rFonts w:ascii="Times New Roman" w:hAnsi="Times New Roman"/>
                <w:kern w:val="0"/>
                <w:sz w:val="18"/>
                <w:szCs w:val="18"/>
                <w:lang w:eastAsia="zh-CN"/>
              </w:rPr>
              <w:t>10000 根纤维/m</w:t>
            </w:r>
            <w:r>
              <w:rPr>
                <w:rFonts w:ascii="Times New Roman" w:hAnsi="Times New Roman"/>
                <w:kern w:val="0"/>
                <w:sz w:val="18"/>
                <w:szCs w:val="18"/>
                <w:vertAlign w:val="superscript"/>
                <w:lang w:eastAsia="zh-CN"/>
              </w:rPr>
              <w:t>3</w:t>
            </w:r>
          </w:p>
        </w:tc>
        <w:tc>
          <w:tcPr>
            <w:tcW w:w="797"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kern w:val="0"/>
                <w:sz w:val="18"/>
                <w:szCs w:val="18"/>
                <w:lang w:eastAsia="zh-CN"/>
              </w:rPr>
            </w:pPr>
            <w:r>
              <w:rPr>
                <w:rFonts w:hint="eastAsia" w:ascii="Times New Roman" w:hAnsi="Times New Roman"/>
                <w:kern w:val="0"/>
                <w:sz w:val="18"/>
                <w:szCs w:val="18"/>
                <w:lang w:eastAsia="zh-CN"/>
              </w:rPr>
              <w:t>/</w:t>
            </w:r>
          </w:p>
        </w:tc>
      </w:tr>
      <w:tr>
        <w:tblPrEx>
          <w:tblCellMar>
            <w:top w:w="0" w:type="dxa"/>
            <w:left w:w="0" w:type="dxa"/>
            <w:bottom w:w="0" w:type="dxa"/>
            <w:right w:w="0" w:type="dxa"/>
          </w:tblCellMar>
        </w:tblPrEx>
        <w:trPr>
          <w:trHeight w:val="20" w:hRule="atLeast"/>
        </w:trPr>
        <w:tc>
          <w:tcPr>
            <w:tcW w:w="843" w:type="pct"/>
            <w:vMerge w:val="continue"/>
            <w:tcBorders>
              <w:top w:val="single" w:color="auto" w:sz="4" w:space="0"/>
              <w:left w:val="single" w:color="auto" w:sz="4" w:space="0"/>
              <w:bottom w:val="single" w:color="auto" w:sz="4" w:space="0"/>
              <w:right w:val="single" w:color="auto" w:sz="4" w:space="0"/>
            </w:tcBorders>
          </w:tcPr>
          <w:p>
            <w:pPr>
              <w:jc w:val="left"/>
              <w:rPr>
                <w:rFonts w:ascii="Times New Roman" w:hAnsi="Times New Roman"/>
                <w:kern w:val="0"/>
                <w:sz w:val="18"/>
                <w:szCs w:val="18"/>
                <w:lang w:eastAsia="en-US"/>
              </w:rPr>
            </w:pPr>
          </w:p>
        </w:tc>
        <w:tc>
          <w:tcPr>
            <w:tcW w:w="555" w:type="pct"/>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kern w:val="0"/>
                <w:sz w:val="18"/>
                <w:szCs w:val="18"/>
                <w:lang w:eastAsia="en-US"/>
              </w:rPr>
            </w:pPr>
            <w:r>
              <w:rPr>
                <w:rFonts w:hint="eastAsia" w:ascii="Times New Roman" w:hAnsi="Times New Roman"/>
                <w:kern w:val="0"/>
                <w:sz w:val="18"/>
                <w:szCs w:val="18"/>
                <w:lang w:eastAsia="zh-CN"/>
              </w:rPr>
              <w:t>/</w:t>
            </w:r>
          </w:p>
        </w:tc>
        <w:tc>
          <w:tcPr>
            <w:tcW w:w="1887" w:type="pct"/>
            <w:tcBorders>
              <w:top w:val="single" w:color="000000" w:sz="4" w:space="0"/>
              <w:left w:val="single" w:color="000000" w:sz="4" w:space="0"/>
              <w:bottom w:val="single" w:color="000000" w:sz="4" w:space="0"/>
              <w:right w:val="single" w:color="000000" w:sz="4" w:space="0"/>
            </w:tcBorders>
            <w:vAlign w:val="center"/>
          </w:tcPr>
          <w:p>
            <w:pPr>
              <w:spacing w:line="229" w:lineRule="exact"/>
              <w:rPr>
                <w:rFonts w:ascii="Times New Roman" w:hAnsi="Times New Roman"/>
                <w:kern w:val="0"/>
                <w:sz w:val="18"/>
                <w:szCs w:val="18"/>
                <w:lang w:eastAsia="zh-CN"/>
              </w:rPr>
            </w:pPr>
            <w:r>
              <w:rPr>
                <w:rFonts w:ascii="Times New Roman" w:hAnsi="Times New Roman"/>
                <w:kern w:val="0"/>
                <w:sz w:val="18"/>
                <w:szCs w:val="18"/>
                <w:lang w:eastAsia="zh-CN"/>
              </w:rPr>
              <w:t>陶瓷纤维</w:t>
            </w:r>
          </w:p>
        </w:tc>
        <w:tc>
          <w:tcPr>
            <w:tcW w:w="917" w:type="pct"/>
            <w:tcBorders>
              <w:top w:val="single" w:color="000000" w:sz="4" w:space="0"/>
              <w:left w:val="single" w:color="000000" w:sz="4" w:space="0"/>
              <w:bottom w:val="single" w:color="000000" w:sz="4" w:space="0"/>
              <w:right w:val="single" w:color="000000" w:sz="4" w:space="0"/>
            </w:tcBorders>
            <w:vAlign w:val="center"/>
          </w:tcPr>
          <w:p>
            <w:pPr>
              <w:spacing w:line="229" w:lineRule="exact"/>
              <w:jc w:val="center"/>
              <w:rPr>
                <w:rFonts w:ascii="Times New Roman" w:hAnsi="Times New Roman"/>
                <w:kern w:val="0"/>
                <w:sz w:val="18"/>
                <w:szCs w:val="18"/>
                <w:lang w:eastAsia="zh-CN"/>
              </w:rPr>
            </w:pPr>
            <w:r>
              <w:rPr>
                <w:rFonts w:ascii="Times New Roman" w:hAnsi="Times New Roman"/>
                <w:kern w:val="0"/>
                <w:sz w:val="18"/>
                <w:szCs w:val="18"/>
                <w:lang w:eastAsia="zh-CN"/>
              </w:rPr>
              <w:t>15000 根纤维/m</w:t>
            </w:r>
            <w:r>
              <w:rPr>
                <w:rFonts w:ascii="Times New Roman" w:hAnsi="Times New Roman"/>
                <w:kern w:val="0"/>
                <w:sz w:val="18"/>
                <w:szCs w:val="18"/>
                <w:vertAlign w:val="superscript"/>
                <w:lang w:eastAsia="zh-CN"/>
              </w:rPr>
              <w:t>3</w:t>
            </w:r>
          </w:p>
        </w:tc>
        <w:tc>
          <w:tcPr>
            <w:tcW w:w="797"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kern w:val="0"/>
                <w:sz w:val="18"/>
                <w:szCs w:val="18"/>
                <w:lang w:eastAsia="zh-CN"/>
              </w:rPr>
            </w:pPr>
            <w:r>
              <w:rPr>
                <w:rFonts w:hint="eastAsia" w:ascii="Times New Roman" w:hAnsi="Times New Roman"/>
                <w:kern w:val="0"/>
                <w:sz w:val="18"/>
                <w:szCs w:val="18"/>
                <w:lang w:eastAsia="zh-CN"/>
              </w:rPr>
              <w:t>/</w:t>
            </w:r>
          </w:p>
        </w:tc>
      </w:tr>
      <w:tr>
        <w:trPr>
          <w:trHeight w:val="20" w:hRule="atLeast"/>
        </w:trPr>
        <w:tc>
          <w:tcPr>
            <w:tcW w:w="843" w:type="pct"/>
            <w:vMerge w:val="continue"/>
            <w:tcBorders>
              <w:top w:val="single" w:color="auto" w:sz="4" w:space="0"/>
              <w:left w:val="single" w:color="auto" w:sz="4" w:space="0"/>
              <w:bottom w:val="single" w:color="auto" w:sz="4" w:space="0"/>
              <w:right w:val="single" w:color="auto" w:sz="4" w:space="0"/>
            </w:tcBorders>
          </w:tcPr>
          <w:p>
            <w:pPr>
              <w:jc w:val="left"/>
              <w:rPr>
                <w:rFonts w:ascii="Times New Roman" w:hAnsi="Times New Roman"/>
                <w:kern w:val="0"/>
                <w:sz w:val="18"/>
                <w:szCs w:val="18"/>
                <w:lang w:eastAsia="en-US"/>
              </w:rPr>
            </w:pPr>
          </w:p>
        </w:tc>
        <w:tc>
          <w:tcPr>
            <w:tcW w:w="555" w:type="pct"/>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kern w:val="0"/>
                <w:sz w:val="18"/>
                <w:szCs w:val="18"/>
                <w:lang w:eastAsia="zh-CN"/>
              </w:rPr>
            </w:pPr>
            <w:r>
              <w:rPr>
                <w:rFonts w:hint="eastAsia" w:ascii="Times New Roman" w:hAnsi="Times New Roman"/>
                <w:kern w:val="0"/>
                <w:sz w:val="18"/>
                <w:szCs w:val="18"/>
                <w:lang w:eastAsia="zh-CN"/>
              </w:rPr>
              <w:t>/</w:t>
            </w:r>
          </w:p>
        </w:tc>
        <w:tc>
          <w:tcPr>
            <w:tcW w:w="1887" w:type="pct"/>
            <w:tcBorders>
              <w:top w:val="single" w:color="000000" w:sz="4" w:space="0"/>
              <w:left w:val="single" w:color="000000" w:sz="4" w:space="0"/>
              <w:bottom w:val="single" w:color="000000" w:sz="4" w:space="0"/>
              <w:right w:val="single" w:color="000000" w:sz="4" w:space="0"/>
            </w:tcBorders>
            <w:vAlign w:val="center"/>
          </w:tcPr>
          <w:p>
            <w:pPr>
              <w:spacing w:line="229" w:lineRule="exact"/>
              <w:jc w:val="center"/>
              <w:rPr>
                <w:rFonts w:ascii="Times New Roman" w:hAnsi="Times New Roman"/>
                <w:kern w:val="0"/>
                <w:sz w:val="18"/>
                <w:szCs w:val="18"/>
                <w:lang w:eastAsia="zh-CN"/>
              </w:rPr>
            </w:pPr>
            <w:r>
              <w:rPr>
                <w:rFonts w:ascii="Times New Roman" w:hAnsi="Times New Roman"/>
                <w:kern w:val="0"/>
                <w:sz w:val="18"/>
                <w:szCs w:val="18"/>
                <w:lang w:eastAsia="zh-CN"/>
              </w:rPr>
              <w:t>合成矿物纤维</w:t>
            </w:r>
          </w:p>
        </w:tc>
        <w:tc>
          <w:tcPr>
            <w:tcW w:w="917" w:type="pct"/>
            <w:tcBorders>
              <w:top w:val="single" w:color="000000" w:sz="4" w:space="0"/>
              <w:left w:val="single" w:color="000000" w:sz="4" w:space="0"/>
              <w:bottom w:val="single" w:color="000000" w:sz="4" w:space="0"/>
              <w:right w:val="single" w:color="000000" w:sz="4" w:space="0"/>
            </w:tcBorders>
            <w:vAlign w:val="center"/>
          </w:tcPr>
          <w:p>
            <w:pPr>
              <w:spacing w:line="229" w:lineRule="exact"/>
              <w:jc w:val="center"/>
              <w:rPr>
                <w:rFonts w:ascii="Times New Roman" w:hAnsi="Times New Roman"/>
                <w:kern w:val="0"/>
                <w:sz w:val="18"/>
                <w:szCs w:val="18"/>
                <w:lang w:eastAsia="zh-CN"/>
              </w:rPr>
            </w:pPr>
            <w:r>
              <w:rPr>
                <w:rFonts w:ascii="Times New Roman" w:hAnsi="Times New Roman"/>
                <w:kern w:val="0"/>
                <w:sz w:val="18"/>
                <w:szCs w:val="18"/>
                <w:lang w:eastAsia="zh-CN"/>
              </w:rPr>
              <w:t>50000 根纤维</w:t>
            </w:r>
          </w:p>
          <w:p>
            <w:pPr>
              <w:spacing w:line="259" w:lineRule="exact"/>
              <w:jc w:val="center"/>
              <w:rPr>
                <w:rFonts w:ascii="Times New Roman" w:hAnsi="Times New Roman"/>
                <w:kern w:val="0"/>
                <w:sz w:val="18"/>
                <w:szCs w:val="18"/>
                <w:lang w:eastAsia="zh-CN"/>
              </w:rPr>
            </w:pPr>
            <w:r>
              <w:rPr>
                <w:rFonts w:ascii="Times New Roman" w:hAnsi="Times New Roman"/>
                <w:kern w:val="0"/>
                <w:sz w:val="18"/>
                <w:szCs w:val="18"/>
                <w:lang w:eastAsia="zh-CN"/>
              </w:rPr>
              <w:t>/m</w:t>
            </w:r>
            <w:r>
              <w:rPr>
                <w:rFonts w:ascii="Times New Roman" w:hAnsi="Times New Roman"/>
                <w:kern w:val="0"/>
                <w:sz w:val="18"/>
                <w:szCs w:val="18"/>
                <w:vertAlign w:val="superscript"/>
                <w:lang w:eastAsia="zh-CN"/>
              </w:rPr>
              <w:t>3</w:t>
            </w:r>
          </w:p>
        </w:tc>
        <w:tc>
          <w:tcPr>
            <w:tcW w:w="797"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kern w:val="0"/>
                <w:sz w:val="18"/>
                <w:szCs w:val="18"/>
                <w:lang w:eastAsia="zh-CN"/>
              </w:rPr>
            </w:pPr>
            <w:r>
              <w:rPr>
                <w:rFonts w:hint="eastAsia" w:ascii="Times New Roman" w:hAnsi="Times New Roman"/>
                <w:kern w:val="0"/>
                <w:sz w:val="18"/>
                <w:szCs w:val="18"/>
                <w:lang w:eastAsia="zh-CN"/>
              </w:rPr>
              <w:t>/</w:t>
            </w:r>
          </w:p>
        </w:tc>
      </w:tr>
      <w:tr>
        <w:trPr>
          <w:trHeight w:val="20" w:hRule="atLeast"/>
        </w:trPr>
        <w:tc>
          <w:tcPr>
            <w:tcW w:w="843" w:type="pct"/>
            <w:vMerge w:val="continue"/>
            <w:tcBorders>
              <w:top w:val="single" w:color="auto" w:sz="4" w:space="0"/>
              <w:left w:val="single" w:color="auto" w:sz="4" w:space="0"/>
              <w:bottom w:val="single" w:color="auto" w:sz="4" w:space="0"/>
              <w:right w:val="single" w:color="auto" w:sz="4" w:space="0"/>
            </w:tcBorders>
          </w:tcPr>
          <w:p>
            <w:pPr>
              <w:jc w:val="left"/>
              <w:rPr>
                <w:rFonts w:ascii="Times New Roman" w:hAnsi="Times New Roman"/>
                <w:kern w:val="0"/>
                <w:sz w:val="18"/>
                <w:szCs w:val="18"/>
                <w:lang w:eastAsia="en-US"/>
              </w:rPr>
            </w:pPr>
          </w:p>
        </w:tc>
        <w:tc>
          <w:tcPr>
            <w:tcW w:w="4157" w:type="pct"/>
            <w:gridSpan w:val="4"/>
            <w:tcBorders>
              <w:top w:val="single" w:color="000000" w:sz="4" w:space="0"/>
              <w:left w:val="single" w:color="auto" w:sz="4" w:space="0"/>
              <w:bottom w:val="single" w:color="000000" w:sz="4" w:space="0"/>
              <w:right w:val="single" w:color="000000" w:sz="4" w:space="0"/>
            </w:tcBorders>
            <w:vAlign w:val="center"/>
          </w:tcPr>
          <w:p>
            <w:pPr>
              <w:spacing w:line="229" w:lineRule="exact"/>
              <w:jc w:val="center"/>
              <w:rPr>
                <w:rFonts w:ascii="Times New Roman" w:hAnsi="Times New Roman"/>
                <w:kern w:val="0"/>
                <w:sz w:val="18"/>
                <w:szCs w:val="18"/>
                <w:lang w:eastAsia="zh-CN"/>
              </w:rPr>
            </w:pPr>
            <w:r>
              <w:rPr>
                <w:rFonts w:ascii="Times New Roman" w:hAnsi="Times New Roman"/>
                <w:kern w:val="0"/>
                <w:sz w:val="18"/>
                <w:szCs w:val="18"/>
                <w:lang w:eastAsia="zh-CN"/>
              </w:rPr>
              <w:t>I+II 不能超过 II 级；II+III、I+III、I+II+III 不能超过 III 级；</w:t>
            </w:r>
          </w:p>
        </w:tc>
      </w:tr>
      <w:tr>
        <w:trPr>
          <w:trHeight w:val="20" w:hRule="atLeast"/>
        </w:trPr>
        <w:tc>
          <w:tcPr>
            <w:tcW w:w="3285" w:type="pct"/>
            <w:gridSpan w:val="3"/>
            <w:tcBorders>
              <w:top w:val="single" w:color="000000" w:sz="4" w:space="0"/>
              <w:left w:val="single" w:color="000000" w:sz="4" w:space="0"/>
              <w:bottom w:val="single" w:color="000000" w:sz="4" w:space="0"/>
              <w:right w:val="single" w:color="000000" w:sz="4" w:space="0"/>
            </w:tcBorders>
            <w:vAlign w:val="center"/>
          </w:tcPr>
          <w:p>
            <w:pPr>
              <w:spacing w:line="229" w:lineRule="exact"/>
              <w:jc w:val="center"/>
              <w:rPr>
                <w:rFonts w:ascii="Times New Roman" w:hAnsi="Times New Roman"/>
                <w:kern w:val="0"/>
                <w:sz w:val="18"/>
                <w:szCs w:val="18"/>
                <w:lang w:eastAsia="zh-CN"/>
              </w:rPr>
            </w:pPr>
            <w:r>
              <w:rPr>
                <w:rFonts w:ascii="Times New Roman" w:hAnsi="Times New Roman"/>
                <w:kern w:val="0"/>
                <w:sz w:val="18"/>
                <w:szCs w:val="18"/>
                <w:lang w:eastAsia="zh-CN"/>
              </w:rPr>
              <w:t>致突变物质</w:t>
            </w:r>
          </w:p>
        </w:tc>
        <w:tc>
          <w:tcPr>
            <w:tcW w:w="917" w:type="pct"/>
            <w:tcBorders>
              <w:top w:val="single" w:color="000000" w:sz="4" w:space="0"/>
              <w:left w:val="single" w:color="000000" w:sz="4" w:space="0"/>
              <w:bottom w:val="single" w:color="000000" w:sz="4" w:space="0"/>
              <w:right w:val="single" w:color="000000" w:sz="4" w:space="0"/>
            </w:tcBorders>
            <w:vAlign w:val="center"/>
          </w:tcPr>
          <w:p>
            <w:pPr>
              <w:spacing w:line="229" w:lineRule="exact"/>
              <w:jc w:val="center"/>
              <w:rPr>
                <w:rFonts w:ascii="Times New Roman" w:hAnsi="Times New Roman"/>
                <w:kern w:val="0"/>
                <w:sz w:val="18"/>
                <w:szCs w:val="18"/>
                <w:lang w:eastAsia="zh-CN"/>
              </w:rPr>
            </w:pPr>
            <w:r>
              <w:rPr>
                <w:rFonts w:ascii="Times New Roman" w:hAnsi="Times New Roman"/>
                <w:kern w:val="0"/>
                <w:sz w:val="18"/>
                <w:szCs w:val="18"/>
                <w:lang w:eastAsia="zh-CN"/>
              </w:rPr>
              <w:t>0.05</w:t>
            </w:r>
          </w:p>
        </w:tc>
        <w:tc>
          <w:tcPr>
            <w:tcW w:w="797" w:type="pct"/>
            <w:tcBorders>
              <w:top w:val="single" w:color="000000" w:sz="4" w:space="0"/>
              <w:left w:val="single" w:color="000000" w:sz="4" w:space="0"/>
              <w:bottom w:val="single" w:color="000000" w:sz="4" w:space="0"/>
              <w:right w:val="single" w:color="000000" w:sz="4" w:space="0"/>
            </w:tcBorders>
            <w:vAlign w:val="center"/>
          </w:tcPr>
          <w:p>
            <w:pPr>
              <w:spacing w:line="229" w:lineRule="exact"/>
              <w:jc w:val="center"/>
              <w:rPr>
                <w:rFonts w:ascii="Times New Roman" w:hAnsi="Times New Roman"/>
                <w:kern w:val="0"/>
                <w:sz w:val="18"/>
                <w:szCs w:val="18"/>
                <w:lang w:eastAsia="zh-CN"/>
              </w:rPr>
            </w:pPr>
            <w:r>
              <w:rPr>
                <w:rFonts w:ascii="Times New Roman" w:hAnsi="Times New Roman"/>
                <w:kern w:val="0"/>
                <w:sz w:val="18"/>
                <w:szCs w:val="18"/>
                <w:lang w:eastAsia="zh-CN"/>
              </w:rPr>
              <w:t>0.15 g/h</w:t>
            </w:r>
          </w:p>
        </w:tc>
      </w:tr>
      <w:tr>
        <w:trPr>
          <w:trHeight w:val="20" w:hRule="atLeast"/>
        </w:trPr>
        <w:tc>
          <w:tcPr>
            <w:tcW w:w="3285" w:type="pct"/>
            <w:gridSpan w:val="3"/>
            <w:tcBorders>
              <w:top w:val="single" w:color="000000" w:sz="4" w:space="0"/>
              <w:left w:val="single" w:color="000000" w:sz="4" w:space="0"/>
              <w:bottom w:val="single" w:color="000000" w:sz="4" w:space="0"/>
              <w:right w:val="single" w:color="000000" w:sz="4" w:space="0"/>
            </w:tcBorders>
            <w:vAlign w:val="center"/>
          </w:tcPr>
          <w:p>
            <w:pPr>
              <w:spacing w:line="229" w:lineRule="exact"/>
              <w:jc w:val="center"/>
              <w:rPr>
                <w:rFonts w:ascii="Times New Roman" w:hAnsi="Times New Roman"/>
                <w:kern w:val="0"/>
                <w:sz w:val="18"/>
                <w:szCs w:val="18"/>
                <w:lang w:eastAsia="zh-CN"/>
              </w:rPr>
            </w:pPr>
            <w:r>
              <w:rPr>
                <w:rFonts w:ascii="Times New Roman" w:hAnsi="Times New Roman"/>
                <w:kern w:val="0"/>
                <w:sz w:val="18"/>
                <w:szCs w:val="18"/>
                <w:lang w:eastAsia="zh-CN"/>
              </w:rPr>
              <w:t>二恶英和呋喃类</w:t>
            </w:r>
          </w:p>
        </w:tc>
        <w:tc>
          <w:tcPr>
            <w:tcW w:w="917" w:type="pct"/>
            <w:tcBorders>
              <w:top w:val="single" w:color="000000" w:sz="4" w:space="0"/>
              <w:left w:val="single" w:color="000000" w:sz="4" w:space="0"/>
              <w:bottom w:val="single" w:color="000000" w:sz="4" w:space="0"/>
              <w:right w:val="single" w:color="000000" w:sz="4" w:space="0"/>
            </w:tcBorders>
            <w:vAlign w:val="center"/>
          </w:tcPr>
          <w:p>
            <w:pPr>
              <w:spacing w:line="229" w:lineRule="exact"/>
              <w:jc w:val="center"/>
              <w:rPr>
                <w:rFonts w:ascii="Times New Roman" w:hAnsi="Times New Roman"/>
                <w:kern w:val="0"/>
                <w:sz w:val="18"/>
                <w:szCs w:val="18"/>
                <w:lang w:eastAsia="zh-CN"/>
              </w:rPr>
            </w:pPr>
            <w:r>
              <w:rPr>
                <w:rFonts w:ascii="Times New Roman" w:hAnsi="Times New Roman"/>
                <w:kern w:val="0"/>
                <w:sz w:val="18"/>
                <w:szCs w:val="18"/>
                <w:lang w:eastAsia="zh-CN"/>
              </w:rPr>
              <w:t>0.1 ng/m</w:t>
            </w:r>
            <w:r>
              <w:rPr>
                <w:rFonts w:ascii="Times New Roman" w:hAnsi="Times New Roman"/>
                <w:kern w:val="0"/>
                <w:sz w:val="18"/>
                <w:szCs w:val="18"/>
                <w:vertAlign w:val="superscript"/>
                <w:lang w:eastAsia="zh-CN"/>
              </w:rPr>
              <w:t>3</w:t>
            </w:r>
          </w:p>
        </w:tc>
        <w:tc>
          <w:tcPr>
            <w:tcW w:w="797" w:type="pct"/>
            <w:tcBorders>
              <w:top w:val="single" w:color="000000" w:sz="4" w:space="0"/>
              <w:left w:val="single" w:color="000000" w:sz="4" w:space="0"/>
              <w:bottom w:val="single" w:color="000000" w:sz="4" w:space="0"/>
              <w:right w:val="single" w:color="000000" w:sz="4" w:space="0"/>
            </w:tcBorders>
            <w:vAlign w:val="center"/>
          </w:tcPr>
          <w:p>
            <w:pPr>
              <w:spacing w:line="229" w:lineRule="exact"/>
              <w:jc w:val="center"/>
              <w:rPr>
                <w:rFonts w:ascii="Times New Roman" w:hAnsi="Times New Roman"/>
                <w:kern w:val="0"/>
                <w:sz w:val="18"/>
                <w:szCs w:val="18"/>
                <w:lang w:eastAsia="zh-CN"/>
              </w:rPr>
            </w:pPr>
            <w:r>
              <w:rPr>
                <w:rFonts w:ascii="Times New Roman" w:hAnsi="Times New Roman"/>
                <w:kern w:val="0"/>
                <w:sz w:val="18"/>
                <w:szCs w:val="18"/>
                <w:lang w:eastAsia="zh-CN"/>
              </w:rPr>
              <w:t>0.25μg/h</w:t>
            </w:r>
          </w:p>
        </w:tc>
      </w:tr>
    </w:tbl>
    <w:p>
      <w:pPr>
        <w:pStyle w:val="68"/>
        <w:rPr>
          <w:rFonts w:cs="Times New Roman"/>
        </w:rPr>
      </w:pPr>
      <w:r>
        <w:rPr>
          <w:rFonts w:cs="Times New Roman"/>
        </w:rPr>
        <w:t>该标准中还规定了 10 个大类（51个小类）专属设施的排放要求，涉及了热量生产/采矿/能源行业（8个小类）、岩石土壤/玻璃/陶瓷/建筑材料行业（7个小类）、钢/铁/其他金属工程（14个小类）、化学品/药品/矿物油精炼（23个小类）、有机物表面处理/条型塑料生产/树脂塑料加工（6个小类）、木材/纸浆（3个小类）、食物/饮料/烟草/饲料/农产品（3个小类）、废物回收和处置（8个小类）、物料储存/装卸/制备、杂项（4个）。重点规定了颗粒物、CO、NOx、SOx、甲醛、致癌物质、金属、有机物（以碳计）、二恶英和呋喃、氯化氢、硫酸雾、苯、丙烯腈、己内酰胺、硫化氢、二硫化碳、氯气、汞、砷、镉、氨、苯酚、恶臭物质等。</w:t>
      </w:r>
    </w:p>
    <w:p>
      <w:pPr>
        <w:pStyle w:val="4"/>
        <w:ind w:left="0" w:firstLine="0"/>
      </w:pPr>
      <w:bookmarkStart w:id="133" w:name="_Toc26350779"/>
      <w:r>
        <w:t>欧盟</w:t>
      </w:r>
      <w:bookmarkEnd w:id="133"/>
    </w:p>
    <w:p>
      <w:pPr>
        <w:pStyle w:val="68"/>
        <w:rPr>
          <w:rFonts w:cs="Times New Roman"/>
        </w:rPr>
      </w:pPr>
      <w:r>
        <w:rPr>
          <w:rFonts w:cs="Times New Roman"/>
        </w:rPr>
        <w:t>欧盟对</w:t>
      </w:r>
      <w:r>
        <w:rPr>
          <w:rFonts w:hint="eastAsia" w:cs="Times New Roman"/>
        </w:rPr>
        <w:t>VOCs</w:t>
      </w:r>
      <w:r>
        <w:rPr>
          <w:rFonts w:cs="Times New Roman"/>
        </w:rPr>
        <w:t>的排放管理主要包括关于特定活动和设施中使用有机溶剂的</w:t>
      </w:r>
      <w:r>
        <w:rPr>
          <w:rFonts w:hint="eastAsia" w:cs="Times New Roman"/>
        </w:rPr>
        <w:t>VOCs</w:t>
      </w:r>
      <w:r>
        <w:rPr>
          <w:rFonts w:cs="Times New Roman"/>
        </w:rPr>
        <w:t>的排放限值的指令（1999/13/EC）、在装饰用涂料和油漆以及车辆清洗产品中使用有机溶剂</w:t>
      </w:r>
      <w:r>
        <w:rPr>
          <w:rFonts w:hint="eastAsia" w:cs="Times New Roman"/>
        </w:rPr>
        <w:t>VOCs</w:t>
      </w:r>
      <w:r>
        <w:rPr>
          <w:rFonts w:cs="Times New Roman"/>
        </w:rPr>
        <w:t>的排放限值的指令（2004/42/EC）、来自石油储存和终端服务站的分配过程中</w:t>
      </w:r>
      <w:r>
        <w:rPr>
          <w:rFonts w:hint="eastAsia" w:cs="Times New Roman"/>
        </w:rPr>
        <w:t>VOCs</w:t>
      </w:r>
      <w:r>
        <w:rPr>
          <w:rFonts w:cs="Times New Roman"/>
        </w:rPr>
        <w:t>的控制排放指令（94/63/EC）以及《综合污染防治指令》（IPPC）。</w:t>
      </w:r>
    </w:p>
    <w:p>
      <w:pPr>
        <w:pStyle w:val="68"/>
        <w:rPr>
          <w:rFonts w:cs="Times New Roman"/>
        </w:rPr>
      </w:pPr>
      <w:r>
        <w:rPr>
          <w:rFonts w:cs="Times New Roman"/>
        </w:rPr>
        <w:t>欧盟按照农业面源和工业点源的污染物排放控制纳入到 IPPC 中，该指令包括了 23 项条款和 4 个附件，目的是在欧盟推行统一的的排放许可证制度。一共有 6大类33小类。</w:t>
      </w:r>
    </w:p>
    <w:p>
      <w:pPr>
        <w:pStyle w:val="13"/>
        <w:spacing w:before="156" w:beforeLines="50" w:after="156" w:afterLines="50"/>
      </w:pPr>
      <w:r>
        <w:t xml:space="preserve">表 </w:t>
      </w:r>
      <w:r>
        <w:fldChar w:fldCharType="begin"/>
      </w:r>
      <w:r>
        <w:instrText xml:space="preserve"> STYLEREF 1 \s </w:instrText>
      </w:r>
      <w:r>
        <w:fldChar w:fldCharType="separate"/>
      </w:r>
      <w:r>
        <w:t>5</w:t>
      </w:r>
      <w:r>
        <w:fldChar w:fldCharType="end"/>
      </w:r>
      <w:r>
        <w:noBreakHyphen/>
      </w:r>
      <w:r>
        <w:t>11 欧盟 IPPC 指令规定需要控制的行业</w:t>
      </w:r>
    </w:p>
    <w:p>
      <w:pPr>
        <w:spacing w:before="3" w:line="70" w:lineRule="exact"/>
        <w:jc w:val="left"/>
        <w:rPr>
          <w:rFonts w:ascii="Times New Roman" w:hAnsi="Times New Roman"/>
          <w:kern w:val="0"/>
          <w:sz w:val="7"/>
          <w:szCs w:val="7"/>
        </w:rPr>
      </w:pPr>
    </w:p>
    <w:tbl>
      <w:tblPr>
        <w:tblStyle w:val="130"/>
        <w:tblW w:w="5000" w:type="pct"/>
        <w:tblInd w:w="0" w:type="dxa"/>
        <w:tblLayout w:type="autofit"/>
        <w:tblCellMar>
          <w:top w:w="0" w:type="dxa"/>
          <w:left w:w="0" w:type="dxa"/>
          <w:bottom w:w="0" w:type="dxa"/>
          <w:right w:w="0" w:type="dxa"/>
        </w:tblCellMar>
      </w:tblPr>
      <w:tblGrid>
        <w:gridCol w:w="1074"/>
        <w:gridCol w:w="3083"/>
        <w:gridCol w:w="1482"/>
        <w:gridCol w:w="2677"/>
      </w:tblGrid>
      <w:tr>
        <w:tblPrEx>
          <w:tblCellMar>
            <w:top w:w="0" w:type="dxa"/>
            <w:left w:w="0" w:type="dxa"/>
            <w:bottom w:w="0" w:type="dxa"/>
            <w:right w:w="0" w:type="dxa"/>
          </w:tblCellMar>
        </w:tblPrEx>
        <w:trPr>
          <w:trHeight w:val="350" w:hRule="exact"/>
        </w:trPr>
        <w:tc>
          <w:tcPr>
            <w:tcW w:w="646"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b/>
                <w:kern w:val="0"/>
                <w:lang w:eastAsia="en-US"/>
              </w:rPr>
            </w:pPr>
            <w:r>
              <w:rPr>
                <w:rFonts w:ascii="Times New Roman" w:hAnsi="Times New Roman"/>
                <w:b/>
                <w:kern w:val="0"/>
                <w:lang w:eastAsia="en-US"/>
              </w:rPr>
              <w:t>序号</w:t>
            </w:r>
          </w:p>
        </w:tc>
        <w:tc>
          <w:tcPr>
            <w:tcW w:w="1853"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b/>
                <w:kern w:val="0"/>
                <w:lang w:eastAsia="en-US"/>
              </w:rPr>
            </w:pPr>
            <w:r>
              <w:rPr>
                <w:rFonts w:ascii="Times New Roman" w:hAnsi="Times New Roman"/>
                <w:b/>
                <w:kern w:val="0"/>
                <w:lang w:eastAsia="en-US"/>
              </w:rPr>
              <w:t>行业</w:t>
            </w:r>
          </w:p>
        </w:tc>
        <w:tc>
          <w:tcPr>
            <w:tcW w:w="891"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b/>
                <w:kern w:val="0"/>
                <w:lang w:eastAsia="en-US"/>
              </w:rPr>
            </w:pPr>
            <w:r>
              <w:rPr>
                <w:rFonts w:ascii="Times New Roman" w:hAnsi="Times New Roman"/>
                <w:b/>
                <w:kern w:val="0"/>
                <w:lang w:eastAsia="en-US"/>
              </w:rPr>
              <w:t>序号</w:t>
            </w:r>
          </w:p>
        </w:tc>
        <w:tc>
          <w:tcPr>
            <w:tcW w:w="1609"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b/>
                <w:kern w:val="0"/>
                <w:lang w:eastAsia="en-US"/>
              </w:rPr>
            </w:pPr>
            <w:r>
              <w:rPr>
                <w:rFonts w:ascii="Times New Roman" w:hAnsi="Times New Roman"/>
                <w:b/>
                <w:kern w:val="0"/>
                <w:lang w:eastAsia="en-US"/>
              </w:rPr>
              <w:t>行业</w:t>
            </w:r>
          </w:p>
        </w:tc>
      </w:tr>
      <w:tr>
        <w:tblPrEx>
          <w:tblCellMar>
            <w:top w:w="0" w:type="dxa"/>
            <w:left w:w="0" w:type="dxa"/>
            <w:bottom w:w="0" w:type="dxa"/>
            <w:right w:w="0" w:type="dxa"/>
          </w:tblCellMar>
        </w:tblPrEx>
        <w:trPr>
          <w:trHeight w:val="350" w:hRule="exact"/>
        </w:trPr>
        <w:tc>
          <w:tcPr>
            <w:tcW w:w="646"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kern w:val="0"/>
                <w:lang w:eastAsia="en-US"/>
              </w:rPr>
            </w:pPr>
            <w:r>
              <w:rPr>
                <w:rFonts w:ascii="Times New Roman" w:hAnsi="Times New Roman"/>
                <w:kern w:val="0"/>
                <w:lang w:eastAsia="en-US"/>
              </w:rPr>
              <w:t>一</w:t>
            </w:r>
          </w:p>
        </w:tc>
        <w:tc>
          <w:tcPr>
            <w:tcW w:w="1853"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kern w:val="0"/>
                <w:lang w:eastAsia="en-US"/>
              </w:rPr>
            </w:pPr>
            <w:r>
              <w:rPr>
                <w:rFonts w:ascii="Times New Roman" w:hAnsi="Times New Roman"/>
                <w:kern w:val="0"/>
                <w:lang w:eastAsia="en-US"/>
              </w:rPr>
              <w:t>能源</w:t>
            </w:r>
            <w:r>
              <w:rPr>
                <w:rFonts w:ascii="Times New Roman" w:hAnsi="Times New Roman"/>
                <w:spacing w:val="-3"/>
                <w:kern w:val="0"/>
                <w:lang w:eastAsia="en-US"/>
              </w:rPr>
              <w:t>工</w:t>
            </w:r>
            <w:r>
              <w:rPr>
                <w:rFonts w:ascii="Times New Roman" w:hAnsi="Times New Roman"/>
                <w:kern w:val="0"/>
                <w:lang w:eastAsia="en-US"/>
              </w:rPr>
              <w:t>业</w:t>
            </w:r>
          </w:p>
        </w:tc>
        <w:tc>
          <w:tcPr>
            <w:tcW w:w="891"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kern w:val="0"/>
                <w:lang w:eastAsia="en-US"/>
              </w:rPr>
            </w:pPr>
            <w:r>
              <w:rPr>
                <w:rFonts w:ascii="Times New Roman" w:hAnsi="Times New Roman"/>
                <w:kern w:val="0"/>
                <w:lang w:eastAsia="en-US"/>
              </w:rPr>
              <w:t>17</w:t>
            </w:r>
          </w:p>
        </w:tc>
        <w:tc>
          <w:tcPr>
            <w:tcW w:w="1609"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kern w:val="0"/>
                <w:lang w:eastAsia="en-US"/>
              </w:rPr>
            </w:pPr>
            <w:r>
              <w:rPr>
                <w:rFonts w:ascii="Times New Roman" w:hAnsi="Times New Roman"/>
                <w:kern w:val="0"/>
                <w:lang w:eastAsia="en-US"/>
              </w:rPr>
              <w:t>无机</w:t>
            </w:r>
            <w:r>
              <w:rPr>
                <w:rFonts w:ascii="Times New Roman" w:hAnsi="Times New Roman"/>
                <w:spacing w:val="-3"/>
                <w:kern w:val="0"/>
                <w:lang w:eastAsia="en-US"/>
              </w:rPr>
              <w:t>化</w:t>
            </w:r>
            <w:r>
              <w:rPr>
                <w:rFonts w:ascii="Times New Roman" w:hAnsi="Times New Roman"/>
                <w:kern w:val="0"/>
                <w:lang w:eastAsia="en-US"/>
              </w:rPr>
              <w:t>工</w:t>
            </w:r>
          </w:p>
        </w:tc>
      </w:tr>
      <w:tr>
        <w:tblPrEx>
          <w:tblCellMar>
            <w:top w:w="0" w:type="dxa"/>
            <w:left w:w="0" w:type="dxa"/>
            <w:bottom w:w="0" w:type="dxa"/>
            <w:right w:w="0" w:type="dxa"/>
          </w:tblCellMar>
        </w:tblPrEx>
        <w:trPr>
          <w:trHeight w:val="350" w:hRule="exact"/>
        </w:trPr>
        <w:tc>
          <w:tcPr>
            <w:tcW w:w="646"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kern w:val="0"/>
                <w:lang w:eastAsia="en-US"/>
              </w:rPr>
            </w:pPr>
            <w:r>
              <w:rPr>
                <w:rFonts w:ascii="Times New Roman" w:hAnsi="Times New Roman"/>
                <w:kern w:val="0"/>
                <w:lang w:eastAsia="en-US"/>
              </w:rPr>
              <w:t>1</w:t>
            </w:r>
          </w:p>
        </w:tc>
        <w:tc>
          <w:tcPr>
            <w:tcW w:w="1853"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kern w:val="0"/>
                <w:lang w:eastAsia="zh-CN"/>
              </w:rPr>
            </w:pPr>
            <w:r>
              <w:rPr>
                <w:rFonts w:ascii="Times New Roman" w:hAnsi="Times New Roman"/>
                <w:kern w:val="0"/>
                <w:lang w:eastAsia="zh-CN"/>
              </w:rPr>
              <w:t>额定</w:t>
            </w:r>
            <w:r>
              <w:rPr>
                <w:rFonts w:ascii="Times New Roman" w:hAnsi="Times New Roman"/>
                <w:spacing w:val="-3"/>
                <w:kern w:val="0"/>
                <w:lang w:eastAsia="zh-CN"/>
              </w:rPr>
              <w:t>热</w:t>
            </w:r>
            <w:r>
              <w:rPr>
                <w:rFonts w:ascii="Times New Roman" w:hAnsi="Times New Roman"/>
                <w:kern w:val="0"/>
                <w:lang w:eastAsia="zh-CN"/>
              </w:rPr>
              <w:t>量</w:t>
            </w:r>
            <w:r>
              <w:rPr>
                <w:rFonts w:ascii="Times New Roman" w:hAnsi="Times New Roman"/>
                <w:spacing w:val="-3"/>
                <w:kern w:val="0"/>
                <w:lang w:eastAsia="zh-CN"/>
              </w:rPr>
              <w:t>超</w:t>
            </w:r>
            <w:r>
              <w:rPr>
                <w:rFonts w:ascii="Times New Roman" w:hAnsi="Times New Roman"/>
                <w:kern w:val="0"/>
                <w:lang w:eastAsia="zh-CN"/>
              </w:rPr>
              <w:t>过</w:t>
            </w:r>
            <w:r>
              <w:rPr>
                <w:rFonts w:ascii="Times New Roman" w:hAnsi="Times New Roman"/>
                <w:spacing w:val="-52"/>
                <w:kern w:val="0"/>
                <w:lang w:eastAsia="zh-CN"/>
              </w:rPr>
              <w:t xml:space="preserve"> </w:t>
            </w:r>
            <w:r>
              <w:rPr>
                <w:rFonts w:ascii="Times New Roman" w:hAnsi="Times New Roman"/>
                <w:spacing w:val="-3"/>
                <w:kern w:val="0"/>
                <w:lang w:eastAsia="zh-CN"/>
              </w:rPr>
              <w:t>5</w:t>
            </w:r>
            <w:r>
              <w:rPr>
                <w:rFonts w:ascii="Times New Roman" w:hAnsi="Times New Roman"/>
                <w:kern w:val="0"/>
                <w:lang w:eastAsia="zh-CN"/>
              </w:rPr>
              <w:t>0MW</w:t>
            </w:r>
            <w:r>
              <w:rPr>
                <w:rFonts w:ascii="Times New Roman" w:hAnsi="Times New Roman"/>
                <w:spacing w:val="-55"/>
                <w:kern w:val="0"/>
                <w:lang w:eastAsia="zh-CN"/>
              </w:rPr>
              <w:t xml:space="preserve"> </w:t>
            </w:r>
            <w:r>
              <w:rPr>
                <w:rFonts w:ascii="Times New Roman" w:hAnsi="Times New Roman"/>
                <w:kern w:val="0"/>
                <w:lang w:eastAsia="zh-CN"/>
              </w:rPr>
              <w:t>的</w:t>
            </w:r>
            <w:r>
              <w:rPr>
                <w:rFonts w:ascii="Times New Roman" w:hAnsi="Times New Roman"/>
                <w:spacing w:val="-3"/>
                <w:kern w:val="0"/>
                <w:lang w:eastAsia="zh-CN"/>
              </w:rPr>
              <w:t>燃烧</w:t>
            </w:r>
            <w:r>
              <w:rPr>
                <w:rFonts w:ascii="Times New Roman" w:hAnsi="Times New Roman"/>
                <w:kern w:val="0"/>
                <w:lang w:eastAsia="zh-CN"/>
              </w:rPr>
              <w:t>装置</w:t>
            </w:r>
          </w:p>
        </w:tc>
        <w:tc>
          <w:tcPr>
            <w:tcW w:w="891"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kern w:val="0"/>
                <w:lang w:eastAsia="en-US"/>
              </w:rPr>
            </w:pPr>
            <w:r>
              <w:rPr>
                <w:rFonts w:ascii="Times New Roman" w:hAnsi="Times New Roman"/>
                <w:kern w:val="0"/>
                <w:lang w:eastAsia="en-US"/>
              </w:rPr>
              <w:t>18</w:t>
            </w:r>
          </w:p>
        </w:tc>
        <w:tc>
          <w:tcPr>
            <w:tcW w:w="1609"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kern w:val="0"/>
                <w:lang w:eastAsia="en-US"/>
              </w:rPr>
            </w:pPr>
            <w:r>
              <w:rPr>
                <w:rFonts w:ascii="Times New Roman" w:hAnsi="Times New Roman"/>
                <w:kern w:val="0"/>
                <w:lang w:eastAsia="en-US"/>
              </w:rPr>
              <w:t>化肥</w:t>
            </w:r>
            <w:r>
              <w:rPr>
                <w:rFonts w:ascii="Times New Roman" w:hAnsi="Times New Roman"/>
                <w:spacing w:val="-3"/>
                <w:kern w:val="0"/>
                <w:lang w:eastAsia="en-US"/>
              </w:rPr>
              <w:t>工</w:t>
            </w:r>
            <w:r>
              <w:rPr>
                <w:rFonts w:ascii="Times New Roman" w:hAnsi="Times New Roman"/>
                <w:kern w:val="0"/>
                <w:lang w:eastAsia="en-US"/>
              </w:rPr>
              <w:t>业</w:t>
            </w:r>
          </w:p>
        </w:tc>
      </w:tr>
      <w:tr>
        <w:tblPrEx>
          <w:tblCellMar>
            <w:top w:w="0" w:type="dxa"/>
            <w:left w:w="0" w:type="dxa"/>
            <w:bottom w:w="0" w:type="dxa"/>
            <w:right w:w="0" w:type="dxa"/>
          </w:tblCellMar>
        </w:tblPrEx>
        <w:trPr>
          <w:trHeight w:val="350" w:hRule="exact"/>
        </w:trPr>
        <w:tc>
          <w:tcPr>
            <w:tcW w:w="646"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kern w:val="0"/>
                <w:lang w:eastAsia="en-US"/>
              </w:rPr>
            </w:pPr>
            <w:r>
              <w:rPr>
                <w:rFonts w:ascii="Times New Roman" w:hAnsi="Times New Roman"/>
                <w:kern w:val="0"/>
                <w:lang w:eastAsia="en-US"/>
              </w:rPr>
              <w:t>2</w:t>
            </w:r>
          </w:p>
        </w:tc>
        <w:tc>
          <w:tcPr>
            <w:tcW w:w="1853"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kern w:val="0"/>
                <w:lang w:eastAsia="en-US"/>
              </w:rPr>
            </w:pPr>
            <w:r>
              <w:rPr>
                <w:rFonts w:ascii="Times New Roman" w:hAnsi="Times New Roman"/>
                <w:kern w:val="0"/>
                <w:lang w:eastAsia="en-US"/>
              </w:rPr>
              <w:t>矿物</w:t>
            </w:r>
            <w:r>
              <w:rPr>
                <w:rFonts w:ascii="Times New Roman" w:hAnsi="Times New Roman"/>
                <w:spacing w:val="-3"/>
                <w:kern w:val="0"/>
                <w:lang w:eastAsia="en-US"/>
              </w:rPr>
              <w:t>油</w:t>
            </w:r>
            <w:r>
              <w:rPr>
                <w:rFonts w:ascii="Times New Roman" w:hAnsi="Times New Roman"/>
                <w:kern w:val="0"/>
                <w:lang w:eastAsia="en-US"/>
              </w:rPr>
              <w:t>和</w:t>
            </w:r>
            <w:r>
              <w:rPr>
                <w:rFonts w:ascii="Times New Roman" w:hAnsi="Times New Roman"/>
                <w:spacing w:val="-3"/>
                <w:kern w:val="0"/>
                <w:lang w:eastAsia="en-US"/>
              </w:rPr>
              <w:t>天</w:t>
            </w:r>
            <w:r>
              <w:rPr>
                <w:rFonts w:ascii="Times New Roman" w:hAnsi="Times New Roman"/>
                <w:kern w:val="0"/>
                <w:lang w:eastAsia="en-US"/>
              </w:rPr>
              <w:t>然</w:t>
            </w:r>
            <w:r>
              <w:rPr>
                <w:rFonts w:ascii="Times New Roman" w:hAnsi="Times New Roman"/>
                <w:spacing w:val="-3"/>
                <w:kern w:val="0"/>
                <w:lang w:eastAsia="en-US"/>
              </w:rPr>
              <w:t>气</w:t>
            </w:r>
            <w:r>
              <w:rPr>
                <w:rFonts w:ascii="Times New Roman" w:hAnsi="Times New Roman"/>
                <w:kern w:val="0"/>
                <w:lang w:eastAsia="en-US"/>
              </w:rPr>
              <w:t>精炼</w:t>
            </w:r>
          </w:p>
        </w:tc>
        <w:tc>
          <w:tcPr>
            <w:tcW w:w="891"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kern w:val="0"/>
                <w:lang w:eastAsia="en-US"/>
              </w:rPr>
            </w:pPr>
            <w:r>
              <w:rPr>
                <w:rFonts w:ascii="Times New Roman" w:hAnsi="Times New Roman"/>
                <w:kern w:val="0"/>
                <w:lang w:eastAsia="en-US"/>
              </w:rPr>
              <w:t>19</w:t>
            </w:r>
          </w:p>
        </w:tc>
        <w:tc>
          <w:tcPr>
            <w:tcW w:w="1609"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kern w:val="0"/>
                <w:lang w:eastAsia="en-US"/>
              </w:rPr>
            </w:pPr>
            <w:r>
              <w:rPr>
                <w:rFonts w:ascii="Times New Roman" w:hAnsi="Times New Roman"/>
                <w:kern w:val="0"/>
                <w:lang w:eastAsia="en-US"/>
              </w:rPr>
              <w:t>农药</w:t>
            </w:r>
            <w:r>
              <w:rPr>
                <w:rFonts w:ascii="Times New Roman" w:hAnsi="Times New Roman"/>
                <w:spacing w:val="-3"/>
                <w:kern w:val="0"/>
                <w:lang w:eastAsia="en-US"/>
              </w:rPr>
              <w:t>工</w:t>
            </w:r>
            <w:r>
              <w:rPr>
                <w:rFonts w:ascii="Times New Roman" w:hAnsi="Times New Roman"/>
                <w:kern w:val="0"/>
                <w:lang w:eastAsia="en-US"/>
              </w:rPr>
              <w:t>业</w:t>
            </w:r>
          </w:p>
        </w:tc>
      </w:tr>
      <w:tr>
        <w:tblPrEx>
          <w:tblCellMar>
            <w:top w:w="0" w:type="dxa"/>
            <w:left w:w="0" w:type="dxa"/>
            <w:bottom w:w="0" w:type="dxa"/>
            <w:right w:w="0" w:type="dxa"/>
          </w:tblCellMar>
        </w:tblPrEx>
        <w:trPr>
          <w:trHeight w:val="350" w:hRule="exact"/>
        </w:trPr>
        <w:tc>
          <w:tcPr>
            <w:tcW w:w="646"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kern w:val="0"/>
                <w:lang w:eastAsia="en-US"/>
              </w:rPr>
            </w:pPr>
            <w:r>
              <w:rPr>
                <w:rFonts w:ascii="Times New Roman" w:hAnsi="Times New Roman"/>
                <w:kern w:val="0"/>
                <w:lang w:eastAsia="en-US"/>
              </w:rPr>
              <w:t>3</w:t>
            </w:r>
          </w:p>
        </w:tc>
        <w:tc>
          <w:tcPr>
            <w:tcW w:w="1853"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kern w:val="0"/>
                <w:lang w:eastAsia="en-US"/>
              </w:rPr>
            </w:pPr>
            <w:r>
              <w:rPr>
                <w:rFonts w:ascii="Times New Roman" w:hAnsi="Times New Roman"/>
                <w:kern w:val="0"/>
                <w:lang w:eastAsia="en-US"/>
              </w:rPr>
              <w:t>炼焦炉</w:t>
            </w:r>
          </w:p>
        </w:tc>
        <w:tc>
          <w:tcPr>
            <w:tcW w:w="891"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kern w:val="0"/>
                <w:lang w:eastAsia="en-US"/>
              </w:rPr>
            </w:pPr>
            <w:r>
              <w:rPr>
                <w:rFonts w:ascii="Times New Roman" w:hAnsi="Times New Roman"/>
                <w:kern w:val="0"/>
                <w:lang w:eastAsia="en-US"/>
              </w:rPr>
              <w:t>20</w:t>
            </w:r>
          </w:p>
        </w:tc>
        <w:tc>
          <w:tcPr>
            <w:tcW w:w="1609"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kern w:val="0"/>
                <w:lang w:eastAsia="en-US"/>
              </w:rPr>
            </w:pPr>
            <w:r>
              <w:rPr>
                <w:rFonts w:ascii="Times New Roman" w:hAnsi="Times New Roman"/>
                <w:kern w:val="0"/>
                <w:lang w:eastAsia="en-US"/>
              </w:rPr>
              <w:t>制药</w:t>
            </w:r>
            <w:r>
              <w:rPr>
                <w:rFonts w:ascii="Times New Roman" w:hAnsi="Times New Roman"/>
                <w:spacing w:val="-3"/>
                <w:kern w:val="0"/>
                <w:lang w:eastAsia="en-US"/>
              </w:rPr>
              <w:t>工</w:t>
            </w:r>
            <w:r>
              <w:rPr>
                <w:rFonts w:ascii="Times New Roman" w:hAnsi="Times New Roman"/>
                <w:kern w:val="0"/>
                <w:lang w:eastAsia="en-US"/>
              </w:rPr>
              <w:t>业</w:t>
            </w:r>
          </w:p>
        </w:tc>
      </w:tr>
      <w:tr>
        <w:tblPrEx>
          <w:tblCellMar>
            <w:top w:w="0" w:type="dxa"/>
            <w:left w:w="0" w:type="dxa"/>
            <w:bottom w:w="0" w:type="dxa"/>
            <w:right w:w="0" w:type="dxa"/>
          </w:tblCellMar>
        </w:tblPrEx>
        <w:trPr>
          <w:trHeight w:val="350" w:hRule="exact"/>
        </w:trPr>
        <w:tc>
          <w:tcPr>
            <w:tcW w:w="646"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kern w:val="0"/>
                <w:lang w:eastAsia="en-US"/>
              </w:rPr>
            </w:pPr>
            <w:r>
              <w:rPr>
                <w:rFonts w:ascii="Times New Roman" w:hAnsi="Times New Roman"/>
                <w:kern w:val="0"/>
                <w:lang w:eastAsia="en-US"/>
              </w:rPr>
              <w:t>4</w:t>
            </w:r>
          </w:p>
        </w:tc>
        <w:tc>
          <w:tcPr>
            <w:tcW w:w="1853"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kern w:val="0"/>
                <w:lang w:eastAsia="en-US"/>
              </w:rPr>
            </w:pPr>
            <w:r>
              <w:rPr>
                <w:rFonts w:ascii="Times New Roman" w:hAnsi="Times New Roman"/>
                <w:kern w:val="0"/>
                <w:lang w:eastAsia="en-US"/>
              </w:rPr>
              <w:t>煤气</w:t>
            </w:r>
            <w:r>
              <w:rPr>
                <w:rFonts w:ascii="Times New Roman" w:hAnsi="Times New Roman"/>
                <w:spacing w:val="-3"/>
                <w:kern w:val="0"/>
                <w:lang w:eastAsia="en-US"/>
              </w:rPr>
              <w:t>化</w:t>
            </w:r>
            <w:r>
              <w:rPr>
                <w:rFonts w:ascii="Times New Roman" w:hAnsi="Times New Roman"/>
                <w:kern w:val="0"/>
                <w:lang w:eastAsia="en-US"/>
              </w:rPr>
              <w:t>和</w:t>
            </w:r>
            <w:r>
              <w:rPr>
                <w:rFonts w:ascii="Times New Roman" w:hAnsi="Times New Roman"/>
                <w:spacing w:val="-3"/>
                <w:kern w:val="0"/>
                <w:lang w:eastAsia="en-US"/>
              </w:rPr>
              <w:t>煤</w:t>
            </w:r>
            <w:r>
              <w:rPr>
                <w:rFonts w:ascii="Times New Roman" w:hAnsi="Times New Roman"/>
                <w:kern w:val="0"/>
                <w:lang w:eastAsia="en-US"/>
              </w:rPr>
              <w:t>液</w:t>
            </w:r>
            <w:r>
              <w:rPr>
                <w:rFonts w:ascii="Times New Roman" w:hAnsi="Times New Roman"/>
                <w:spacing w:val="-3"/>
                <w:kern w:val="0"/>
                <w:lang w:eastAsia="en-US"/>
              </w:rPr>
              <w:t>化</w:t>
            </w:r>
            <w:r>
              <w:rPr>
                <w:rFonts w:ascii="Times New Roman" w:hAnsi="Times New Roman"/>
                <w:kern w:val="0"/>
                <w:lang w:eastAsia="en-US"/>
              </w:rPr>
              <w:t>工厂</w:t>
            </w:r>
          </w:p>
        </w:tc>
        <w:tc>
          <w:tcPr>
            <w:tcW w:w="891"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kern w:val="0"/>
                <w:lang w:eastAsia="en-US"/>
              </w:rPr>
            </w:pPr>
            <w:r>
              <w:rPr>
                <w:rFonts w:ascii="Times New Roman" w:hAnsi="Times New Roman"/>
                <w:kern w:val="0"/>
                <w:lang w:eastAsia="en-US"/>
              </w:rPr>
              <w:t>21</w:t>
            </w:r>
          </w:p>
        </w:tc>
        <w:tc>
          <w:tcPr>
            <w:tcW w:w="1609"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kern w:val="0"/>
                <w:lang w:eastAsia="en-US"/>
              </w:rPr>
            </w:pPr>
            <w:r>
              <w:rPr>
                <w:rFonts w:ascii="Times New Roman" w:hAnsi="Times New Roman"/>
                <w:kern w:val="0"/>
                <w:lang w:eastAsia="en-US"/>
              </w:rPr>
              <w:t>炸药</w:t>
            </w:r>
            <w:r>
              <w:rPr>
                <w:rFonts w:ascii="Times New Roman" w:hAnsi="Times New Roman"/>
                <w:spacing w:val="-3"/>
                <w:kern w:val="0"/>
                <w:lang w:eastAsia="en-US"/>
              </w:rPr>
              <w:t>工</w:t>
            </w:r>
            <w:r>
              <w:rPr>
                <w:rFonts w:ascii="Times New Roman" w:hAnsi="Times New Roman"/>
                <w:kern w:val="0"/>
                <w:lang w:eastAsia="en-US"/>
              </w:rPr>
              <w:t>业</w:t>
            </w:r>
          </w:p>
        </w:tc>
      </w:tr>
      <w:tr>
        <w:tblPrEx>
          <w:tblCellMar>
            <w:top w:w="0" w:type="dxa"/>
            <w:left w:w="0" w:type="dxa"/>
            <w:bottom w:w="0" w:type="dxa"/>
            <w:right w:w="0" w:type="dxa"/>
          </w:tblCellMar>
        </w:tblPrEx>
        <w:trPr>
          <w:trHeight w:val="350" w:hRule="exact"/>
        </w:trPr>
        <w:tc>
          <w:tcPr>
            <w:tcW w:w="646"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kern w:val="0"/>
                <w:lang w:eastAsia="en-US"/>
              </w:rPr>
            </w:pPr>
            <w:r>
              <w:rPr>
                <w:rFonts w:ascii="Times New Roman" w:hAnsi="Times New Roman"/>
                <w:kern w:val="0"/>
                <w:lang w:eastAsia="en-US"/>
              </w:rPr>
              <w:t>二、</w:t>
            </w:r>
          </w:p>
        </w:tc>
        <w:tc>
          <w:tcPr>
            <w:tcW w:w="1853"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kern w:val="0"/>
                <w:lang w:eastAsia="en-US"/>
              </w:rPr>
            </w:pPr>
            <w:r>
              <w:rPr>
                <w:rFonts w:ascii="Times New Roman" w:hAnsi="Times New Roman"/>
                <w:kern w:val="0"/>
                <w:lang w:eastAsia="en-US"/>
              </w:rPr>
              <w:t>金属</w:t>
            </w:r>
            <w:r>
              <w:rPr>
                <w:rFonts w:ascii="Times New Roman" w:hAnsi="Times New Roman"/>
                <w:spacing w:val="-3"/>
                <w:kern w:val="0"/>
                <w:lang w:eastAsia="en-US"/>
              </w:rPr>
              <w:t>制</w:t>
            </w:r>
            <w:r>
              <w:rPr>
                <w:rFonts w:ascii="Times New Roman" w:hAnsi="Times New Roman"/>
                <w:kern w:val="0"/>
                <w:lang w:eastAsia="en-US"/>
              </w:rPr>
              <w:t>造</w:t>
            </w:r>
            <w:r>
              <w:rPr>
                <w:rFonts w:ascii="Times New Roman" w:hAnsi="Times New Roman"/>
                <w:spacing w:val="-3"/>
                <w:kern w:val="0"/>
                <w:lang w:eastAsia="en-US"/>
              </w:rPr>
              <w:t>加</w:t>
            </w:r>
            <w:r>
              <w:rPr>
                <w:rFonts w:ascii="Times New Roman" w:hAnsi="Times New Roman"/>
                <w:kern w:val="0"/>
                <w:lang w:eastAsia="en-US"/>
              </w:rPr>
              <w:t>工</w:t>
            </w:r>
          </w:p>
        </w:tc>
        <w:tc>
          <w:tcPr>
            <w:tcW w:w="891"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kern w:val="0"/>
                <w:lang w:eastAsia="en-US"/>
              </w:rPr>
            </w:pPr>
            <w:r>
              <w:rPr>
                <w:rFonts w:ascii="Times New Roman" w:hAnsi="Times New Roman"/>
                <w:kern w:val="0"/>
                <w:lang w:eastAsia="en-US"/>
              </w:rPr>
              <w:t>五</w:t>
            </w:r>
          </w:p>
        </w:tc>
        <w:tc>
          <w:tcPr>
            <w:tcW w:w="1609"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kern w:val="0"/>
                <w:lang w:eastAsia="en-US"/>
              </w:rPr>
            </w:pPr>
            <w:r>
              <w:rPr>
                <w:rFonts w:ascii="Times New Roman" w:hAnsi="Times New Roman"/>
                <w:kern w:val="0"/>
                <w:lang w:eastAsia="en-US"/>
              </w:rPr>
              <w:t>废物</w:t>
            </w:r>
            <w:r>
              <w:rPr>
                <w:rFonts w:ascii="Times New Roman" w:hAnsi="Times New Roman"/>
                <w:spacing w:val="-3"/>
                <w:kern w:val="0"/>
                <w:lang w:eastAsia="en-US"/>
              </w:rPr>
              <w:t>管</w:t>
            </w:r>
            <w:r>
              <w:rPr>
                <w:rFonts w:ascii="Times New Roman" w:hAnsi="Times New Roman"/>
                <w:kern w:val="0"/>
                <w:lang w:eastAsia="en-US"/>
              </w:rPr>
              <w:t>理</w:t>
            </w:r>
          </w:p>
        </w:tc>
      </w:tr>
      <w:tr>
        <w:tblPrEx>
          <w:tblCellMar>
            <w:top w:w="0" w:type="dxa"/>
            <w:left w:w="0" w:type="dxa"/>
            <w:bottom w:w="0" w:type="dxa"/>
            <w:right w:w="0" w:type="dxa"/>
          </w:tblCellMar>
        </w:tblPrEx>
        <w:trPr>
          <w:trHeight w:val="350" w:hRule="exact"/>
        </w:trPr>
        <w:tc>
          <w:tcPr>
            <w:tcW w:w="646"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5</w:t>
            </w:r>
          </w:p>
        </w:tc>
        <w:tc>
          <w:tcPr>
            <w:tcW w:w="1853"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金属</w:t>
            </w:r>
            <w:r>
              <w:rPr>
                <w:rFonts w:ascii="Times New Roman" w:hAnsi="Times New Roman"/>
                <w:spacing w:val="-3"/>
                <w:kern w:val="0"/>
                <w:lang w:eastAsia="en-US"/>
              </w:rPr>
              <w:t>矿</w:t>
            </w:r>
            <w:r>
              <w:rPr>
                <w:rFonts w:ascii="Times New Roman" w:hAnsi="Times New Roman"/>
                <w:kern w:val="0"/>
                <w:lang w:eastAsia="en-US"/>
              </w:rPr>
              <w:t>焙</w:t>
            </w:r>
            <w:r>
              <w:rPr>
                <w:rFonts w:ascii="Times New Roman" w:hAnsi="Times New Roman"/>
                <w:spacing w:val="-3"/>
                <w:kern w:val="0"/>
                <w:lang w:eastAsia="en-US"/>
              </w:rPr>
              <w:t>烧</w:t>
            </w:r>
            <w:r>
              <w:rPr>
                <w:rFonts w:ascii="Times New Roman" w:hAnsi="Times New Roman"/>
                <w:kern w:val="0"/>
                <w:lang w:eastAsia="en-US"/>
              </w:rPr>
              <w:t>或</w:t>
            </w:r>
            <w:r>
              <w:rPr>
                <w:rFonts w:ascii="Times New Roman" w:hAnsi="Times New Roman"/>
                <w:spacing w:val="-3"/>
                <w:kern w:val="0"/>
                <w:lang w:eastAsia="en-US"/>
              </w:rPr>
              <w:t>烧</w:t>
            </w:r>
            <w:r>
              <w:rPr>
                <w:rFonts w:ascii="Times New Roman" w:hAnsi="Times New Roman"/>
                <w:kern w:val="0"/>
                <w:lang w:eastAsia="en-US"/>
              </w:rPr>
              <w:t>结</w:t>
            </w:r>
          </w:p>
        </w:tc>
        <w:tc>
          <w:tcPr>
            <w:tcW w:w="891"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22</w:t>
            </w:r>
          </w:p>
        </w:tc>
        <w:tc>
          <w:tcPr>
            <w:tcW w:w="1609"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危险</w:t>
            </w:r>
            <w:r>
              <w:rPr>
                <w:rFonts w:ascii="Times New Roman" w:hAnsi="Times New Roman"/>
                <w:spacing w:val="-3"/>
                <w:kern w:val="0"/>
                <w:lang w:eastAsia="en-US"/>
              </w:rPr>
              <w:t>废</w:t>
            </w:r>
            <w:r>
              <w:rPr>
                <w:rFonts w:ascii="Times New Roman" w:hAnsi="Times New Roman"/>
                <w:kern w:val="0"/>
                <w:lang w:eastAsia="en-US"/>
              </w:rPr>
              <w:t>物</w:t>
            </w:r>
            <w:r>
              <w:rPr>
                <w:rFonts w:ascii="Times New Roman" w:hAnsi="Times New Roman"/>
                <w:spacing w:val="-3"/>
                <w:kern w:val="0"/>
                <w:lang w:eastAsia="en-US"/>
              </w:rPr>
              <w:t>处</w:t>
            </w:r>
            <w:r>
              <w:rPr>
                <w:rFonts w:ascii="Times New Roman" w:hAnsi="Times New Roman"/>
                <w:kern w:val="0"/>
                <w:lang w:eastAsia="en-US"/>
              </w:rPr>
              <w:t>理</w:t>
            </w:r>
            <w:r>
              <w:rPr>
                <w:rFonts w:ascii="Times New Roman" w:hAnsi="Times New Roman"/>
                <w:spacing w:val="-3"/>
                <w:kern w:val="0"/>
                <w:lang w:eastAsia="en-US"/>
              </w:rPr>
              <w:t>处</w:t>
            </w:r>
            <w:r>
              <w:rPr>
                <w:rFonts w:ascii="Times New Roman" w:hAnsi="Times New Roman"/>
                <w:kern w:val="0"/>
                <w:lang w:eastAsia="en-US"/>
              </w:rPr>
              <w:t>置</w:t>
            </w:r>
          </w:p>
        </w:tc>
      </w:tr>
      <w:tr>
        <w:tblPrEx>
          <w:tblCellMar>
            <w:top w:w="0" w:type="dxa"/>
            <w:left w:w="0" w:type="dxa"/>
            <w:bottom w:w="0" w:type="dxa"/>
            <w:right w:w="0" w:type="dxa"/>
          </w:tblCellMar>
        </w:tblPrEx>
        <w:trPr>
          <w:trHeight w:val="350" w:hRule="exact"/>
        </w:trPr>
        <w:tc>
          <w:tcPr>
            <w:tcW w:w="646"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6</w:t>
            </w:r>
          </w:p>
        </w:tc>
        <w:tc>
          <w:tcPr>
            <w:tcW w:w="1853"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钢铁</w:t>
            </w:r>
            <w:r>
              <w:rPr>
                <w:rFonts w:ascii="Times New Roman" w:hAnsi="Times New Roman"/>
                <w:spacing w:val="-3"/>
                <w:kern w:val="0"/>
                <w:lang w:eastAsia="en-US"/>
              </w:rPr>
              <w:t>生</w:t>
            </w:r>
            <w:r>
              <w:rPr>
                <w:rFonts w:ascii="Times New Roman" w:hAnsi="Times New Roman"/>
                <w:kern w:val="0"/>
                <w:lang w:eastAsia="en-US"/>
              </w:rPr>
              <w:t>产</w:t>
            </w:r>
          </w:p>
        </w:tc>
        <w:tc>
          <w:tcPr>
            <w:tcW w:w="891"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23</w:t>
            </w:r>
          </w:p>
        </w:tc>
        <w:tc>
          <w:tcPr>
            <w:tcW w:w="1609"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垃圾</w:t>
            </w:r>
            <w:r>
              <w:rPr>
                <w:rFonts w:ascii="Times New Roman" w:hAnsi="Times New Roman"/>
                <w:spacing w:val="-3"/>
                <w:kern w:val="0"/>
                <w:lang w:eastAsia="en-US"/>
              </w:rPr>
              <w:t>焚</w:t>
            </w:r>
            <w:r>
              <w:rPr>
                <w:rFonts w:ascii="Times New Roman" w:hAnsi="Times New Roman"/>
                <w:kern w:val="0"/>
                <w:lang w:eastAsia="en-US"/>
              </w:rPr>
              <w:t>烧</w:t>
            </w:r>
          </w:p>
        </w:tc>
      </w:tr>
      <w:tr>
        <w:tblPrEx>
          <w:tblCellMar>
            <w:top w:w="0" w:type="dxa"/>
            <w:left w:w="0" w:type="dxa"/>
            <w:bottom w:w="0" w:type="dxa"/>
            <w:right w:w="0" w:type="dxa"/>
          </w:tblCellMar>
        </w:tblPrEx>
        <w:trPr>
          <w:trHeight w:val="351" w:hRule="exact"/>
        </w:trPr>
        <w:tc>
          <w:tcPr>
            <w:tcW w:w="646" w:type="pct"/>
            <w:tcBorders>
              <w:top w:val="single" w:color="000000" w:sz="4" w:space="0"/>
              <w:left w:val="single" w:color="000000" w:sz="4" w:space="0"/>
              <w:bottom w:val="single" w:color="000000" w:sz="4" w:space="0"/>
              <w:right w:val="single" w:color="000000" w:sz="4" w:space="0"/>
            </w:tcBorders>
            <w:vAlign w:val="center"/>
          </w:tcPr>
          <w:p>
            <w:pPr>
              <w:spacing w:line="243" w:lineRule="exact"/>
              <w:jc w:val="center"/>
              <w:rPr>
                <w:rFonts w:ascii="Times New Roman" w:hAnsi="Times New Roman"/>
                <w:kern w:val="0"/>
                <w:lang w:eastAsia="en-US"/>
              </w:rPr>
            </w:pPr>
            <w:r>
              <w:rPr>
                <w:rFonts w:ascii="Times New Roman" w:hAnsi="Times New Roman"/>
                <w:kern w:val="0"/>
                <w:lang w:eastAsia="en-US"/>
              </w:rPr>
              <w:t>7</w:t>
            </w:r>
          </w:p>
        </w:tc>
        <w:tc>
          <w:tcPr>
            <w:tcW w:w="1853" w:type="pct"/>
            <w:tcBorders>
              <w:top w:val="single" w:color="000000" w:sz="4" w:space="0"/>
              <w:left w:val="single" w:color="000000" w:sz="4" w:space="0"/>
              <w:bottom w:val="single" w:color="000000" w:sz="4" w:space="0"/>
              <w:right w:val="single" w:color="000000" w:sz="4" w:space="0"/>
            </w:tcBorders>
            <w:vAlign w:val="center"/>
          </w:tcPr>
          <w:p>
            <w:pPr>
              <w:spacing w:line="243" w:lineRule="exact"/>
              <w:jc w:val="center"/>
              <w:rPr>
                <w:rFonts w:ascii="Times New Roman" w:hAnsi="Times New Roman"/>
                <w:kern w:val="0"/>
                <w:lang w:eastAsia="en-US"/>
              </w:rPr>
            </w:pPr>
            <w:r>
              <w:rPr>
                <w:rFonts w:ascii="Times New Roman" w:hAnsi="Times New Roman"/>
                <w:kern w:val="0"/>
                <w:lang w:eastAsia="en-US"/>
              </w:rPr>
              <w:t>铁合</w:t>
            </w:r>
            <w:r>
              <w:rPr>
                <w:rFonts w:ascii="Times New Roman" w:hAnsi="Times New Roman"/>
                <w:spacing w:val="-3"/>
                <w:kern w:val="0"/>
                <w:lang w:eastAsia="en-US"/>
              </w:rPr>
              <w:t>金</w:t>
            </w:r>
            <w:r>
              <w:rPr>
                <w:rFonts w:ascii="Times New Roman" w:hAnsi="Times New Roman"/>
                <w:kern w:val="0"/>
                <w:lang w:eastAsia="en-US"/>
              </w:rPr>
              <w:t>加工</w:t>
            </w:r>
          </w:p>
        </w:tc>
        <w:tc>
          <w:tcPr>
            <w:tcW w:w="891" w:type="pct"/>
            <w:tcBorders>
              <w:top w:val="single" w:color="000000" w:sz="4" w:space="0"/>
              <w:left w:val="single" w:color="000000" w:sz="4" w:space="0"/>
              <w:bottom w:val="single" w:color="000000" w:sz="4" w:space="0"/>
              <w:right w:val="single" w:color="000000" w:sz="4" w:space="0"/>
            </w:tcBorders>
            <w:vAlign w:val="center"/>
          </w:tcPr>
          <w:p>
            <w:pPr>
              <w:spacing w:line="243" w:lineRule="exact"/>
              <w:jc w:val="center"/>
              <w:rPr>
                <w:rFonts w:ascii="Times New Roman" w:hAnsi="Times New Roman"/>
                <w:kern w:val="0"/>
                <w:lang w:eastAsia="en-US"/>
              </w:rPr>
            </w:pPr>
            <w:r>
              <w:rPr>
                <w:rFonts w:ascii="Times New Roman" w:hAnsi="Times New Roman"/>
                <w:kern w:val="0"/>
                <w:lang w:eastAsia="en-US"/>
              </w:rPr>
              <w:t>24</w:t>
            </w:r>
          </w:p>
        </w:tc>
        <w:tc>
          <w:tcPr>
            <w:tcW w:w="1609" w:type="pct"/>
            <w:tcBorders>
              <w:top w:val="single" w:color="000000" w:sz="4" w:space="0"/>
              <w:left w:val="single" w:color="000000" w:sz="4" w:space="0"/>
              <w:bottom w:val="single" w:color="000000" w:sz="4" w:space="0"/>
              <w:right w:val="single" w:color="000000" w:sz="4" w:space="0"/>
            </w:tcBorders>
            <w:vAlign w:val="center"/>
          </w:tcPr>
          <w:p>
            <w:pPr>
              <w:spacing w:line="243" w:lineRule="exact"/>
              <w:jc w:val="center"/>
              <w:rPr>
                <w:rFonts w:ascii="Times New Roman" w:hAnsi="Times New Roman"/>
                <w:kern w:val="0"/>
                <w:lang w:eastAsia="en-US"/>
              </w:rPr>
            </w:pPr>
            <w:r>
              <w:rPr>
                <w:rFonts w:ascii="Times New Roman" w:hAnsi="Times New Roman"/>
                <w:kern w:val="0"/>
                <w:lang w:eastAsia="en-US"/>
              </w:rPr>
              <w:t>非危</w:t>
            </w:r>
            <w:r>
              <w:rPr>
                <w:rFonts w:ascii="Times New Roman" w:hAnsi="Times New Roman"/>
                <w:spacing w:val="-3"/>
                <w:kern w:val="0"/>
                <w:lang w:eastAsia="en-US"/>
              </w:rPr>
              <w:t>险</w:t>
            </w:r>
            <w:r>
              <w:rPr>
                <w:rFonts w:ascii="Times New Roman" w:hAnsi="Times New Roman"/>
                <w:kern w:val="0"/>
                <w:lang w:eastAsia="en-US"/>
              </w:rPr>
              <w:t>废</w:t>
            </w:r>
            <w:r>
              <w:rPr>
                <w:rFonts w:ascii="Times New Roman" w:hAnsi="Times New Roman"/>
                <w:spacing w:val="-3"/>
                <w:kern w:val="0"/>
                <w:lang w:eastAsia="en-US"/>
              </w:rPr>
              <w:t>物</w:t>
            </w:r>
            <w:r>
              <w:rPr>
                <w:rFonts w:ascii="Times New Roman" w:hAnsi="Times New Roman"/>
                <w:kern w:val="0"/>
                <w:lang w:eastAsia="en-US"/>
              </w:rPr>
              <w:t>处</w:t>
            </w:r>
            <w:r>
              <w:rPr>
                <w:rFonts w:ascii="Times New Roman" w:hAnsi="Times New Roman"/>
                <w:spacing w:val="-3"/>
                <w:kern w:val="0"/>
                <w:lang w:eastAsia="en-US"/>
              </w:rPr>
              <w:t>理</w:t>
            </w:r>
            <w:r>
              <w:rPr>
                <w:rFonts w:ascii="Times New Roman" w:hAnsi="Times New Roman"/>
                <w:kern w:val="0"/>
                <w:lang w:eastAsia="en-US"/>
              </w:rPr>
              <w:t>处置</w:t>
            </w:r>
          </w:p>
        </w:tc>
      </w:tr>
      <w:tr>
        <w:tblPrEx>
          <w:tblCellMar>
            <w:top w:w="0" w:type="dxa"/>
            <w:left w:w="0" w:type="dxa"/>
            <w:bottom w:w="0" w:type="dxa"/>
            <w:right w:w="0" w:type="dxa"/>
          </w:tblCellMar>
        </w:tblPrEx>
        <w:trPr>
          <w:trHeight w:val="350" w:hRule="exact"/>
        </w:trPr>
        <w:tc>
          <w:tcPr>
            <w:tcW w:w="646"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8</w:t>
            </w:r>
          </w:p>
        </w:tc>
        <w:tc>
          <w:tcPr>
            <w:tcW w:w="1853"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铁合</w:t>
            </w:r>
            <w:r>
              <w:rPr>
                <w:rFonts w:ascii="Times New Roman" w:hAnsi="Times New Roman"/>
                <w:spacing w:val="-3"/>
                <w:kern w:val="0"/>
                <w:lang w:eastAsia="en-US"/>
              </w:rPr>
              <w:t>金</w:t>
            </w:r>
            <w:r>
              <w:rPr>
                <w:rFonts w:ascii="Times New Roman" w:hAnsi="Times New Roman"/>
                <w:kern w:val="0"/>
                <w:lang w:eastAsia="en-US"/>
              </w:rPr>
              <w:t>铸造</w:t>
            </w:r>
          </w:p>
        </w:tc>
        <w:tc>
          <w:tcPr>
            <w:tcW w:w="891"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25</w:t>
            </w:r>
          </w:p>
        </w:tc>
        <w:tc>
          <w:tcPr>
            <w:tcW w:w="1609"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垃圾</w:t>
            </w:r>
            <w:r>
              <w:rPr>
                <w:rFonts w:ascii="Times New Roman" w:hAnsi="Times New Roman"/>
                <w:spacing w:val="-3"/>
                <w:kern w:val="0"/>
                <w:lang w:eastAsia="en-US"/>
              </w:rPr>
              <w:t>填</w:t>
            </w:r>
            <w:r>
              <w:rPr>
                <w:rFonts w:ascii="Times New Roman" w:hAnsi="Times New Roman"/>
                <w:kern w:val="0"/>
                <w:lang w:eastAsia="en-US"/>
              </w:rPr>
              <w:t>埋</w:t>
            </w:r>
          </w:p>
        </w:tc>
      </w:tr>
      <w:tr>
        <w:tblPrEx>
          <w:tblCellMar>
            <w:top w:w="0" w:type="dxa"/>
            <w:left w:w="0" w:type="dxa"/>
            <w:bottom w:w="0" w:type="dxa"/>
            <w:right w:w="0" w:type="dxa"/>
          </w:tblCellMar>
        </w:tblPrEx>
        <w:trPr>
          <w:trHeight w:val="350" w:hRule="exact"/>
        </w:trPr>
        <w:tc>
          <w:tcPr>
            <w:tcW w:w="646"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9</w:t>
            </w:r>
          </w:p>
        </w:tc>
        <w:tc>
          <w:tcPr>
            <w:tcW w:w="1853"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有色</w:t>
            </w:r>
            <w:r>
              <w:rPr>
                <w:rFonts w:ascii="Times New Roman" w:hAnsi="Times New Roman"/>
                <w:spacing w:val="-3"/>
                <w:kern w:val="0"/>
                <w:lang w:eastAsia="en-US"/>
              </w:rPr>
              <w:t>金</w:t>
            </w:r>
            <w:r>
              <w:rPr>
                <w:rFonts w:ascii="Times New Roman" w:hAnsi="Times New Roman"/>
                <w:kern w:val="0"/>
                <w:lang w:eastAsia="en-US"/>
              </w:rPr>
              <w:t>属</w:t>
            </w:r>
            <w:r>
              <w:rPr>
                <w:rFonts w:ascii="Times New Roman" w:hAnsi="Times New Roman"/>
                <w:spacing w:val="-3"/>
                <w:kern w:val="0"/>
                <w:lang w:eastAsia="en-US"/>
              </w:rPr>
              <w:t>炼</w:t>
            </w:r>
            <w:r>
              <w:rPr>
                <w:rFonts w:ascii="Times New Roman" w:hAnsi="Times New Roman"/>
                <w:kern w:val="0"/>
                <w:lang w:eastAsia="en-US"/>
              </w:rPr>
              <w:t>制</w:t>
            </w:r>
          </w:p>
        </w:tc>
        <w:tc>
          <w:tcPr>
            <w:tcW w:w="891"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六</w:t>
            </w:r>
          </w:p>
        </w:tc>
        <w:tc>
          <w:tcPr>
            <w:tcW w:w="1609"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其他</w:t>
            </w:r>
            <w:r>
              <w:rPr>
                <w:rFonts w:ascii="Times New Roman" w:hAnsi="Times New Roman"/>
                <w:spacing w:val="-3"/>
                <w:kern w:val="0"/>
                <w:lang w:eastAsia="en-US"/>
              </w:rPr>
              <w:t>工</w:t>
            </w:r>
            <w:r>
              <w:rPr>
                <w:rFonts w:ascii="Times New Roman" w:hAnsi="Times New Roman"/>
                <w:kern w:val="0"/>
                <w:lang w:eastAsia="en-US"/>
              </w:rPr>
              <w:t>业</w:t>
            </w:r>
            <w:r>
              <w:rPr>
                <w:rFonts w:ascii="Times New Roman" w:hAnsi="Times New Roman"/>
                <w:spacing w:val="-3"/>
                <w:kern w:val="0"/>
                <w:lang w:eastAsia="en-US"/>
              </w:rPr>
              <w:t>行</w:t>
            </w:r>
            <w:r>
              <w:rPr>
                <w:rFonts w:ascii="Times New Roman" w:hAnsi="Times New Roman"/>
                <w:kern w:val="0"/>
                <w:lang w:eastAsia="en-US"/>
              </w:rPr>
              <w:t>业</w:t>
            </w:r>
          </w:p>
        </w:tc>
      </w:tr>
      <w:tr>
        <w:tblPrEx>
          <w:tblCellMar>
            <w:top w:w="0" w:type="dxa"/>
            <w:left w:w="0" w:type="dxa"/>
            <w:bottom w:w="0" w:type="dxa"/>
            <w:right w:w="0" w:type="dxa"/>
          </w:tblCellMar>
        </w:tblPrEx>
        <w:trPr>
          <w:trHeight w:val="350" w:hRule="exact"/>
        </w:trPr>
        <w:tc>
          <w:tcPr>
            <w:tcW w:w="646"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10</w:t>
            </w:r>
          </w:p>
        </w:tc>
        <w:tc>
          <w:tcPr>
            <w:tcW w:w="1853"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zh-CN"/>
              </w:rPr>
            </w:pPr>
            <w:r>
              <w:rPr>
                <w:rFonts w:ascii="Times New Roman" w:hAnsi="Times New Roman"/>
                <w:kern w:val="0"/>
                <w:lang w:eastAsia="zh-CN"/>
              </w:rPr>
              <w:t>金属</w:t>
            </w:r>
            <w:r>
              <w:rPr>
                <w:rFonts w:ascii="Times New Roman" w:hAnsi="Times New Roman"/>
                <w:spacing w:val="-3"/>
                <w:kern w:val="0"/>
                <w:lang w:eastAsia="zh-CN"/>
              </w:rPr>
              <w:t>和</w:t>
            </w:r>
            <w:r>
              <w:rPr>
                <w:rFonts w:ascii="Times New Roman" w:hAnsi="Times New Roman"/>
                <w:kern w:val="0"/>
                <w:lang w:eastAsia="zh-CN"/>
              </w:rPr>
              <w:t>塑</w:t>
            </w:r>
            <w:r>
              <w:rPr>
                <w:rFonts w:ascii="Times New Roman" w:hAnsi="Times New Roman"/>
                <w:spacing w:val="-3"/>
                <w:kern w:val="0"/>
                <w:lang w:eastAsia="zh-CN"/>
              </w:rPr>
              <w:t>料</w:t>
            </w:r>
            <w:r>
              <w:rPr>
                <w:rFonts w:ascii="Times New Roman" w:hAnsi="Times New Roman"/>
                <w:kern w:val="0"/>
                <w:lang w:eastAsia="zh-CN"/>
              </w:rPr>
              <w:t>材</w:t>
            </w:r>
            <w:r>
              <w:rPr>
                <w:rFonts w:ascii="Times New Roman" w:hAnsi="Times New Roman"/>
                <w:spacing w:val="-3"/>
                <w:kern w:val="0"/>
                <w:lang w:eastAsia="zh-CN"/>
              </w:rPr>
              <w:t>料</w:t>
            </w:r>
            <w:r>
              <w:rPr>
                <w:rFonts w:ascii="Times New Roman" w:hAnsi="Times New Roman"/>
                <w:kern w:val="0"/>
                <w:lang w:eastAsia="zh-CN"/>
              </w:rPr>
              <w:t>表</w:t>
            </w:r>
            <w:r>
              <w:rPr>
                <w:rFonts w:ascii="Times New Roman" w:hAnsi="Times New Roman"/>
                <w:spacing w:val="-3"/>
                <w:kern w:val="0"/>
                <w:lang w:eastAsia="zh-CN"/>
              </w:rPr>
              <w:t>面</w:t>
            </w:r>
            <w:r>
              <w:rPr>
                <w:rFonts w:ascii="Times New Roman" w:hAnsi="Times New Roman"/>
                <w:kern w:val="0"/>
                <w:lang w:eastAsia="zh-CN"/>
              </w:rPr>
              <w:t>处理</w:t>
            </w:r>
          </w:p>
        </w:tc>
        <w:tc>
          <w:tcPr>
            <w:tcW w:w="891"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26</w:t>
            </w:r>
          </w:p>
        </w:tc>
        <w:tc>
          <w:tcPr>
            <w:tcW w:w="1609"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制浆</w:t>
            </w:r>
            <w:r>
              <w:rPr>
                <w:rFonts w:ascii="Times New Roman" w:hAnsi="Times New Roman"/>
                <w:spacing w:val="-3"/>
                <w:kern w:val="0"/>
                <w:lang w:eastAsia="en-US"/>
              </w:rPr>
              <w:t>造</w:t>
            </w:r>
            <w:r>
              <w:rPr>
                <w:rFonts w:ascii="Times New Roman" w:hAnsi="Times New Roman"/>
                <w:kern w:val="0"/>
                <w:lang w:eastAsia="en-US"/>
              </w:rPr>
              <w:t>纸</w:t>
            </w:r>
          </w:p>
        </w:tc>
      </w:tr>
      <w:tr>
        <w:tblPrEx>
          <w:tblCellMar>
            <w:top w:w="0" w:type="dxa"/>
            <w:left w:w="0" w:type="dxa"/>
            <w:bottom w:w="0" w:type="dxa"/>
            <w:right w:w="0" w:type="dxa"/>
          </w:tblCellMar>
        </w:tblPrEx>
        <w:trPr>
          <w:trHeight w:val="350" w:hRule="exact"/>
        </w:trPr>
        <w:tc>
          <w:tcPr>
            <w:tcW w:w="646"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三</w:t>
            </w:r>
          </w:p>
        </w:tc>
        <w:tc>
          <w:tcPr>
            <w:tcW w:w="1853"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矿业</w:t>
            </w:r>
          </w:p>
        </w:tc>
        <w:tc>
          <w:tcPr>
            <w:tcW w:w="891"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27</w:t>
            </w:r>
          </w:p>
        </w:tc>
        <w:tc>
          <w:tcPr>
            <w:tcW w:w="1609"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纺织</w:t>
            </w:r>
            <w:r>
              <w:rPr>
                <w:rFonts w:ascii="Times New Roman" w:hAnsi="Times New Roman"/>
                <w:spacing w:val="-3"/>
                <w:kern w:val="0"/>
                <w:lang w:eastAsia="en-US"/>
              </w:rPr>
              <w:t>工</w:t>
            </w:r>
            <w:r>
              <w:rPr>
                <w:rFonts w:ascii="Times New Roman" w:hAnsi="Times New Roman"/>
                <w:kern w:val="0"/>
                <w:lang w:eastAsia="en-US"/>
              </w:rPr>
              <w:t>业</w:t>
            </w:r>
          </w:p>
        </w:tc>
      </w:tr>
      <w:tr>
        <w:tblPrEx>
          <w:tblCellMar>
            <w:top w:w="0" w:type="dxa"/>
            <w:left w:w="0" w:type="dxa"/>
            <w:bottom w:w="0" w:type="dxa"/>
            <w:right w:w="0" w:type="dxa"/>
          </w:tblCellMar>
        </w:tblPrEx>
        <w:trPr>
          <w:trHeight w:val="350" w:hRule="exact"/>
        </w:trPr>
        <w:tc>
          <w:tcPr>
            <w:tcW w:w="646"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11</w:t>
            </w:r>
          </w:p>
        </w:tc>
        <w:tc>
          <w:tcPr>
            <w:tcW w:w="1853"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水泥</w:t>
            </w:r>
            <w:r>
              <w:rPr>
                <w:rFonts w:ascii="Times New Roman" w:hAnsi="Times New Roman"/>
                <w:spacing w:val="-3"/>
                <w:kern w:val="0"/>
                <w:lang w:eastAsia="en-US"/>
              </w:rPr>
              <w:t>及</w:t>
            </w:r>
            <w:r>
              <w:rPr>
                <w:rFonts w:ascii="Times New Roman" w:hAnsi="Times New Roman"/>
                <w:kern w:val="0"/>
                <w:lang w:eastAsia="en-US"/>
              </w:rPr>
              <w:t>石</w:t>
            </w:r>
            <w:r>
              <w:rPr>
                <w:rFonts w:ascii="Times New Roman" w:hAnsi="Times New Roman"/>
                <w:spacing w:val="-3"/>
                <w:kern w:val="0"/>
                <w:lang w:eastAsia="en-US"/>
              </w:rPr>
              <w:t>灰</w:t>
            </w:r>
            <w:r>
              <w:rPr>
                <w:rFonts w:ascii="Times New Roman" w:hAnsi="Times New Roman"/>
                <w:kern w:val="0"/>
                <w:lang w:eastAsia="en-US"/>
              </w:rPr>
              <w:t>工业</w:t>
            </w:r>
          </w:p>
        </w:tc>
        <w:tc>
          <w:tcPr>
            <w:tcW w:w="891"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28</w:t>
            </w:r>
          </w:p>
        </w:tc>
        <w:tc>
          <w:tcPr>
            <w:tcW w:w="1609"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皮革</w:t>
            </w:r>
            <w:r>
              <w:rPr>
                <w:rFonts w:ascii="Times New Roman" w:hAnsi="Times New Roman"/>
                <w:spacing w:val="-3"/>
                <w:kern w:val="0"/>
                <w:lang w:eastAsia="en-US"/>
              </w:rPr>
              <w:t>工</w:t>
            </w:r>
            <w:r>
              <w:rPr>
                <w:rFonts w:ascii="Times New Roman" w:hAnsi="Times New Roman"/>
                <w:kern w:val="0"/>
                <w:lang w:eastAsia="en-US"/>
              </w:rPr>
              <w:t>业</w:t>
            </w:r>
          </w:p>
        </w:tc>
      </w:tr>
      <w:tr>
        <w:tblPrEx>
          <w:tblCellMar>
            <w:top w:w="0" w:type="dxa"/>
            <w:left w:w="0" w:type="dxa"/>
            <w:bottom w:w="0" w:type="dxa"/>
            <w:right w:w="0" w:type="dxa"/>
          </w:tblCellMar>
        </w:tblPrEx>
        <w:trPr>
          <w:trHeight w:val="350" w:hRule="exact"/>
        </w:trPr>
        <w:tc>
          <w:tcPr>
            <w:tcW w:w="646"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12</w:t>
            </w:r>
          </w:p>
        </w:tc>
        <w:tc>
          <w:tcPr>
            <w:tcW w:w="1853"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石棉</w:t>
            </w:r>
            <w:r>
              <w:rPr>
                <w:rFonts w:ascii="Times New Roman" w:hAnsi="Times New Roman"/>
                <w:spacing w:val="-3"/>
                <w:kern w:val="0"/>
                <w:lang w:eastAsia="en-US"/>
              </w:rPr>
              <w:t>生</w:t>
            </w:r>
            <w:r>
              <w:rPr>
                <w:rFonts w:ascii="Times New Roman" w:hAnsi="Times New Roman"/>
                <w:kern w:val="0"/>
                <w:lang w:eastAsia="en-US"/>
              </w:rPr>
              <w:t>产</w:t>
            </w:r>
          </w:p>
        </w:tc>
        <w:tc>
          <w:tcPr>
            <w:tcW w:w="891"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29</w:t>
            </w:r>
          </w:p>
        </w:tc>
        <w:tc>
          <w:tcPr>
            <w:tcW w:w="1609"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zh-CN"/>
              </w:rPr>
            </w:pPr>
            <w:r>
              <w:rPr>
                <w:rFonts w:ascii="Times New Roman" w:hAnsi="Times New Roman"/>
                <w:kern w:val="0"/>
                <w:lang w:eastAsia="zh-CN"/>
              </w:rPr>
              <w:t>屠宰</w:t>
            </w:r>
            <w:r>
              <w:rPr>
                <w:rFonts w:ascii="Times New Roman" w:hAnsi="Times New Roman"/>
                <w:spacing w:val="-3"/>
                <w:kern w:val="0"/>
                <w:lang w:eastAsia="zh-CN"/>
              </w:rPr>
              <w:t>及</w:t>
            </w:r>
            <w:r>
              <w:rPr>
                <w:rFonts w:ascii="Times New Roman" w:hAnsi="Times New Roman"/>
                <w:kern w:val="0"/>
                <w:lang w:eastAsia="zh-CN"/>
              </w:rPr>
              <w:t>乳</w:t>
            </w:r>
            <w:r>
              <w:rPr>
                <w:rFonts w:ascii="Times New Roman" w:hAnsi="Times New Roman"/>
                <w:spacing w:val="-3"/>
                <w:kern w:val="0"/>
                <w:lang w:eastAsia="zh-CN"/>
              </w:rPr>
              <w:t>制</w:t>
            </w:r>
            <w:r>
              <w:rPr>
                <w:rFonts w:ascii="Times New Roman" w:hAnsi="Times New Roman"/>
                <w:kern w:val="0"/>
                <w:lang w:eastAsia="zh-CN"/>
              </w:rPr>
              <w:t>品</w:t>
            </w:r>
            <w:r>
              <w:rPr>
                <w:rFonts w:ascii="Times New Roman" w:hAnsi="Times New Roman"/>
                <w:spacing w:val="-3"/>
                <w:kern w:val="0"/>
                <w:lang w:eastAsia="zh-CN"/>
              </w:rPr>
              <w:t>加</w:t>
            </w:r>
            <w:r>
              <w:rPr>
                <w:rFonts w:ascii="Times New Roman" w:hAnsi="Times New Roman"/>
                <w:kern w:val="0"/>
                <w:lang w:eastAsia="zh-CN"/>
              </w:rPr>
              <w:t>工</w:t>
            </w:r>
            <w:r>
              <w:rPr>
                <w:rFonts w:ascii="Times New Roman" w:hAnsi="Times New Roman"/>
                <w:spacing w:val="-3"/>
                <w:kern w:val="0"/>
                <w:lang w:eastAsia="zh-CN"/>
              </w:rPr>
              <w:t>工</w:t>
            </w:r>
            <w:r>
              <w:rPr>
                <w:rFonts w:ascii="Times New Roman" w:hAnsi="Times New Roman"/>
                <w:kern w:val="0"/>
                <w:lang w:eastAsia="zh-CN"/>
              </w:rPr>
              <w:t>业</w:t>
            </w:r>
          </w:p>
        </w:tc>
      </w:tr>
      <w:tr>
        <w:tblPrEx>
          <w:tblCellMar>
            <w:top w:w="0" w:type="dxa"/>
            <w:left w:w="0" w:type="dxa"/>
            <w:bottom w:w="0" w:type="dxa"/>
            <w:right w:w="0" w:type="dxa"/>
          </w:tblCellMar>
        </w:tblPrEx>
        <w:trPr>
          <w:trHeight w:val="350" w:hRule="exact"/>
        </w:trPr>
        <w:tc>
          <w:tcPr>
            <w:tcW w:w="646"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13</w:t>
            </w:r>
          </w:p>
        </w:tc>
        <w:tc>
          <w:tcPr>
            <w:tcW w:w="1853"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玻璃</w:t>
            </w:r>
            <w:r>
              <w:rPr>
                <w:rFonts w:ascii="Times New Roman" w:hAnsi="Times New Roman"/>
                <w:spacing w:val="-3"/>
                <w:kern w:val="0"/>
                <w:lang w:eastAsia="en-US"/>
              </w:rPr>
              <w:t>工</w:t>
            </w:r>
            <w:r>
              <w:rPr>
                <w:rFonts w:ascii="Times New Roman" w:hAnsi="Times New Roman"/>
                <w:kern w:val="0"/>
                <w:lang w:eastAsia="en-US"/>
              </w:rPr>
              <w:t>业</w:t>
            </w:r>
          </w:p>
        </w:tc>
        <w:tc>
          <w:tcPr>
            <w:tcW w:w="891"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30</w:t>
            </w:r>
          </w:p>
        </w:tc>
        <w:tc>
          <w:tcPr>
            <w:tcW w:w="1609"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动物</w:t>
            </w:r>
            <w:r>
              <w:rPr>
                <w:rFonts w:ascii="Times New Roman" w:hAnsi="Times New Roman"/>
                <w:spacing w:val="-3"/>
                <w:kern w:val="0"/>
                <w:lang w:eastAsia="en-US"/>
              </w:rPr>
              <w:t>废</w:t>
            </w:r>
            <w:r>
              <w:rPr>
                <w:rFonts w:ascii="Times New Roman" w:hAnsi="Times New Roman"/>
                <w:kern w:val="0"/>
                <w:lang w:eastAsia="en-US"/>
              </w:rPr>
              <w:t>物</w:t>
            </w:r>
            <w:r>
              <w:rPr>
                <w:rFonts w:ascii="Times New Roman" w:hAnsi="Times New Roman"/>
                <w:spacing w:val="-3"/>
                <w:kern w:val="0"/>
                <w:lang w:eastAsia="en-US"/>
              </w:rPr>
              <w:t>处</w:t>
            </w:r>
            <w:r>
              <w:rPr>
                <w:rFonts w:ascii="Times New Roman" w:hAnsi="Times New Roman"/>
                <w:kern w:val="0"/>
                <w:lang w:eastAsia="en-US"/>
              </w:rPr>
              <w:t>理</w:t>
            </w:r>
            <w:r>
              <w:rPr>
                <w:rFonts w:ascii="Times New Roman" w:hAnsi="Times New Roman"/>
                <w:spacing w:val="-3"/>
                <w:kern w:val="0"/>
                <w:lang w:eastAsia="en-US"/>
              </w:rPr>
              <w:t>处</w:t>
            </w:r>
            <w:r>
              <w:rPr>
                <w:rFonts w:ascii="Times New Roman" w:hAnsi="Times New Roman"/>
                <w:kern w:val="0"/>
                <w:lang w:eastAsia="en-US"/>
              </w:rPr>
              <w:t>置</w:t>
            </w:r>
          </w:p>
        </w:tc>
      </w:tr>
      <w:tr>
        <w:tblPrEx>
          <w:tblCellMar>
            <w:top w:w="0" w:type="dxa"/>
            <w:left w:w="0" w:type="dxa"/>
            <w:bottom w:w="0" w:type="dxa"/>
            <w:right w:w="0" w:type="dxa"/>
          </w:tblCellMar>
        </w:tblPrEx>
        <w:trPr>
          <w:trHeight w:val="350" w:hRule="exact"/>
        </w:trPr>
        <w:tc>
          <w:tcPr>
            <w:tcW w:w="646"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14</w:t>
            </w:r>
          </w:p>
        </w:tc>
        <w:tc>
          <w:tcPr>
            <w:tcW w:w="1853"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矿物</w:t>
            </w:r>
            <w:r>
              <w:rPr>
                <w:rFonts w:ascii="Times New Roman" w:hAnsi="Times New Roman"/>
                <w:spacing w:val="-3"/>
                <w:kern w:val="0"/>
                <w:lang w:eastAsia="en-US"/>
              </w:rPr>
              <w:t>纤</w:t>
            </w:r>
            <w:r>
              <w:rPr>
                <w:rFonts w:ascii="Times New Roman" w:hAnsi="Times New Roman"/>
                <w:kern w:val="0"/>
                <w:lang w:eastAsia="en-US"/>
              </w:rPr>
              <w:t>维</w:t>
            </w:r>
            <w:r>
              <w:rPr>
                <w:rFonts w:ascii="Times New Roman" w:hAnsi="Times New Roman"/>
                <w:spacing w:val="-3"/>
                <w:kern w:val="0"/>
                <w:lang w:eastAsia="en-US"/>
              </w:rPr>
              <w:t>生</w:t>
            </w:r>
            <w:r>
              <w:rPr>
                <w:rFonts w:ascii="Times New Roman" w:hAnsi="Times New Roman"/>
                <w:kern w:val="0"/>
                <w:lang w:eastAsia="en-US"/>
              </w:rPr>
              <w:t>产</w:t>
            </w:r>
          </w:p>
        </w:tc>
        <w:tc>
          <w:tcPr>
            <w:tcW w:w="891"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31</w:t>
            </w:r>
          </w:p>
        </w:tc>
        <w:tc>
          <w:tcPr>
            <w:tcW w:w="1609"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禽畜</w:t>
            </w:r>
            <w:r>
              <w:rPr>
                <w:rFonts w:ascii="Times New Roman" w:hAnsi="Times New Roman"/>
                <w:spacing w:val="-3"/>
                <w:kern w:val="0"/>
                <w:lang w:eastAsia="en-US"/>
              </w:rPr>
              <w:t>养</w:t>
            </w:r>
            <w:r>
              <w:rPr>
                <w:rFonts w:ascii="Times New Roman" w:hAnsi="Times New Roman"/>
                <w:kern w:val="0"/>
                <w:lang w:eastAsia="en-US"/>
              </w:rPr>
              <w:t>殖</w:t>
            </w:r>
          </w:p>
        </w:tc>
      </w:tr>
      <w:tr>
        <w:tblPrEx>
          <w:tblCellMar>
            <w:top w:w="0" w:type="dxa"/>
            <w:left w:w="0" w:type="dxa"/>
            <w:bottom w:w="0" w:type="dxa"/>
            <w:right w:w="0" w:type="dxa"/>
          </w:tblCellMar>
        </w:tblPrEx>
        <w:trPr>
          <w:trHeight w:val="350" w:hRule="exact"/>
        </w:trPr>
        <w:tc>
          <w:tcPr>
            <w:tcW w:w="646"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15</w:t>
            </w:r>
          </w:p>
        </w:tc>
        <w:tc>
          <w:tcPr>
            <w:tcW w:w="1853"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陶瓷</w:t>
            </w:r>
            <w:r>
              <w:rPr>
                <w:rFonts w:ascii="Times New Roman" w:hAnsi="Times New Roman"/>
                <w:spacing w:val="-3"/>
                <w:kern w:val="0"/>
                <w:lang w:eastAsia="en-US"/>
              </w:rPr>
              <w:t>、</w:t>
            </w:r>
            <w:r>
              <w:rPr>
                <w:rFonts w:ascii="Times New Roman" w:hAnsi="Times New Roman"/>
                <w:kern w:val="0"/>
                <w:lang w:eastAsia="en-US"/>
              </w:rPr>
              <w:t>砖</w:t>
            </w:r>
            <w:r>
              <w:rPr>
                <w:rFonts w:ascii="Times New Roman" w:hAnsi="Times New Roman"/>
                <w:spacing w:val="-3"/>
                <w:kern w:val="0"/>
                <w:lang w:eastAsia="en-US"/>
              </w:rPr>
              <w:t>瓦</w:t>
            </w:r>
            <w:r>
              <w:rPr>
                <w:rFonts w:ascii="Times New Roman" w:hAnsi="Times New Roman"/>
                <w:kern w:val="0"/>
                <w:lang w:eastAsia="en-US"/>
              </w:rPr>
              <w:t>工业</w:t>
            </w:r>
          </w:p>
        </w:tc>
        <w:tc>
          <w:tcPr>
            <w:tcW w:w="891"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32</w:t>
            </w:r>
          </w:p>
        </w:tc>
        <w:tc>
          <w:tcPr>
            <w:tcW w:w="1609"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表面</w:t>
            </w:r>
            <w:r>
              <w:rPr>
                <w:rFonts w:ascii="Times New Roman" w:hAnsi="Times New Roman"/>
                <w:spacing w:val="-3"/>
                <w:kern w:val="0"/>
                <w:lang w:eastAsia="en-US"/>
              </w:rPr>
              <w:t>涂</w:t>
            </w:r>
            <w:r>
              <w:rPr>
                <w:rFonts w:ascii="Times New Roman" w:hAnsi="Times New Roman"/>
                <w:kern w:val="0"/>
                <w:lang w:eastAsia="en-US"/>
              </w:rPr>
              <w:t>装</w:t>
            </w:r>
          </w:p>
        </w:tc>
      </w:tr>
      <w:tr>
        <w:tblPrEx>
          <w:tblCellMar>
            <w:top w:w="0" w:type="dxa"/>
            <w:left w:w="0" w:type="dxa"/>
            <w:bottom w:w="0" w:type="dxa"/>
            <w:right w:w="0" w:type="dxa"/>
          </w:tblCellMar>
        </w:tblPrEx>
        <w:trPr>
          <w:trHeight w:val="353" w:hRule="exact"/>
        </w:trPr>
        <w:tc>
          <w:tcPr>
            <w:tcW w:w="646"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四</w:t>
            </w:r>
          </w:p>
        </w:tc>
        <w:tc>
          <w:tcPr>
            <w:tcW w:w="1853"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化学</w:t>
            </w:r>
            <w:r>
              <w:rPr>
                <w:rFonts w:ascii="Times New Roman" w:hAnsi="Times New Roman"/>
                <w:spacing w:val="-3"/>
                <w:kern w:val="0"/>
                <w:lang w:eastAsia="en-US"/>
              </w:rPr>
              <w:t>工</w:t>
            </w:r>
            <w:r>
              <w:rPr>
                <w:rFonts w:ascii="Times New Roman" w:hAnsi="Times New Roman"/>
                <w:kern w:val="0"/>
                <w:lang w:eastAsia="en-US"/>
              </w:rPr>
              <w:t>业</w:t>
            </w:r>
          </w:p>
        </w:tc>
        <w:tc>
          <w:tcPr>
            <w:tcW w:w="891"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33</w:t>
            </w:r>
          </w:p>
        </w:tc>
        <w:tc>
          <w:tcPr>
            <w:tcW w:w="1609" w:type="pct"/>
            <w:tcBorders>
              <w:top w:val="single" w:color="000000" w:sz="4" w:space="0"/>
              <w:left w:val="single" w:color="000000" w:sz="4" w:space="0"/>
              <w:bottom w:val="single" w:color="000000" w:sz="4" w:space="0"/>
              <w:right w:val="single" w:color="000000" w:sz="4" w:space="0"/>
            </w:tcBorders>
            <w:vAlign w:val="center"/>
          </w:tcPr>
          <w:p>
            <w:pPr>
              <w:spacing w:line="242" w:lineRule="exact"/>
              <w:jc w:val="center"/>
              <w:rPr>
                <w:rFonts w:ascii="Times New Roman" w:hAnsi="Times New Roman"/>
                <w:kern w:val="0"/>
                <w:lang w:eastAsia="en-US"/>
              </w:rPr>
            </w:pPr>
            <w:r>
              <w:rPr>
                <w:rFonts w:ascii="Times New Roman" w:hAnsi="Times New Roman"/>
                <w:kern w:val="0"/>
                <w:lang w:eastAsia="en-US"/>
              </w:rPr>
              <w:t>石墨</w:t>
            </w:r>
            <w:r>
              <w:rPr>
                <w:rFonts w:ascii="Times New Roman" w:hAnsi="Times New Roman"/>
                <w:spacing w:val="-3"/>
                <w:kern w:val="0"/>
                <w:lang w:eastAsia="en-US"/>
              </w:rPr>
              <w:t>生</w:t>
            </w:r>
            <w:r>
              <w:rPr>
                <w:rFonts w:ascii="Times New Roman" w:hAnsi="Times New Roman"/>
                <w:kern w:val="0"/>
                <w:lang w:eastAsia="en-US"/>
              </w:rPr>
              <w:t>产</w:t>
            </w:r>
          </w:p>
        </w:tc>
      </w:tr>
      <w:tr>
        <w:tblPrEx>
          <w:tblCellMar>
            <w:top w:w="0" w:type="dxa"/>
            <w:left w:w="0" w:type="dxa"/>
            <w:bottom w:w="0" w:type="dxa"/>
            <w:right w:w="0" w:type="dxa"/>
          </w:tblCellMar>
        </w:tblPrEx>
        <w:trPr>
          <w:trHeight w:val="351" w:hRule="exact"/>
        </w:trPr>
        <w:tc>
          <w:tcPr>
            <w:tcW w:w="646"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kern w:val="0"/>
                <w:lang w:eastAsia="en-US"/>
              </w:rPr>
            </w:pPr>
            <w:r>
              <w:rPr>
                <w:rFonts w:ascii="Times New Roman" w:hAnsi="Times New Roman"/>
                <w:kern w:val="0"/>
                <w:lang w:eastAsia="en-US"/>
              </w:rPr>
              <w:t>16</w:t>
            </w:r>
          </w:p>
        </w:tc>
        <w:tc>
          <w:tcPr>
            <w:tcW w:w="1853" w:type="pc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kern w:val="0"/>
                <w:lang w:eastAsia="en-US"/>
              </w:rPr>
            </w:pPr>
            <w:r>
              <w:rPr>
                <w:rFonts w:ascii="Times New Roman" w:hAnsi="Times New Roman"/>
                <w:kern w:val="0"/>
                <w:lang w:eastAsia="en-US"/>
              </w:rPr>
              <w:t>基础</w:t>
            </w:r>
            <w:r>
              <w:rPr>
                <w:rFonts w:ascii="Times New Roman" w:hAnsi="Times New Roman"/>
                <w:spacing w:val="-3"/>
                <w:kern w:val="0"/>
                <w:lang w:eastAsia="en-US"/>
              </w:rPr>
              <w:t>有</w:t>
            </w:r>
            <w:r>
              <w:rPr>
                <w:rFonts w:ascii="Times New Roman" w:hAnsi="Times New Roman"/>
                <w:kern w:val="0"/>
                <w:lang w:eastAsia="en-US"/>
              </w:rPr>
              <w:t>机</w:t>
            </w:r>
            <w:r>
              <w:rPr>
                <w:rFonts w:ascii="Times New Roman" w:hAnsi="Times New Roman"/>
                <w:spacing w:val="-3"/>
                <w:kern w:val="0"/>
                <w:lang w:eastAsia="en-US"/>
              </w:rPr>
              <w:t>化</w:t>
            </w:r>
            <w:r>
              <w:rPr>
                <w:rFonts w:ascii="Times New Roman" w:hAnsi="Times New Roman"/>
                <w:kern w:val="0"/>
                <w:lang w:eastAsia="en-US"/>
              </w:rPr>
              <w:t>工</w:t>
            </w:r>
          </w:p>
        </w:tc>
        <w:tc>
          <w:tcPr>
            <w:tcW w:w="89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kern w:val="0"/>
                <w:sz w:val="22"/>
                <w:szCs w:val="22"/>
                <w:lang w:eastAsia="zh-CN"/>
              </w:rPr>
            </w:pPr>
            <w:r>
              <w:rPr>
                <w:rFonts w:hint="eastAsia" w:ascii="Times New Roman" w:hAnsi="Times New Roman"/>
                <w:kern w:val="0"/>
                <w:sz w:val="22"/>
                <w:szCs w:val="22"/>
                <w:lang w:eastAsia="zh-CN"/>
              </w:rPr>
              <w:t>/</w:t>
            </w:r>
          </w:p>
        </w:tc>
        <w:tc>
          <w:tcPr>
            <w:tcW w:w="1609"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kern w:val="0"/>
                <w:sz w:val="22"/>
                <w:szCs w:val="22"/>
                <w:lang w:eastAsia="zh-CN"/>
              </w:rPr>
            </w:pPr>
            <w:r>
              <w:rPr>
                <w:rFonts w:hint="eastAsia" w:ascii="Times New Roman" w:hAnsi="Times New Roman"/>
                <w:kern w:val="0"/>
                <w:sz w:val="22"/>
                <w:szCs w:val="22"/>
                <w:lang w:eastAsia="zh-CN"/>
              </w:rPr>
              <w:t>/</w:t>
            </w:r>
          </w:p>
        </w:tc>
      </w:tr>
    </w:tbl>
    <w:p>
      <w:pPr>
        <w:pStyle w:val="68"/>
        <w:rPr>
          <w:rFonts w:cs="Times New Roman"/>
        </w:rPr>
      </w:pPr>
      <w:r>
        <w:rPr>
          <w:rFonts w:cs="Times New Roman"/>
        </w:rPr>
        <w:t>IPPC 指令通过颁发许可证来实现对上述活动的控制，由欧盟各成员国的环境管理部门具体负责．许可证中规定有污染排放限值（废水、废气、噪声、固废等），以及一些等效的技术参数或工艺措施。这些排放限值、等效参数或技术措施必须在不妨碍环境质量达标的前提下，基于最佳可行技术(BAT) 。BAT技术的实质是在运营成本和环境效益之间取得平衡。</w:t>
      </w:r>
    </w:p>
    <w:p>
      <w:pPr>
        <w:pStyle w:val="68"/>
        <w:rPr>
          <w:rFonts w:cs="Times New Roman"/>
        </w:rPr>
      </w:pPr>
      <w:r>
        <w:rPr>
          <w:rFonts w:cs="Times New Roman"/>
        </w:rPr>
        <w:t>为配合IPPC指令以及许可证制度的实施，根据各成员国和工业部门信息交流的成果，欧盟委员会出版了33份行业BAT参考文件（BREF）。以欧盟发布的BREF为指导，各成员国结合本国的法律传统以及工业污染控制实践，将其转化为本国的标准。</w:t>
      </w:r>
    </w:p>
    <w:p>
      <w:pPr>
        <w:pStyle w:val="68"/>
        <w:rPr>
          <w:rFonts w:cs="Times New Roman"/>
        </w:rPr>
      </w:pPr>
      <w:r>
        <w:rPr>
          <w:rFonts w:cs="Times New Roman"/>
        </w:rPr>
        <w:t>在涉及VOCs控制的BAT指南文件中，建议根据废气流量、VOCs浓度选择控制技术，以及达到的控制水平(效率)。通常燃烧法的VOCs去除率很高 (﹥ 98%～99%) ，可使排放浓度低于20 mg/m</w:t>
      </w:r>
      <w:r>
        <w:rPr>
          <w:rFonts w:cs="Times New Roman"/>
          <w:vertAlign w:val="superscript"/>
        </w:rPr>
        <w:t>3</w:t>
      </w:r>
      <w:r>
        <w:rPr>
          <w:rFonts w:cs="Times New Roman"/>
        </w:rPr>
        <w:t>。吸附法、吸收法、冷凝法的VOCs去除率在95%以上，通常排放浓度可控制在100 mg/m</w:t>
      </w:r>
      <w:r>
        <w:rPr>
          <w:rFonts w:cs="Times New Roman"/>
          <w:vertAlign w:val="superscript"/>
        </w:rPr>
        <w:t xml:space="preserve">3 </w:t>
      </w:r>
      <w:r>
        <w:rPr>
          <w:rFonts w:cs="Times New Roman"/>
        </w:rPr>
        <w:t>以下，冷凝法一般只适用于高浓度的有机废气。</w:t>
      </w:r>
    </w:p>
    <w:p>
      <w:pPr>
        <w:pStyle w:val="68"/>
        <w:rPr>
          <w:rFonts w:cs="Times New Roman"/>
        </w:rPr>
      </w:pPr>
      <w:r>
        <w:rPr>
          <w:rFonts w:cs="Times New Roman"/>
        </w:rPr>
        <w:t>有机溶剂使用装置和活性</w:t>
      </w:r>
      <w:r>
        <w:rPr>
          <w:rFonts w:hint="eastAsia" w:cs="Times New Roman"/>
        </w:rPr>
        <w:t>VOCs</w:t>
      </w:r>
      <w:r>
        <w:rPr>
          <w:rFonts w:cs="Times New Roman"/>
        </w:rPr>
        <w:t>排放限值指令（1999/13/EC）适用于因使用有机溶剂而导致VOCs排放的生产活动和装置，该指令规定了废气中溶剂排放限值和百分比，指令还规定新源和现</w:t>
      </w:r>
      <w:r>
        <w:rPr>
          <w:rFonts w:hint="eastAsia" w:cs="Times New Roman"/>
        </w:rPr>
        <w:t>有</w:t>
      </w:r>
      <w:r>
        <w:rPr>
          <w:rFonts w:cs="Times New Roman"/>
        </w:rPr>
        <w:t>源分别在2001和 2007年前达到该指令的要求。这是当前欧盟的主要VOCs控制指令，该指令规定了热固卷筒纸胶印（平板印刷）、转轮凹版印刷、其他转轮凹版印刷、表面清洗、其他表面清洗、汽车涂装和修补、卷材涂装、其他包括金属/塑料/纺织品织物/胶卷/和纸涂装、电线涂装、木制品涂装、干洗、木片浸渍、皮革涂层、制鞋、木材和塑料叠层、胶黏剂涂敷、油墨/清漆/墨水/胶黏剂等生产、橡胶转化、植物油、动物油提取和植物油精制、药物产品生产等20个类别。该指令规定了不同规模下有组织排放限值、无组织排放限值（使用溶剂的挥发百分率），该指令从2001年4月1日实施，现有源则从2007年全面实施。当某类装置或活动的溶剂消耗量大于指令规定的阀值时（详见</w:t>
      </w:r>
      <w:r>
        <w:rPr>
          <w:rFonts w:cs="Times New Roman"/>
        </w:rPr>
        <w:fldChar w:fldCharType="begin"/>
      </w:r>
      <w:r>
        <w:rPr>
          <w:rFonts w:cs="Times New Roman"/>
        </w:rPr>
        <w:instrText xml:space="preserve"> REF _Ref26348483 \h  \* MERGEFORMAT </w:instrText>
      </w:r>
      <w:r>
        <w:rPr>
          <w:rFonts w:cs="Times New Roman"/>
        </w:rPr>
        <w:fldChar w:fldCharType="separate"/>
      </w:r>
      <w:r>
        <w:rPr>
          <w:rFonts w:cs="Times New Roman"/>
        </w:rPr>
        <w:t>表 5</w:t>
      </w:r>
      <w:r>
        <w:rPr>
          <w:rFonts w:cs="Times New Roman"/>
        </w:rPr>
        <w:noBreakHyphen/>
      </w:r>
      <w:r>
        <w:rPr>
          <w:rFonts w:cs="Times New Roman"/>
        </w:rPr>
        <w:fldChar w:fldCharType="end"/>
      </w:r>
      <w:r>
        <w:rPr>
          <w:rFonts w:cs="Times New Roman"/>
        </w:rPr>
        <w:t>12），此装置或活动即属于指令的控制范围。</w:t>
      </w:r>
    </w:p>
    <w:p>
      <w:pPr>
        <w:pStyle w:val="13"/>
        <w:spacing w:before="156" w:beforeLines="50" w:after="156" w:afterLines="50"/>
      </w:pPr>
      <w:bookmarkStart w:id="134" w:name="_Ref26348483"/>
      <w:r>
        <w:t xml:space="preserve">表 </w:t>
      </w:r>
      <w:r>
        <w:fldChar w:fldCharType="begin"/>
      </w:r>
      <w:r>
        <w:instrText xml:space="preserve"> STYLEREF 1 \s </w:instrText>
      </w:r>
      <w:r>
        <w:fldChar w:fldCharType="separate"/>
      </w:r>
      <w:r>
        <w:t>5</w:t>
      </w:r>
      <w:r>
        <w:fldChar w:fldCharType="end"/>
      </w:r>
      <w:r>
        <w:noBreakHyphen/>
      </w:r>
      <w:bookmarkEnd w:id="134"/>
      <w:r>
        <w:t>12各类装置或活动溶剂消耗量阈值</w:t>
      </w:r>
    </w:p>
    <w:tbl>
      <w:tblPr>
        <w:tblStyle w:val="9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4329"/>
        <w:gridCol w:w="3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70" w:type="pct"/>
            <w:vAlign w:val="center"/>
          </w:tcPr>
          <w:p>
            <w:pPr>
              <w:adjustRightInd w:val="0"/>
              <w:snapToGrid w:val="0"/>
              <w:jc w:val="center"/>
              <w:textAlignment w:val="baseline"/>
              <w:rPr>
                <w:rFonts w:ascii="Times New Roman" w:hAnsi="Times New Roman"/>
                <w:b/>
                <w:sz w:val="18"/>
                <w:szCs w:val="18"/>
              </w:rPr>
            </w:pPr>
            <w:r>
              <w:rPr>
                <w:rFonts w:ascii="Times New Roman" w:hAnsi="Times New Roman"/>
                <w:b/>
                <w:sz w:val="18"/>
                <w:szCs w:val="18"/>
              </w:rPr>
              <w:t>序号</w:t>
            </w:r>
          </w:p>
        </w:tc>
        <w:tc>
          <w:tcPr>
            <w:tcW w:w="2540" w:type="pct"/>
            <w:vAlign w:val="center"/>
          </w:tcPr>
          <w:p>
            <w:pPr>
              <w:adjustRightInd w:val="0"/>
              <w:snapToGrid w:val="0"/>
              <w:jc w:val="center"/>
              <w:textAlignment w:val="baseline"/>
              <w:rPr>
                <w:rFonts w:ascii="Times New Roman" w:hAnsi="Times New Roman"/>
                <w:b/>
                <w:sz w:val="18"/>
                <w:szCs w:val="18"/>
              </w:rPr>
            </w:pPr>
            <w:r>
              <w:rPr>
                <w:rFonts w:ascii="Times New Roman" w:hAnsi="Times New Roman"/>
                <w:b/>
                <w:sz w:val="18"/>
                <w:szCs w:val="18"/>
              </w:rPr>
              <w:t>溶剂使用装置和活动</w:t>
            </w:r>
          </w:p>
        </w:tc>
        <w:tc>
          <w:tcPr>
            <w:tcW w:w="1890" w:type="pct"/>
            <w:vAlign w:val="center"/>
          </w:tcPr>
          <w:p>
            <w:pPr>
              <w:adjustRightInd w:val="0"/>
              <w:snapToGrid w:val="0"/>
              <w:jc w:val="center"/>
              <w:textAlignment w:val="baseline"/>
              <w:rPr>
                <w:rFonts w:ascii="Times New Roman" w:hAnsi="Times New Roman"/>
                <w:b/>
                <w:sz w:val="18"/>
                <w:szCs w:val="18"/>
              </w:rPr>
            </w:pPr>
            <w:r>
              <w:rPr>
                <w:rFonts w:ascii="Times New Roman" w:hAnsi="Times New Roman"/>
                <w:b/>
                <w:sz w:val="18"/>
                <w:szCs w:val="18"/>
              </w:rPr>
              <w:t>溶剂消耗量阈值（吨/年）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1</w:t>
            </w:r>
          </w:p>
        </w:tc>
        <w:tc>
          <w:tcPr>
            <w:tcW w:w="254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热固轮转胶印印刷</w:t>
            </w:r>
          </w:p>
        </w:tc>
        <w:tc>
          <w:tcPr>
            <w:tcW w:w="189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&gt;15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2</w:t>
            </w:r>
          </w:p>
        </w:tc>
        <w:tc>
          <w:tcPr>
            <w:tcW w:w="254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出版物轮转凹版印刷</w:t>
            </w:r>
          </w:p>
        </w:tc>
        <w:tc>
          <w:tcPr>
            <w:tcW w:w="189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&gt;25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0" w:type="pct"/>
            <w:vMerge w:val="restar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3</w:t>
            </w:r>
          </w:p>
        </w:tc>
        <w:tc>
          <w:tcPr>
            <w:tcW w:w="254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其它轮转凹版印刷、柔性版印刷、旋转式丝网印刷、塑封和上光设备</w:t>
            </w:r>
          </w:p>
        </w:tc>
        <w:tc>
          <w:tcPr>
            <w:tcW w:w="189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&gt;15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0" w:type="pct"/>
            <w:vMerge w:val="continue"/>
            <w:vAlign w:val="center"/>
          </w:tcPr>
          <w:p>
            <w:pPr>
              <w:adjustRightInd w:val="0"/>
              <w:snapToGrid w:val="0"/>
              <w:jc w:val="center"/>
              <w:textAlignment w:val="baseline"/>
              <w:rPr>
                <w:rFonts w:ascii="Times New Roman" w:hAnsi="Times New Roman"/>
                <w:sz w:val="18"/>
                <w:szCs w:val="18"/>
              </w:rPr>
            </w:pPr>
          </w:p>
        </w:tc>
        <w:tc>
          <w:tcPr>
            <w:tcW w:w="254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纺织品或纸版旋转式丝网印刷</w:t>
            </w:r>
          </w:p>
        </w:tc>
        <w:tc>
          <w:tcPr>
            <w:tcW w:w="189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&gt;30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4</w:t>
            </w:r>
          </w:p>
        </w:tc>
        <w:tc>
          <w:tcPr>
            <w:tcW w:w="254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表面清洗</w:t>
            </w:r>
          </w:p>
        </w:tc>
        <w:tc>
          <w:tcPr>
            <w:tcW w:w="189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&gt;1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5</w:t>
            </w:r>
          </w:p>
        </w:tc>
        <w:tc>
          <w:tcPr>
            <w:tcW w:w="254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其它表面清洗</w:t>
            </w:r>
          </w:p>
        </w:tc>
        <w:tc>
          <w:tcPr>
            <w:tcW w:w="189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&gt;2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6</w:t>
            </w:r>
          </w:p>
        </w:tc>
        <w:tc>
          <w:tcPr>
            <w:tcW w:w="254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交通工具涂装和交通工具表面整修</w:t>
            </w:r>
          </w:p>
        </w:tc>
        <w:tc>
          <w:tcPr>
            <w:tcW w:w="189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&gt;0.5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7</w:t>
            </w:r>
          </w:p>
        </w:tc>
        <w:tc>
          <w:tcPr>
            <w:tcW w:w="254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卷钢涂装</w:t>
            </w:r>
          </w:p>
        </w:tc>
        <w:tc>
          <w:tcPr>
            <w:tcW w:w="189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&gt;25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8</w:t>
            </w:r>
          </w:p>
        </w:tc>
        <w:tc>
          <w:tcPr>
            <w:tcW w:w="254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其它涂装包括金属、塑料、纺织品、纤维织物、胶片和纸张</w:t>
            </w:r>
          </w:p>
        </w:tc>
        <w:tc>
          <w:tcPr>
            <w:tcW w:w="189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&gt;5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9</w:t>
            </w:r>
          </w:p>
        </w:tc>
        <w:tc>
          <w:tcPr>
            <w:tcW w:w="254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绕组线涂装</w:t>
            </w:r>
          </w:p>
        </w:tc>
        <w:tc>
          <w:tcPr>
            <w:tcW w:w="189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&gt;5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10</w:t>
            </w:r>
          </w:p>
        </w:tc>
        <w:tc>
          <w:tcPr>
            <w:tcW w:w="254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木制表面涂装</w:t>
            </w:r>
          </w:p>
        </w:tc>
        <w:tc>
          <w:tcPr>
            <w:tcW w:w="189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&gt;15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11</w:t>
            </w:r>
          </w:p>
        </w:tc>
        <w:tc>
          <w:tcPr>
            <w:tcW w:w="254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干洗</w:t>
            </w:r>
          </w:p>
        </w:tc>
        <w:tc>
          <w:tcPr>
            <w:tcW w:w="1890" w:type="pct"/>
            <w:vAlign w:val="center"/>
          </w:tcPr>
          <w:p>
            <w:pPr>
              <w:adjustRightInd w:val="0"/>
              <w:snapToGrid w:val="0"/>
              <w:jc w:val="center"/>
              <w:textAlignment w:val="baseline"/>
              <w:rPr>
                <w:rFonts w:ascii="Times New Roman" w:hAnsi="Times New Roman"/>
                <w:sz w:val="18"/>
                <w:szCs w:val="18"/>
              </w:rPr>
            </w:pPr>
            <w:r>
              <w:rPr>
                <w:rFonts w:hint="eastAsia" w:ascii="Times New Roman" w:hAnsi="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12</w:t>
            </w:r>
          </w:p>
        </w:tc>
        <w:tc>
          <w:tcPr>
            <w:tcW w:w="254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木材防腐</w:t>
            </w:r>
          </w:p>
        </w:tc>
        <w:tc>
          <w:tcPr>
            <w:tcW w:w="189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&gt;25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13</w:t>
            </w:r>
          </w:p>
        </w:tc>
        <w:tc>
          <w:tcPr>
            <w:tcW w:w="254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皮革涂装</w:t>
            </w:r>
          </w:p>
        </w:tc>
        <w:tc>
          <w:tcPr>
            <w:tcW w:w="189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&gt;10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14</w:t>
            </w:r>
          </w:p>
        </w:tc>
        <w:tc>
          <w:tcPr>
            <w:tcW w:w="254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制鞋</w:t>
            </w:r>
          </w:p>
        </w:tc>
        <w:tc>
          <w:tcPr>
            <w:tcW w:w="189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&gt;5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15</w:t>
            </w:r>
          </w:p>
        </w:tc>
        <w:tc>
          <w:tcPr>
            <w:tcW w:w="254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人造装饰面板</w:t>
            </w:r>
          </w:p>
        </w:tc>
        <w:tc>
          <w:tcPr>
            <w:tcW w:w="189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&gt;5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16</w:t>
            </w:r>
          </w:p>
        </w:tc>
        <w:tc>
          <w:tcPr>
            <w:tcW w:w="254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胶带生产</w:t>
            </w:r>
          </w:p>
        </w:tc>
        <w:tc>
          <w:tcPr>
            <w:tcW w:w="189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&gt;5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17</w:t>
            </w:r>
          </w:p>
        </w:tc>
        <w:tc>
          <w:tcPr>
            <w:tcW w:w="254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涂料制品、清漆、油墨和胶黏剂的生产</w:t>
            </w:r>
          </w:p>
        </w:tc>
        <w:tc>
          <w:tcPr>
            <w:tcW w:w="189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&gt;100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18</w:t>
            </w:r>
          </w:p>
        </w:tc>
        <w:tc>
          <w:tcPr>
            <w:tcW w:w="254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橡胶转化</w:t>
            </w:r>
          </w:p>
        </w:tc>
        <w:tc>
          <w:tcPr>
            <w:tcW w:w="189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&gt;15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19</w:t>
            </w:r>
          </w:p>
        </w:tc>
        <w:tc>
          <w:tcPr>
            <w:tcW w:w="254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植物油和动物脂肪萃取、植物油精炼</w:t>
            </w:r>
          </w:p>
        </w:tc>
        <w:tc>
          <w:tcPr>
            <w:tcW w:w="189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&gt;10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20</w:t>
            </w:r>
          </w:p>
        </w:tc>
        <w:tc>
          <w:tcPr>
            <w:tcW w:w="254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药用产品生产</w:t>
            </w:r>
          </w:p>
        </w:tc>
        <w:tc>
          <w:tcPr>
            <w:tcW w:w="1890" w:type="pct"/>
            <w:vAlign w:val="center"/>
          </w:tcPr>
          <w:p>
            <w:pPr>
              <w:adjustRightInd w:val="0"/>
              <w:snapToGrid w:val="0"/>
              <w:jc w:val="center"/>
              <w:textAlignment w:val="baseline"/>
              <w:rPr>
                <w:rFonts w:ascii="Times New Roman" w:hAnsi="Times New Roman"/>
                <w:sz w:val="18"/>
                <w:szCs w:val="18"/>
              </w:rPr>
            </w:pPr>
            <w:r>
              <w:rPr>
                <w:rFonts w:ascii="Times New Roman" w:hAnsi="Times New Roman"/>
                <w:sz w:val="18"/>
                <w:szCs w:val="18"/>
              </w:rPr>
              <w:t>&gt;50</w:t>
            </w:r>
          </w:p>
        </w:tc>
      </w:tr>
    </w:tbl>
    <w:p>
      <w:pPr>
        <w:adjustRightInd w:val="0"/>
        <w:snapToGrid w:val="0"/>
        <w:textAlignment w:val="baseline"/>
        <w:rPr>
          <w:rFonts w:ascii="Times New Roman" w:hAnsi="Times New Roman"/>
        </w:rPr>
      </w:pPr>
      <w:r>
        <w:rPr>
          <w:rFonts w:ascii="Times New Roman" w:hAnsi="Times New Roman"/>
        </w:rPr>
        <w:t>注：除非另作说明，每一项活动包含设备清洗，但不包含产品清洗。</w:t>
      </w:r>
    </w:p>
    <w:p>
      <w:pPr>
        <w:pStyle w:val="68"/>
        <w:rPr>
          <w:rFonts w:cs="Times New Roman"/>
        </w:rPr>
      </w:pPr>
      <w:r>
        <w:rPr>
          <w:rFonts w:cs="Times New Roman"/>
        </w:rPr>
        <w:t>有机溶剂使用装置和活动有组织排放限值、无组织排放限值、总排放限值见</w:t>
      </w:r>
      <w:r>
        <w:rPr>
          <w:rFonts w:cs="Times New Roman"/>
        </w:rPr>
        <w:fldChar w:fldCharType="begin"/>
      </w:r>
      <w:r>
        <w:rPr>
          <w:rFonts w:cs="Times New Roman"/>
        </w:rPr>
        <w:instrText xml:space="preserve"> REF _Ref26348498 \h  \* MERGEFORMAT </w:instrText>
      </w:r>
      <w:r>
        <w:rPr>
          <w:rFonts w:cs="Times New Roman"/>
        </w:rPr>
        <w:fldChar w:fldCharType="separate"/>
      </w:r>
      <w:r>
        <w:rPr>
          <w:rFonts w:cs="Times New Roman"/>
        </w:rPr>
        <w:t>表 5</w:t>
      </w:r>
      <w:r>
        <w:rPr>
          <w:rFonts w:cs="Times New Roman"/>
        </w:rPr>
        <w:noBreakHyphen/>
      </w:r>
      <w:r>
        <w:rPr>
          <w:rFonts w:cs="Times New Roman"/>
        </w:rPr>
        <w:fldChar w:fldCharType="end"/>
      </w:r>
      <w:r>
        <w:rPr>
          <w:rFonts w:cs="Times New Roman"/>
        </w:rPr>
        <w:t>13。</w:t>
      </w:r>
    </w:p>
    <w:p>
      <w:pPr>
        <w:pStyle w:val="13"/>
        <w:spacing w:before="156" w:beforeLines="50" w:after="156" w:afterLines="50"/>
      </w:pPr>
      <w:bookmarkStart w:id="135" w:name="_Ref26348498"/>
      <w:r>
        <w:t xml:space="preserve">表 </w:t>
      </w:r>
      <w:r>
        <w:fldChar w:fldCharType="begin"/>
      </w:r>
      <w:r>
        <w:instrText xml:space="preserve"> STYLEREF 1 \s </w:instrText>
      </w:r>
      <w:r>
        <w:fldChar w:fldCharType="separate"/>
      </w:r>
      <w:r>
        <w:t>5</w:t>
      </w:r>
      <w:r>
        <w:fldChar w:fldCharType="end"/>
      </w:r>
      <w:r>
        <w:noBreakHyphen/>
      </w:r>
      <w:bookmarkEnd w:id="135"/>
      <w:r>
        <w:t>13 各类装置VOCs排放限值（即2008年执行标准）</w:t>
      </w:r>
    </w:p>
    <w:tbl>
      <w:tblPr>
        <w:tblStyle w:val="9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
        <w:gridCol w:w="2296"/>
        <w:gridCol w:w="1145"/>
        <w:gridCol w:w="992"/>
        <w:gridCol w:w="892"/>
        <w:gridCol w:w="147"/>
        <w:gridCol w:w="806"/>
        <w:gridCol w:w="708"/>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289" w:type="pct"/>
            <w:vMerge w:val="restart"/>
            <w:vAlign w:val="center"/>
          </w:tcPr>
          <w:p>
            <w:pPr>
              <w:adjustRightInd w:val="0"/>
              <w:snapToGrid w:val="0"/>
              <w:jc w:val="center"/>
              <w:textAlignment w:val="baseline"/>
              <w:rPr>
                <w:rFonts w:ascii="Times New Roman" w:hAnsi="Times New Roman"/>
                <w:b/>
              </w:rPr>
            </w:pPr>
            <w:r>
              <w:rPr>
                <w:rFonts w:ascii="Times New Roman" w:hAnsi="Times New Roman"/>
                <w:b/>
              </w:rPr>
              <w:t>序号</w:t>
            </w:r>
          </w:p>
        </w:tc>
        <w:tc>
          <w:tcPr>
            <w:tcW w:w="1347" w:type="pct"/>
            <w:vMerge w:val="restart"/>
            <w:tcBorders>
              <w:bottom w:val="single" w:color="auto" w:sz="4" w:space="0"/>
            </w:tcBorders>
            <w:vAlign w:val="center"/>
          </w:tcPr>
          <w:p>
            <w:pPr>
              <w:adjustRightInd w:val="0"/>
              <w:snapToGrid w:val="0"/>
              <w:jc w:val="center"/>
              <w:textAlignment w:val="baseline"/>
              <w:rPr>
                <w:rFonts w:ascii="Times New Roman" w:hAnsi="Times New Roman"/>
                <w:b/>
              </w:rPr>
            </w:pPr>
            <w:r>
              <w:rPr>
                <w:rFonts w:ascii="Times New Roman" w:hAnsi="Times New Roman"/>
                <w:b/>
              </w:rPr>
              <w:t>活动水平（溶剂消耗）（吨/年）</w:t>
            </w:r>
          </w:p>
        </w:tc>
        <w:tc>
          <w:tcPr>
            <w:tcW w:w="672" w:type="pct"/>
            <w:vMerge w:val="restart"/>
            <w:vAlign w:val="center"/>
          </w:tcPr>
          <w:p>
            <w:pPr>
              <w:adjustRightInd w:val="0"/>
              <w:snapToGrid w:val="0"/>
              <w:jc w:val="center"/>
              <w:textAlignment w:val="baseline"/>
              <w:rPr>
                <w:rFonts w:ascii="Times New Roman" w:hAnsi="Times New Roman"/>
                <w:b/>
              </w:rPr>
            </w:pPr>
            <w:r>
              <w:rPr>
                <w:rFonts w:ascii="Times New Roman" w:hAnsi="Times New Roman"/>
                <w:b/>
              </w:rPr>
              <w:t>阈值（溶剂消耗）（吨/年）</w:t>
            </w:r>
          </w:p>
        </w:tc>
        <w:tc>
          <w:tcPr>
            <w:tcW w:w="582" w:type="pct"/>
            <w:vMerge w:val="restart"/>
            <w:vAlign w:val="center"/>
          </w:tcPr>
          <w:p>
            <w:pPr>
              <w:adjustRightInd w:val="0"/>
              <w:snapToGrid w:val="0"/>
              <w:jc w:val="center"/>
              <w:textAlignment w:val="baseline"/>
              <w:rPr>
                <w:rFonts w:ascii="Times New Roman" w:hAnsi="Times New Roman"/>
                <w:b/>
              </w:rPr>
            </w:pPr>
            <w:r>
              <w:rPr>
                <w:rFonts w:ascii="Times New Roman" w:hAnsi="Times New Roman"/>
                <w:b/>
              </w:rPr>
              <w:t>废气排放限值</w:t>
            </w:r>
          </w:p>
          <w:p>
            <w:pPr>
              <w:adjustRightInd w:val="0"/>
              <w:snapToGrid w:val="0"/>
              <w:jc w:val="center"/>
              <w:textAlignment w:val="baseline"/>
              <w:rPr>
                <w:rFonts w:ascii="Times New Roman" w:hAnsi="Times New Roman"/>
                <w:b/>
              </w:rPr>
            </w:pPr>
            <w:r>
              <w:rPr>
                <w:rFonts w:ascii="Times New Roman" w:hAnsi="Times New Roman"/>
                <w:b/>
              </w:rPr>
              <w:t>（mg/Nm</w:t>
            </w:r>
            <w:r>
              <w:rPr>
                <w:rFonts w:ascii="Times New Roman" w:hAnsi="Times New Roman"/>
                <w:b/>
                <w:vertAlign w:val="superscript"/>
              </w:rPr>
              <w:t>3</w:t>
            </w:r>
            <w:r>
              <w:rPr>
                <w:rFonts w:ascii="Times New Roman" w:hAnsi="Times New Roman"/>
                <w:b/>
              </w:rPr>
              <w:t>）</w:t>
            </w:r>
          </w:p>
        </w:tc>
        <w:tc>
          <w:tcPr>
            <w:tcW w:w="1082" w:type="pct"/>
            <w:gridSpan w:val="3"/>
            <w:vAlign w:val="center"/>
          </w:tcPr>
          <w:p>
            <w:pPr>
              <w:adjustRightInd w:val="0"/>
              <w:snapToGrid w:val="0"/>
              <w:jc w:val="center"/>
              <w:textAlignment w:val="baseline"/>
              <w:rPr>
                <w:rFonts w:ascii="Times New Roman" w:hAnsi="Times New Roman"/>
                <w:b/>
              </w:rPr>
            </w:pPr>
            <w:r>
              <w:rPr>
                <w:rFonts w:ascii="Times New Roman" w:hAnsi="Times New Roman"/>
                <w:b/>
              </w:rPr>
              <w:t>无组织排放限值（溶剂用量百分比）</w:t>
            </w:r>
          </w:p>
        </w:tc>
        <w:tc>
          <w:tcPr>
            <w:tcW w:w="1027" w:type="pct"/>
            <w:gridSpan w:val="2"/>
            <w:vAlign w:val="center"/>
          </w:tcPr>
          <w:p>
            <w:pPr>
              <w:adjustRightInd w:val="0"/>
              <w:snapToGrid w:val="0"/>
              <w:jc w:val="center"/>
              <w:textAlignment w:val="baseline"/>
              <w:rPr>
                <w:rFonts w:ascii="Times New Roman" w:hAnsi="Times New Roman"/>
                <w:b/>
              </w:rPr>
            </w:pPr>
            <w:r>
              <w:rPr>
                <w:rFonts w:ascii="Times New Roman" w:hAnsi="Times New Roman"/>
                <w:b/>
              </w:rPr>
              <w:t>总排放限值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289" w:type="pct"/>
            <w:vMerge w:val="continue"/>
            <w:vAlign w:val="center"/>
          </w:tcPr>
          <w:p>
            <w:pPr>
              <w:adjustRightInd w:val="0"/>
              <w:snapToGrid w:val="0"/>
              <w:jc w:val="center"/>
              <w:textAlignment w:val="baseline"/>
              <w:rPr>
                <w:rFonts w:ascii="Times New Roman" w:hAnsi="Times New Roman"/>
                <w:b/>
              </w:rPr>
            </w:pPr>
          </w:p>
        </w:tc>
        <w:tc>
          <w:tcPr>
            <w:tcW w:w="1347" w:type="pct"/>
            <w:vMerge w:val="continue"/>
            <w:tcBorders>
              <w:bottom w:val="single" w:color="auto" w:sz="4" w:space="0"/>
            </w:tcBorders>
            <w:vAlign w:val="center"/>
          </w:tcPr>
          <w:p>
            <w:pPr>
              <w:adjustRightInd w:val="0"/>
              <w:snapToGrid w:val="0"/>
              <w:jc w:val="center"/>
              <w:textAlignment w:val="baseline"/>
              <w:rPr>
                <w:rFonts w:ascii="Times New Roman" w:hAnsi="Times New Roman"/>
                <w:b/>
              </w:rPr>
            </w:pPr>
          </w:p>
        </w:tc>
        <w:tc>
          <w:tcPr>
            <w:tcW w:w="672" w:type="pct"/>
            <w:vMerge w:val="continue"/>
            <w:vAlign w:val="center"/>
          </w:tcPr>
          <w:p>
            <w:pPr>
              <w:adjustRightInd w:val="0"/>
              <w:snapToGrid w:val="0"/>
              <w:jc w:val="center"/>
              <w:textAlignment w:val="baseline"/>
              <w:rPr>
                <w:rFonts w:ascii="Times New Roman" w:hAnsi="Times New Roman"/>
                <w:b/>
              </w:rPr>
            </w:pPr>
          </w:p>
        </w:tc>
        <w:tc>
          <w:tcPr>
            <w:tcW w:w="582" w:type="pct"/>
            <w:vMerge w:val="continue"/>
            <w:vAlign w:val="center"/>
          </w:tcPr>
          <w:p>
            <w:pPr>
              <w:adjustRightInd w:val="0"/>
              <w:snapToGrid w:val="0"/>
              <w:jc w:val="center"/>
              <w:textAlignment w:val="baseline"/>
              <w:rPr>
                <w:rFonts w:ascii="Times New Roman" w:hAnsi="Times New Roman"/>
                <w:b/>
              </w:rPr>
            </w:pPr>
          </w:p>
        </w:tc>
        <w:tc>
          <w:tcPr>
            <w:tcW w:w="523" w:type="pct"/>
            <w:vAlign w:val="center"/>
          </w:tcPr>
          <w:p>
            <w:pPr>
              <w:adjustRightInd w:val="0"/>
              <w:snapToGrid w:val="0"/>
              <w:jc w:val="center"/>
              <w:textAlignment w:val="baseline"/>
              <w:rPr>
                <w:rFonts w:ascii="Times New Roman" w:hAnsi="Times New Roman"/>
                <w:b/>
              </w:rPr>
            </w:pPr>
            <w:r>
              <w:rPr>
                <w:rFonts w:ascii="Times New Roman" w:hAnsi="Times New Roman"/>
                <w:b/>
              </w:rPr>
              <w:t>新源</w:t>
            </w:r>
          </w:p>
        </w:tc>
        <w:tc>
          <w:tcPr>
            <w:tcW w:w="559" w:type="pct"/>
            <w:gridSpan w:val="2"/>
            <w:vAlign w:val="center"/>
          </w:tcPr>
          <w:p>
            <w:pPr>
              <w:adjustRightInd w:val="0"/>
              <w:snapToGrid w:val="0"/>
              <w:jc w:val="center"/>
              <w:textAlignment w:val="baseline"/>
              <w:rPr>
                <w:rFonts w:ascii="Times New Roman" w:hAnsi="Times New Roman"/>
                <w:b/>
              </w:rPr>
            </w:pPr>
            <w:r>
              <w:rPr>
                <w:rFonts w:ascii="Times New Roman" w:hAnsi="Times New Roman"/>
                <w:b/>
              </w:rPr>
              <w:t>现有源</w:t>
            </w:r>
          </w:p>
        </w:tc>
        <w:tc>
          <w:tcPr>
            <w:tcW w:w="415" w:type="pct"/>
            <w:vAlign w:val="center"/>
          </w:tcPr>
          <w:p>
            <w:pPr>
              <w:adjustRightInd w:val="0"/>
              <w:snapToGrid w:val="0"/>
              <w:jc w:val="center"/>
              <w:textAlignment w:val="baseline"/>
              <w:rPr>
                <w:rFonts w:ascii="Times New Roman" w:hAnsi="Times New Roman"/>
                <w:b/>
              </w:rPr>
            </w:pPr>
            <w:r>
              <w:rPr>
                <w:rFonts w:ascii="Times New Roman" w:hAnsi="Times New Roman"/>
                <w:b/>
              </w:rPr>
              <w:t>新源</w:t>
            </w:r>
          </w:p>
        </w:tc>
        <w:tc>
          <w:tcPr>
            <w:tcW w:w="612" w:type="pct"/>
            <w:vAlign w:val="center"/>
          </w:tcPr>
          <w:p>
            <w:pPr>
              <w:adjustRightInd w:val="0"/>
              <w:snapToGrid w:val="0"/>
              <w:jc w:val="center"/>
              <w:textAlignment w:val="baseline"/>
              <w:rPr>
                <w:rFonts w:ascii="Times New Roman" w:hAnsi="Times New Roman"/>
                <w:b/>
              </w:rPr>
            </w:pPr>
            <w:r>
              <w:rPr>
                <w:rFonts w:ascii="Times New Roman" w:hAnsi="Times New Roman"/>
                <w:b/>
              </w:rPr>
              <w:t>现有源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9" w:type="pct"/>
            <w:vAlign w:val="center"/>
          </w:tcPr>
          <w:p>
            <w:pPr>
              <w:adjustRightInd w:val="0"/>
              <w:snapToGrid w:val="0"/>
              <w:jc w:val="center"/>
              <w:textAlignment w:val="baseline"/>
              <w:rPr>
                <w:rFonts w:ascii="Times New Roman" w:hAnsi="Times New Roman"/>
              </w:rPr>
            </w:pPr>
            <w:r>
              <w:rPr>
                <w:rFonts w:ascii="Times New Roman" w:hAnsi="Times New Roman"/>
              </w:rPr>
              <w:t>1</w:t>
            </w:r>
          </w:p>
        </w:tc>
        <w:tc>
          <w:tcPr>
            <w:tcW w:w="1347" w:type="pct"/>
            <w:tcBorders>
              <w:top w:val="single" w:color="auto" w:sz="4" w:space="0"/>
            </w:tcBorders>
            <w:vAlign w:val="center"/>
          </w:tcPr>
          <w:p>
            <w:pPr>
              <w:adjustRightInd w:val="0"/>
              <w:snapToGrid w:val="0"/>
              <w:jc w:val="center"/>
              <w:textAlignment w:val="baseline"/>
              <w:rPr>
                <w:rFonts w:ascii="Times New Roman" w:hAnsi="Times New Roman"/>
              </w:rPr>
            </w:pPr>
            <w:r>
              <w:rPr>
                <w:rFonts w:ascii="Times New Roman" w:hAnsi="Times New Roman"/>
              </w:rPr>
              <w:t>热固轮转胶印印刷（&gt;15）</w:t>
            </w:r>
          </w:p>
        </w:tc>
        <w:tc>
          <w:tcPr>
            <w:tcW w:w="672" w:type="pct"/>
            <w:vAlign w:val="center"/>
          </w:tcPr>
          <w:p>
            <w:pPr>
              <w:adjustRightInd w:val="0"/>
              <w:snapToGrid w:val="0"/>
              <w:jc w:val="center"/>
              <w:textAlignment w:val="baseline"/>
              <w:rPr>
                <w:rFonts w:ascii="Times New Roman" w:hAnsi="Times New Roman"/>
              </w:rPr>
            </w:pPr>
            <w:r>
              <w:rPr>
                <w:rFonts w:ascii="Times New Roman" w:hAnsi="Times New Roman"/>
              </w:rPr>
              <w:t>15-25</w:t>
            </w:r>
          </w:p>
        </w:tc>
        <w:tc>
          <w:tcPr>
            <w:tcW w:w="582" w:type="pct"/>
            <w:vAlign w:val="center"/>
          </w:tcPr>
          <w:p>
            <w:pPr>
              <w:adjustRightInd w:val="0"/>
              <w:snapToGrid w:val="0"/>
              <w:jc w:val="center"/>
              <w:textAlignment w:val="baseline"/>
              <w:rPr>
                <w:rFonts w:ascii="Times New Roman" w:hAnsi="Times New Roman"/>
              </w:rPr>
            </w:pPr>
            <w:r>
              <w:rPr>
                <w:rFonts w:ascii="Times New Roman" w:hAnsi="Times New Roman"/>
              </w:rPr>
              <w:t>100</w:t>
            </w:r>
          </w:p>
          <w:p>
            <w:pPr>
              <w:adjustRightInd w:val="0"/>
              <w:snapToGrid w:val="0"/>
              <w:jc w:val="center"/>
              <w:textAlignment w:val="baseline"/>
              <w:rPr>
                <w:rFonts w:ascii="Times New Roman" w:hAnsi="Times New Roman"/>
              </w:rPr>
            </w:pPr>
            <w:r>
              <w:rPr>
                <w:rFonts w:ascii="Times New Roman" w:hAnsi="Times New Roman"/>
              </w:rPr>
              <w:t>20</w:t>
            </w:r>
          </w:p>
        </w:tc>
        <w:tc>
          <w:tcPr>
            <w:tcW w:w="1082" w:type="pct"/>
            <w:gridSpan w:val="3"/>
            <w:vAlign w:val="center"/>
          </w:tcPr>
          <w:p>
            <w:pPr>
              <w:adjustRightInd w:val="0"/>
              <w:snapToGrid w:val="0"/>
              <w:jc w:val="center"/>
              <w:textAlignment w:val="baseline"/>
              <w:rPr>
                <w:rFonts w:ascii="Times New Roman" w:hAnsi="Times New Roman"/>
              </w:rPr>
            </w:pPr>
            <w:r>
              <w:rPr>
                <w:rFonts w:ascii="Times New Roman" w:hAnsi="Times New Roman"/>
              </w:rPr>
              <w:t>30</w:t>
            </w:r>
          </w:p>
          <w:p>
            <w:pPr>
              <w:adjustRightInd w:val="0"/>
              <w:snapToGrid w:val="0"/>
              <w:jc w:val="center"/>
              <w:textAlignment w:val="baseline"/>
              <w:rPr>
                <w:rFonts w:ascii="Times New Roman" w:hAnsi="Times New Roman"/>
              </w:rPr>
            </w:pPr>
            <w:r>
              <w:rPr>
                <w:rFonts w:ascii="Times New Roman" w:hAnsi="Times New Roman"/>
              </w:rPr>
              <w:t>30</w:t>
            </w:r>
          </w:p>
        </w:tc>
        <w:tc>
          <w:tcPr>
            <w:tcW w:w="1027" w:type="pct"/>
            <w:gridSpan w:val="2"/>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9" w:type="pct"/>
            <w:vAlign w:val="center"/>
          </w:tcPr>
          <w:p>
            <w:pPr>
              <w:adjustRightInd w:val="0"/>
              <w:snapToGrid w:val="0"/>
              <w:jc w:val="center"/>
              <w:textAlignment w:val="baseline"/>
              <w:rPr>
                <w:rFonts w:ascii="Times New Roman" w:hAnsi="Times New Roman"/>
              </w:rPr>
            </w:pPr>
            <w:r>
              <w:rPr>
                <w:rFonts w:ascii="Times New Roman" w:hAnsi="Times New Roman"/>
              </w:rPr>
              <w:t>2</w:t>
            </w:r>
          </w:p>
        </w:tc>
        <w:tc>
          <w:tcPr>
            <w:tcW w:w="1347" w:type="pct"/>
            <w:tcBorders>
              <w:bottom w:val="single" w:color="auto" w:sz="4" w:space="0"/>
            </w:tcBorders>
            <w:vAlign w:val="center"/>
          </w:tcPr>
          <w:p>
            <w:pPr>
              <w:adjustRightInd w:val="0"/>
              <w:snapToGrid w:val="0"/>
              <w:jc w:val="center"/>
              <w:textAlignment w:val="baseline"/>
              <w:rPr>
                <w:rFonts w:ascii="Times New Roman" w:hAnsi="Times New Roman"/>
              </w:rPr>
            </w:pPr>
            <w:r>
              <w:rPr>
                <w:rFonts w:ascii="Times New Roman" w:hAnsi="Times New Roman"/>
              </w:rPr>
              <w:t>出版物轮转凹版印刷（&gt;25）</w:t>
            </w:r>
          </w:p>
        </w:tc>
        <w:tc>
          <w:tcPr>
            <w:tcW w:w="672" w:type="pct"/>
            <w:vAlign w:val="center"/>
          </w:tcPr>
          <w:p>
            <w:pPr>
              <w:adjustRightInd w:val="0"/>
              <w:snapToGrid w:val="0"/>
              <w:jc w:val="center"/>
              <w:textAlignment w:val="baseline"/>
              <w:rPr>
                <w:rFonts w:ascii="Times New Roman" w:hAnsi="Times New Roman"/>
              </w:rPr>
            </w:pPr>
            <w:r>
              <w:rPr>
                <w:rFonts w:ascii="Times New Roman" w:hAnsi="Times New Roman"/>
              </w:rPr>
              <w:t>&gt;25</w:t>
            </w:r>
          </w:p>
        </w:tc>
        <w:tc>
          <w:tcPr>
            <w:tcW w:w="582" w:type="pct"/>
            <w:vAlign w:val="center"/>
          </w:tcPr>
          <w:p>
            <w:pPr>
              <w:adjustRightInd w:val="0"/>
              <w:snapToGrid w:val="0"/>
              <w:jc w:val="center"/>
              <w:textAlignment w:val="baseline"/>
              <w:rPr>
                <w:rFonts w:ascii="Times New Roman" w:hAnsi="Times New Roman"/>
              </w:rPr>
            </w:pPr>
            <w:r>
              <w:rPr>
                <w:rFonts w:ascii="Times New Roman" w:hAnsi="Times New Roman"/>
              </w:rPr>
              <w:t>75</w:t>
            </w:r>
          </w:p>
        </w:tc>
        <w:tc>
          <w:tcPr>
            <w:tcW w:w="523" w:type="pct"/>
            <w:vAlign w:val="center"/>
          </w:tcPr>
          <w:p>
            <w:pPr>
              <w:adjustRightInd w:val="0"/>
              <w:snapToGrid w:val="0"/>
              <w:jc w:val="center"/>
              <w:textAlignment w:val="baseline"/>
              <w:rPr>
                <w:rFonts w:ascii="Times New Roman" w:hAnsi="Times New Roman"/>
              </w:rPr>
            </w:pPr>
            <w:r>
              <w:rPr>
                <w:rFonts w:ascii="Times New Roman" w:hAnsi="Times New Roman"/>
              </w:rPr>
              <w:t>10</w:t>
            </w:r>
          </w:p>
        </w:tc>
        <w:tc>
          <w:tcPr>
            <w:tcW w:w="559" w:type="pct"/>
            <w:gridSpan w:val="2"/>
            <w:vAlign w:val="center"/>
          </w:tcPr>
          <w:p>
            <w:pPr>
              <w:adjustRightInd w:val="0"/>
              <w:snapToGrid w:val="0"/>
              <w:jc w:val="center"/>
              <w:textAlignment w:val="baseline"/>
              <w:rPr>
                <w:rFonts w:ascii="Times New Roman" w:hAnsi="Times New Roman"/>
              </w:rPr>
            </w:pPr>
            <w:r>
              <w:rPr>
                <w:rFonts w:ascii="Times New Roman" w:hAnsi="Times New Roman"/>
              </w:rPr>
              <w:t>115</w:t>
            </w:r>
          </w:p>
        </w:tc>
        <w:tc>
          <w:tcPr>
            <w:tcW w:w="1027" w:type="pct"/>
            <w:gridSpan w:val="2"/>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9" w:type="pct"/>
            <w:vMerge w:val="restart"/>
            <w:tcBorders>
              <w:right w:val="single" w:color="auto" w:sz="4" w:space="0"/>
            </w:tcBorders>
            <w:vAlign w:val="center"/>
          </w:tcPr>
          <w:p>
            <w:pPr>
              <w:adjustRightInd w:val="0"/>
              <w:snapToGrid w:val="0"/>
              <w:jc w:val="center"/>
              <w:textAlignment w:val="baseline"/>
              <w:rPr>
                <w:rFonts w:ascii="Times New Roman" w:hAnsi="Times New Roman"/>
              </w:rPr>
            </w:pPr>
            <w:r>
              <w:rPr>
                <w:rFonts w:ascii="Times New Roman" w:hAnsi="Times New Roman"/>
              </w:rPr>
              <w:t>3</w:t>
            </w:r>
          </w:p>
        </w:tc>
        <w:tc>
          <w:tcPr>
            <w:tcW w:w="1347"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rPr>
            </w:pPr>
            <w:r>
              <w:rPr>
                <w:rFonts w:ascii="Times New Roman" w:hAnsi="Times New Roman"/>
              </w:rPr>
              <w:t>其它轮转凹版印刷、柔性版印刷、旋转式丝网印刷、塑封和上光设备（&gt;15）</w:t>
            </w:r>
          </w:p>
        </w:tc>
        <w:tc>
          <w:tcPr>
            <w:tcW w:w="672" w:type="pct"/>
            <w:tcBorders>
              <w:left w:val="single" w:color="auto" w:sz="4" w:space="0"/>
            </w:tcBorders>
            <w:vAlign w:val="center"/>
          </w:tcPr>
          <w:p>
            <w:pPr>
              <w:adjustRightInd w:val="0"/>
              <w:snapToGrid w:val="0"/>
              <w:jc w:val="center"/>
              <w:textAlignment w:val="baseline"/>
              <w:rPr>
                <w:rFonts w:ascii="Times New Roman" w:hAnsi="Times New Roman"/>
              </w:rPr>
            </w:pPr>
            <w:r>
              <w:rPr>
                <w:rFonts w:ascii="Times New Roman" w:hAnsi="Times New Roman"/>
              </w:rPr>
              <w:t>15-25</w:t>
            </w:r>
          </w:p>
        </w:tc>
        <w:tc>
          <w:tcPr>
            <w:tcW w:w="582" w:type="pct"/>
            <w:vAlign w:val="center"/>
          </w:tcPr>
          <w:p>
            <w:pPr>
              <w:adjustRightInd w:val="0"/>
              <w:snapToGrid w:val="0"/>
              <w:jc w:val="center"/>
              <w:textAlignment w:val="baseline"/>
              <w:rPr>
                <w:rFonts w:ascii="Times New Roman" w:hAnsi="Times New Roman"/>
              </w:rPr>
            </w:pPr>
            <w:r>
              <w:rPr>
                <w:rFonts w:ascii="Times New Roman" w:hAnsi="Times New Roman"/>
              </w:rPr>
              <w:t>100</w:t>
            </w:r>
          </w:p>
        </w:tc>
        <w:tc>
          <w:tcPr>
            <w:tcW w:w="1082" w:type="pct"/>
            <w:gridSpan w:val="3"/>
            <w:vAlign w:val="center"/>
          </w:tcPr>
          <w:p>
            <w:pPr>
              <w:adjustRightInd w:val="0"/>
              <w:snapToGrid w:val="0"/>
              <w:jc w:val="center"/>
              <w:textAlignment w:val="baseline"/>
              <w:rPr>
                <w:rFonts w:ascii="Times New Roman" w:hAnsi="Times New Roman"/>
              </w:rPr>
            </w:pPr>
            <w:r>
              <w:rPr>
                <w:rFonts w:ascii="Times New Roman" w:hAnsi="Times New Roman"/>
              </w:rPr>
              <w:t>25</w:t>
            </w:r>
          </w:p>
        </w:tc>
        <w:tc>
          <w:tcPr>
            <w:tcW w:w="1027" w:type="pct"/>
            <w:gridSpan w:val="2"/>
            <w:vMerge w:val="restart"/>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9" w:type="pct"/>
            <w:vMerge w:val="continue"/>
            <w:tcBorders>
              <w:right w:val="single" w:color="auto" w:sz="4" w:space="0"/>
            </w:tcBorders>
            <w:vAlign w:val="center"/>
          </w:tcPr>
          <w:p>
            <w:pPr>
              <w:adjustRightInd w:val="0"/>
              <w:snapToGrid w:val="0"/>
              <w:jc w:val="center"/>
              <w:textAlignment w:val="baseline"/>
              <w:rPr>
                <w:rFonts w:ascii="Times New Roman" w:hAnsi="Times New Roman"/>
              </w:rPr>
            </w:pPr>
          </w:p>
        </w:tc>
        <w:tc>
          <w:tcPr>
            <w:tcW w:w="1347"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rPr>
            </w:pPr>
          </w:p>
        </w:tc>
        <w:tc>
          <w:tcPr>
            <w:tcW w:w="672" w:type="pct"/>
            <w:tcBorders>
              <w:left w:val="single" w:color="auto" w:sz="4" w:space="0"/>
            </w:tcBorders>
            <w:vAlign w:val="center"/>
          </w:tcPr>
          <w:p>
            <w:pPr>
              <w:adjustRightInd w:val="0"/>
              <w:snapToGrid w:val="0"/>
              <w:jc w:val="center"/>
              <w:textAlignment w:val="baseline"/>
              <w:rPr>
                <w:rFonts w:ascii="Times New Roman" w:hAnsi="Times New Roman"/>
              </w:rPr>
            </w:pPr>
            <w:r>
              <w:rPr>
                <w:rFonts w:ascii="Times New Roman" w:hAnsi="Times New Roman"/>
              </w:rPr>
              <w:t>&gt;25</w:t>
            </w:r>
          </w:p>
        </w:tc>
        <w:tc>
          <w:tcPr>
            <w:tcW w:w="582" w:type="pct"/>
            <w:vAlign w:val="center"/>
          </w:tcPr>
          <w:p>
            <w:pPr>
              <w:adjustRightInd w:val="0"/>
              <w:snapToGrid w:val="0"/>
              <w:jc w:val="center"/>
              <w:textAlignment w:val="baseline"/>
              <w:rPr>
                <w:rFonts w:ascii="Times New Roman" w:hAnsi="Times New Roman"/>
              </w:rPr>
            </w:pPr>
            <w:r>
              <w:rPr>
                <w:rFonts w:ascii="Times New Roman" w:hAnsi="Times New Roman"/>
              </w:rPr>
              <w:t>100</w:t>
            </w:r>
          </w:p>
        </w:tc>
        <w:tc>
          <w:tcPr>
            <w:tcW w:w="1082" w:type="pct"/>
            <w:gridSpan w:val="3"/>
            <w:vAlign w:val="center"/>
          </w:tcPr>
          <w:p>
            <w:pPr>
              <w:adjustRightInd w:val="0"/>
              <w:snapToGrid w:val="0"/>
              <w:jc w:val="center"/>
              <w:textAlignment w:val="baseline"/>
              <w:rPr>
                <w:rFonts w:ascii="Times New Roman" w:hAnsi="Times New Roman"/>
              </w:rPr>
            </w:pPr>
            <w:r>
              <w:rPr>
                <w:rFonts w:ascii="Times New Roman" w:hAnsi="Times New Roman"/>
              </w:rPr>
              <w:t>20</w:t>
            </w:r>
          </w:p>
        </w:tc>
        <w:tc>
          <w:tcPr>
            <w:tcW w:w="1027" w:type="pct"/>
            <w:gridSpan w:val="2"/>
            <w:vMerge w:val="continue"/>
            <w:vAlign w:val="center"/>
          </w:tcPr>
          <w:p>
            <w:pPr>
              <w:adjustRightInd w:val="0"/>
              <w:snapToGrid w:val="0"/>
              <w:jc w:val="center"/>
              <w:textAlignment w:val="baseline"/>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9" w:type="pct"/>
            <w:vMerge w:val="continue"/>
            <w:tcBorders>
              <w:right w:val="single" w:color="auto" w:sz="4" w:space="0"/>
            </w:tcBorders>
            <w:vAlign w:val="center"/>
          </w:tcPr>
          <w:p>
            <w:pPr>
              <w:adjustRightInd w:val="0"/>
              <w:snapToGrid w:val="0"/>
              <w:jc w:val="center"/>
              <w:textAlignment w:val="baseline"/>
              <w:rPr>
                <w:rFonts w:ascii="Times New Roman" w:hAnsi="Times New Roman"/>
              </w:rPr>
            </w:pPr>
          </w:p>
        </w:tc>
        <w:tc>
          <w:tcPr>
            <w:tcW w:w="1347"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rPr>
            </w:pPr>
          </w:p>
        </w:tc>
        <w:tc>
          <w:tcPr>
            <w:tcW w:w="672" w:type="pct"/>
            <w:tcBorders>
              <w:left w:val="single" w:color="auto" w:sz="4" w:space="0"/>
            </w:tcBorders>
            <w:vAlign w:val="center"/>
          </w:tcPr>
          <w:p>
            <w:pPr>
              <w:adjustRightInd w:val="0"/>
              <w:snapToGrid w:val="0"/>
              <w:jc w:val="center"/>
              <w:textAlignment w:val="baseline"/>
              <w:rPr>
                <w:rFonts w:ascii="Times New Roman" w:hAnsi="Times New Roman"/>
              </w:rPr>
            </w:pPr>
            <w:r>
              <w:rPr>
                <w:rFonts w:ascii="Times New Roman" w:hAnsi="Times New Roman"/>
              </w:rPr>
              <w:t>&gt;30</w:t>
            </w:r>
          </w:p>
        </w:tc>
        <w:tc>
          <w:tcPr>
            <w:tcW w:w="582" w:type="pct"/>
            <w:vAlign w:val="center"/>
          </w:tcPr>
          <w:p>
            <w:pPr>
              <w:adjustRightInd w:val="0"/>
              <w:snapToGrid w:val="0"/>
              <w:jc w:val="center"/>
              <w:textAlignment w:val="baseline"/>
              <w:rPr>
                <w:rFonts w:ascii="Times New Roman" w:hAnsi="Times New Roman"/>
              </w:rPr>
            </w:pPr>
            <w:r>
              <w:rPr>
                <w:rFonts w:ascii="Times New Roman" w:hAnsi="Times New Roman"/>
              </w:rPr>
              <w:t>100</w:t>
            </w:r>
          </w:p>
        </w:tc>
        <w:tc>
          <w:tcPr>
            <w:tcW w:w="1082" w:type="pct"/>
            <w:gridSpan w:val="3"/>
            <w:vAlign w:val="center"/>
          </w:tcPr>
          <w:p>
            <w:pPr>
              <w:adjustRightInd w:val="0"/>
              <w:snapToGrid w:val="0"/>
              <w:jc w:val="center"/>
              <w:textAlignment w:val="baseline"/>
              <w:rPr>
                <w:rFonts w:ascii="Times New Roman" w:hAnsi="Times New Roman"/>
              </w:rPr>
            </w:pPr>
            <w:r>
              <w:rPr>
                <w:rFonts w:ascii="Times New Roman" w:hAnsi="Times New Roman"/>
              </w:rPr>
              <w:t>20</w:t>
            </w:r>
          </w:p>
        </w:tc>
        <w:tc>
          <w:tcPr>
            <w:tcW w:w="1027" w:type="pct"/>
            <w:gridSpan w:val="2"/>
            <w:vMerge w:val="continue"/>
            <w:vAlign w:val="center"/>
          </w:tcPr>
          <w:p>
            <w:pPr>
              <w:adjustRightInd w:val="0"/>
              <w:snapToGrid w:val="0"/>
              <w:jc w:val="center"/>
              <w:textAlignment w:val="baseline"/>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9" w:type="pct"/>
            <w:vMerge w:val="continue"/>
            <w:vAlign w:val="center"/>
          </w:tcPr>
          <w:p>
            <w:pPr>
              <w:adjustRightInd w:val="0"/>
              <w:snapToGrid w:val="0"/>
              <w:jc w:val="center"/>
              <w:textAlignment w:val="baseline"/>
              <w:rPr>
                <w:rFonts w:ascii="Times New Roman" w:hAnsi="Times New Roman"/>
              </w:rPr>
            </w:pPr>
          </w:p>
        </w:tc>
        <w:tc>
          <w:tcPr>
            <w:tcW w:w="1347" w:type="pct"/>
            <w:tcBorders>
              <w:top w:val="single" w:color="auto" w:sz="4" w:space="0"/>
            </w:tcBorders>
            <w:vAlign w:val="center"/>
          </w:tcPr>
          <w:p>
            <w:pPr>
              <w:adjustRightInd w:val="0"/>
              <w:snapToGrid w:val="0"/>
              <w:jc w:val="center"/>
              <w:textAlignment w:val="baseline"/>
              <w:rPr>
                <w:rFonts w:ascii="Times New Roman" w:hAnsi="Times New Roman"/>
              </w:rPr>
            </w:pPr>
            <w:r>
              <w:rPr>
                <w:rFonts w:ascii="Times New Roman" w:hAnsi="Times New Roman"/>
              </w:rPr>
              <w:t>纺织品或纸版旋转式丝网印刷（&gt;30）</w:t>
            </w:r>
          </w:p>
        </w:tc>
        <w:tc>
          <w:tcPr>
            <w:tcW w:w="672" w:type="pct"/>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c>
          <w:tcPr>
            <w:tcW w:w="582" w:type="pct"/>
            <w:vAlign w:val="center"/>
          </w:tcPr>
          <w:p>
            <w:pPr>
              <w:adjustRightInd w:val="0"/>
              <w:snapToGrid w:val="0"/>
              <w:jc w:val="center"/>
              <w:textAlignment w:val="baseline"/>
              <w:rPr>
                <w:rFonts w:ascii="Times New Roman" w:hAnsi="Times New Roman"/>
              </w:rPr>
            </w:pPr>
            <w:r>
              <w:rPr>
                <w:rFonts w:ascii="Times New Roman" w:hAnsi="Times New Roman"/>
              </w:rPr>
              <w:t>100</w:t>
            </w:r>
          </w:p>
        </w:tc>
        <w:tc>
          <w:tcPr>
            <w:tcW w:w="1082" w:type="pct"/>
            <w:gridSpan w:val="3"/>
            <w:vAlign w:val="center"/>
          </w:tcPr>
          <w:p>
            <w:pPr>
              <w:adjustRightInd w:val="0"/>
              <w:snapToGrid w:val="0"/>
              <w:jc w:val="center"/>
              <w:textAlignment w:val="baseline"/>
              <w:rPr>
                <w:rFonts w:ascii="Times New Roman" w:hAnsi="Times New Roman"/>
              </w:rPr>
            </w:pPr>
            <w:r>
              <w:rPr>
                <w:rFonts w:ascii="Times New Roman" w:hAnsi="Times New Roman"/>
              </w:rPr>
              <w:t>20</w:t>
            </w:r>
          </w:p>
        </w:tc>
        <w:tc>
          <w:tcPr>
            <w:tcW w:w="1027" w:type="pct"/>
            <w:gridSpan w:val="2"/>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9" w:type="pct"/>
            <w:vMerge w:val="restart"/>
            <w:vAlign w:val="center"/>
          </w:tcPr>
          <w:p>
            <w:pPr>
              <w:adjustRightInd w:val="0"/>
              <w:snapToGrid w:val="0"/>
              <w:jc w:val="center"/>
              <w:textAlignment w:val="baseline"/>
              <w:rPr>
                <w:rFonts w:ascii="Times New Roman" w:hAnsi="Times New Roman"/>
              </w:rPr>
            </w:pPr>
            <w:r>
              <w:rPr>
                <w:rFonts w:ascii="Times New Roman" w:hAnsi="Times New Roman"/>
              </w:rPr>
              <w:t>4</w:t>
            </w:r>
          </w:p>
        </w:tc>
        <w:tc>
          <w:tcPr>
            <w:tcW w:w="1347" w:type="pct"/>
            <w:vMerge w:val="restart"/>
            <w:vAlign w:val="center"/>
          </w:tcPr>
          <w:p>
            <w:pPr>
              <w:adjustRightInd w:val="0"/>
              <w:snapToGrid w:val="0"/>
              <w:jc w:val="center"/>
              <w:textAlignment w:val="baseline"/>
              <w:rPr>
                <w:rFonts w:ascii="Times New Roman" w:hAnsi="Times New Roman"/>
              </w:rPr>
            </w:pPr>
            <w:r>
              <w:rPr>
                <w:rFonts w:ascii="Times New Roman" w:hAnsi="Times New Roman"/>
              </w:rPr>
              <w:t>表面清洗（&gt;1）</w:t>
            </w:r>
          </w:p>
        </w:tc>
        <w:tc>
          <w:tcPr>
            <w:tcW w:w="672" w:type="pct"/>
            <w:vAlign w:val="center"/>
          </w:tcPr>
          <w:p>
            <w:pPr>
              <w:adjustRightInd w:val="0"/>
              <w:snapToGrid w:val="0"/>
              <w:jc w:val="center"/>
              <w:textAlignment w:val="baseline"/>
              <w:rPr>
                <w:rFonts w:ascii="Times New Roman" w:hAnsi="Times New Roman"/>
              </w:rPr>
            </w:pPr>
            <w:r>
              <w:rPr>
                <w:rFonts w:ascii="Times New Roman" w:hAnsi="Times New Roman"/>
              </w:rPr>
              <w:t>1-5</w:t>
            </w:r>
          </w:p>
        </w:tc>
        <w:tc>
          <w:tcPr>
            <w:tcW w:w="582" w:type="pct"/>
            <w:vAlign w:val="center"/>
          </w:tcPr>
          <w:p>
            <w:pPr>
              <w:adjustRightInd w:val="0"/>
              <w:snapToGrid w:val="0"/>
              <w:jc w:val="center"/>
              <w:textAlignment w:val="baseline"/>
              <w:rPr>
                <w:rFonts w:ascii="Times New Roman" w:hAnsi="Times New Roman"/>
              </w:rPr>
            </w:pPr>
            <w:r>
              <w:rPr>
                <w:rFonts w:ascii="Times New Roman" w:hAnsi="Times New Roman"/>
              </w:rPr>
              <w:t>20</w:t>
            </w:r>
          </w:p>
        </w:tc>
        <w:tc>
          <w:tcPr>
            <w:tcW w:w="1082" w:type="pct"/>
            <w:gridSpan w:val="3"/>
            <w:vAlign w:val="center"/>
          </w:tcPr>
          <w:p>
            <w:pPr>
              <w:adjustRightInd w:val="0"/>
              <w:snapToGrid w:val="0"/>
              <w:jc w:val="center"/>
              <w:textAlignment w:val="baseline"/>
              <w:rPr>
                <w:rFonts w:ascii="Times New Roman" w:hAnsi="Times New Roman"/>
              </w:rPr>
            </w:pPr>
            <w:r>
              <w:rPr>
                <w:rFonts w:ascii="Times New Roman" w:hAnsi="Times New Roman"/>
              </w:rPr>
              <w:t>15</w:t>
            </w:r>
          </w:p>
        </w:tc>
        <w:tc>
          <w:tcPr>
            <w:tcW w:w="1027" w:type="pct"/>
            <w:gridSpan w:val="2"/>
            <w:vMerge w:val="restart"/>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9" w:type="pct"/>
            <w:vMerge w:val="continue"/>
            <w:vAlign w:val="center"/>
          </w:tcPr>
          <w:p>
            <w:pPr>
              <w:adjustRightInd w:val="0"/>
              <w:snapToGrid w:val="0"/>
              <w:jc w:val="center"/>
              <w:textAlignment w:val="baseline"/>
              <w:rPr>
                <w:rFonts w:ascii="Times New Roman" w:hAnsi="Times New Roman"/>
              </w:rPr>
            </w:pPr>
          </w:p>
        </w:tc>
        <w:tc>
          <w:tcPr>
            <w:tcW w:w="1347" w:type="pct"/>
            <w:vMerge w:val="continue"/>
            <w:vAlign w:val="center"/>
          </w:tcPr>
          <w:p>
            <w:pPr>
              <w:adjustRightInd w:val="0"/>
              <w:snapToGrid w:val="0"/>
              <w:jc w:val="center"/>
              <w:textAlignment w:val="baseline"/>
              <w:rPr>
                <w:rFonts w:ascii="Times New Roman" w:hAnsi="Times New Roman"/>
              </w:rPr>
            </w:pPr>
          </w:p>
        </w:tc>
        <w:tc>
          <w:tcPr>
            <w:tcW w:w="672" w:type="pct"/>
            <w:vAlign w:val="center"/>
          </w:tcPr>
          <w:p>
            <w:pPr>
              <w:adjustRightInd w:val="0"/>
              <w:snapToGrid w:val="0"/>
              <w:jc w:val="center"/>
              <w:textAlignment w:val="baseline"/>
              <w:rPr>
                <w:rFonts w:ascii="Times New Roman" w:hAnsi="Times New Roman"/>
              </w:rPr>
            </w:pPr>
            <w:r>
              <w:rPr>
                <w:rFonts w:ascii="Times New Roman" w:hAnsi="Times New Roman"/>
              </w:rPr>
              <w:t>&gt;5</w:t>
            </w:r>
          </w:p>
        </w:tc>
        <w:tc>
          <w:tcPr>
            <w:tcW w:w="582" w:type="pct"/>
            <w:vAlign w:val="center"/>
          </w:tcPr>
          <w:p>
            <w:pPr>
              <w:adjustRightInd w:val="0"/>
              <w:snapToGrid w:val="0"/>
              <w:jc w:val="center"/>
              <w:textAlignment w:val="baseline"/>
              <w:rPr>
                <w:rFonts w:ascii="Times New Roman" w:hAnsi="Times New Roman"/>
              </w:rPr>
            </w:pPr>
            <w:r>
              <w:rPr>
                <w:rFonts w:ascii="Times New Roman" w:hAnsi="Times New Roman"/>
              </w:rPr>
              <w:t>20</w:t>
            </w:r>
          </w:p>
        </w:tc>
        <w:tc>
          <w:tcPr>
            <w:tcW w:w="1082" w:type="pct"/>
            <w:gridSpan w:val="3"/>
            <w:vAlign w:val="center"/>
          </w:tcPr>
          <w:p>
            <w:pPr>
              <w:adjustRightInd w:val="0"/>
              <w:snapToGrid w:val="0"/>
              <w:jc w:val="center"/>
              <w:textAlignment w:val="baseline"/>
              <w:rPr>
                <w:rFonts w:ascii="Times New Roman" w:hAnsi="Times New Roman"/>
              </w:rPr>
            </w:pPr>
            <w:r>
              <w:rPr>
                <w:rFonts w:ascii="Times New Roman" w:hAnsi="Times New Roman"/>
              </w:rPr>
              <w:t>10</w:t>
            </w:r>
          </w:p>
        </w:tc>
        <w:tc>
          <w:tcPr>
            <w:tcW w:w="1027" w:type="pct"/>
            <w:gridSpan w:val="2"/>
            <w:vMerge w:val="continue"/>
            <w:vAlign w:val="center"/>
          </w:tcPr>
          <w:p>
            <w:pPr>
              <w:adjustRightInd w:val="0"/>
              <w:snapToGrid w:val="0"/>
              <w:jc w:val="center"/>
              <w:textAlignment w:val="baseline"/>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9" w:type="pct"/>
            <w:vMerge w:val="restart"/>
            <w:vAlign w:val="center"/>
          </w:tcPr>
          <w:p>
            <w:pPr>
              <w:adjustRightInd w:val="0"/>
              <w:snapToGrid w:val="0"/>
              <w:jc w:val="center"/>
              <w:textAlignment w:val="baseline"/>
              <w:rPr>
                <w:rFonts w:ascii="Times New Roman" w:hAnsi="Times New Roman"/>
              </w:rPr>
            </w:pPr>
            <w:r>
              <w:rPr>
                <w:rFonts w:ascii="Times New Roman" w:hAnsi="Times New Roman"/>
              </w:rPr>
              <w:t>5</w:t>
            </w:r>
          </w:p>
        </w:tc>
        <w:tc>
          <w:tcPr>
            <w:tcW w:w="1347" w:type="pct"/>
            <w:vMerge w:val="restart"/>
            <w:vAlign w:val="center"/>
          </w:tcPr>
          <w:p>
            <w:pPr>
              <w:adjustRightInd w:val="0"/>
              <w:snapToGrid w:val="0"/>
              <w:jc w:val="center"/>
              <w:textAlignment w:val="baseline"/>
              <w:rPr>
                <w:rFonts w:ascii="Times New Roman" w:hAnsi="Times New Roman"/>
              </w:rPr>
            </w:pPr>
            <w:r>
              <w:rPr>
                <w:rFonts w:ascii="Times New Roman" w:hAnsi="Times New Roman"/>
              </w:rPr>
              <w:t>其它表面清洗（&gt;2）</w:t>
            </w:r>
          </w:p>
        </w:tc>
        <w:tc>
          <w:tcPr>
            <w:tcW w:w="672" w:type="pct"/>
            <w:vAlign w:val="center"/>
          </w:tcPr>
          <w:p>
            <w:pPr>
              <w:adjustRightInd w:val="0"/>
              <w:snapToGrid w:val="0"/>
              <w:jc w:val="center"/>
              <w:textAlignment w:val="baseline"/>
              <w:rPr>
                <w:rFonts w:ascii="Times New Roman" w:hAnsi="Times New Roman"/>
              </w:rPr>
            </w:pPr>
            <w:r>
              <w:rPr>
                <w:rFonts w:ascii="Times New Roman" w:hAnsi="Times New Roman"/>
              </w:rPr>
              <w:t>2-10</w:t>
            </w:r>
          </w:p>
        </w:tc>
        <w:tc>
          <w:tcPr>
            <w:tcW w:w="582" w:type="pct"/>
            <w:vAlign w:val="center"/>
          </w:tcPr>
          <w:p>
            <w:pPr>
              <w:adjustRightInd w:val="0"/>
              <w:snapToGrid w:val="0"/>
              <w:jc w:val="center"/>
              <w:textAlignment w:val="baseline"/>
              <w:rPr>
                <w:rFonts w:ascii="Times New Roman" w:hAnsi="Times New Roman"/>
              </w:rPr>
            </w:pPr>
            <w:r>
              <w:rPr>
                <w:rFonts w:ascii="Times New Roman" w:hAnsi="Times New Roman"/>
              </w:rPr>
              <w:t>75</w:t>
            </w:r>
          </w:p>
        </w:tc>
        <w:tc>
          <w:tcPr>
            <w:tcW w:w="1082" w:type="pct"/>
            <w:gridSpan w:val="3"/>
            <w:vAlign w:val="center"/>
          </w:tcPr>
          <w:p>
            <w:pPr>
              <w:adjustRightInd w:val="0"/>
              <w:snapToGrid w:val="0"/>
              <w:jc w:val="center"/>
              <w:textAlignment w:val="baseline"/>
              <w:rPr>
                <w:rFonts w:ascii="Times New Roman" w:hAnsi="Times New Roman"/>
              </w:rPr>
            </w:pPr>
            <w:r>
              <w:rPr>
                <w:rFonts w:ascii="Times New Roman" w:hAnsi="Times New Roman"/>
              </w:rPr>
              <w:t>20</w:t>
            </w:r>
          </w:p>
        </w:tc>
        <w:tc>
          <w:tcPr>
            <w:tcW w:w="1027" w:type="pct"/>
            <w:gridSpan w:val="2"/>
            <w:vMerge w:val="restart"/>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9" w:type="pct"/>
            <w:vMerge w:val="continue"/>
            <w:vAlign w:val="center"/>
          </w:tcPr>
          <w:p>
            <w:pPr>
              <w:adjustRightInd w:val="0"/>
              <w:snapToGrid w:val="0"/>
              <w:jc w:val="center"/>
              <w:textAlignment w:val="baseline"/>
              <w:rPr>
                <w:rFonts w:ascii="Times New Roman" w:hAnsi="Times New Roman"/>
              </w:rPr>
            </w:pPr>
          </w:p>
        </w:tc>
        <w:tc>
          <w:tcPr>
            <w:tcW w:w="1347" w:type="pct"/>
            <w:vMerge w:val="continue"/>
            <w:vAlign w:val="center"/>
          </w:tcPr>
          <w:p>
            <w:pPr>
              <w:adjustRightInd w:val="0"/>
              <w:snapToGrid w:val="0"/>
              <w:jc w:val="center"/>
              <w:textAlignment w:val="baseline"/>
              <w:rPr>
                <w:rFonts w:ascii="Times New Roman" w:hAnsi="Times New Roman"/>
              </w:rPr>
            </w:pPr>
          </w:p>
        </w:tc>
        <w:tc>
          <w:tcPr>
            <w:tcW w:w="672" w:type="pct"/>
            <w:vAlign w:val="center"/>
          </w:tcPr>
          <w:p>
            <w:pPr>
              <w:adjustRightInd w:val="0"/>
              <w:snapToGrid w:val="0"/>
              <w:jc w:val="center"/>
              <w:textAlignment w:val="baseline"/>
              <w:rPr>
                <w:rFonts w:ascii="Times New Roman" w:hAnsi="Times New Roman"/>
              </w:rPr>
            </w:pPr>
            <w:r>
              <w:rPr>
                <w:rFonts w:ascii="Times New Roman" w:hAnsi="Times New Roman"/>
              </w:rPr>
              <w:t>&gt;10</w:t>
            </w:r>
          </w:p>
        </w:tc>
        <w:tc>
          <w:tcPr>
            <w:tcW w:w="582" w:type="pct"/>
            <w:vAlign w:val="center"/>
          </w:tcPr>
          <w:p>
            <w:pPr>
              <w:adjustRightInd w:val="0"/>
              <w:snapToGrid w:val="0"/>
              <w:jc w:val="center"/>
              <w:textAlignment w:val="baseline"/>
              <w:rPr>
                <w:rFonts w:ascii="Times New Roman" w:hAnsi="Times New Roman"/>
              </w:rPr>
            </w:pPr>
            <w:r>
              <w:rPr>
                <w:rFonts w:ascii="Times New Roman" w:hAnsi="Times New Roman"/>
              </w:rPr>
              <w:t>75</w:t>
            </w:r>
          </w:p>
        </w:tc>
        <w:tc>
          <w:tcPr>
            <w:tcW w:w="1082" w:type="pct"/>
            <w:gridSpan w:val="3"/>
            <w:vAlign w:val="center"/>
          </w:tcPr>
          <w:p>
            <w:pPr>
              <w:adjustRightInd w:val="0"/>
              <w:snapToGrid w:val="0"/>
              <w:jc w:val="center"/>
              <w:textAlignment w:val="baseline"/>
              <w:rPr>
                <w:rFonts w:ascii="Times New Roman" w:hAnsi="Times New Roman"/>
              </w:rPr>
            </w:pPr>
            <w:r>
              <w:rPr>
                <w:rFonts w:ascii="Times New Roman" w:hAnsi="Times New Roman"/>
              </w:rPr>
              <w:t>15</w:t>
            </w:r>
          </w:p>
        </w:tc>
        <w:tc>
          <w:tcPr>
            <w:tcW w:w="1027" w:type="pct"/>
            <w:gridSpan w:val="2"/>
            <w:vMerge w:val="continue"/>
            <w:vAlign w:val="center"/>
          </w:tcPr>
          <w:p>
            <w:pPr>
              <w:adjustRightInd w:val="0"/>
              <w:snapToGrid w:val="0"/>
              <w:jc w:val="center"/>
              <w:textAlignment w:val="baseline"/>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9" w:type="pct"/>
            <w:vAlign w:val="center"/>
          </w:tcPr>
          <w:p>
            <w:pPr>
              <w:adjustRightInd w:val="0"/>
              <w:snapToGrid w:val="0"/>
              <w:jc w:val="center"/>
              <w:textAlignment w:val="baseline"/>
              <w:rPr>
                <w:rFonts w:ascii="Times New Roman" w:hAnsi="Times New Roman"/>
              </w:rPr>
            </w:pPr>
            <w:r>
              <w:rPr>
                <w:rFonts w:ascii="Times New Roman" w:hAnsi="Times New Roman"/>
              </w:rPr>
              <w:t>6</w:t>
            </w:r>
          </w:p>
        </w:tc>
        <w:tc>
          <w:tcPr>
            <w:tcW w:w="1347" w:type="pct"/>
            <w:vAlign w:val="center"/>
          </w:tcPr>
          <w:p>
            <w:pPr>
              <w:adjustRightInd w:val="0"/>
              <w:snapToGrid w:val="0"/>
              <w:jc w:val="center"/>
              <w:textAlignment w:val="baseline"/>
              <w:rPr>
                <w:rFonts w:ascii="Times New Roman" w:hAnsi="Times New Roman"/>
              </w:rPr>
            </w:pPr>
            <w:r>
              <w:rPr>
                <w:rFonts w:ascii="Times New Roman" w:hAnsi="Times New Roman"/>
              </w:rPr>
              <w:t>车辆涂装（&lt;15）和车辆表面整修</w:t>
            </w:r>
          </w:p>
        </w:tc>
        <w:tc>
          <w:tcPr>
            <w:tcW w:w="672" w:type="pct"/>
            <w:vAlign w:val="center"/>
          </w:tcPr>
          <w:p>
            <w:pPr>
              <w:adjustRightInd w:val="0"/>
              <w:snapToGrid w:val="0"/>
              <w:jc w:val="center"/>
              <w:textAlignment w:val="baseline"/>
              <w:rPr>
                <w:rFonts w:ascii="Times New Roman" w:hAnsi="Times New Roman"/>
              </w:rPr>
            </w:pPr>
            <w:r>
              <w:rPr>
                <w:rFonts w:ascii="Times New Roman" w:hAnsi="Times New Roman"/>
              </w:rPr>
              <w:t>&gt;0.5</w:t>
            </w:r>
          </w:p>
        </w:tc>
        <w:tc>
          <w:tcPr>
            <w:tcW w:w="582" w:type="pct"/>
            <w:vAlign w:val="center"/>
          </w:tcPr>
          <w:p>
            <w:pPr>
              <w:adjustRightInd w:val="0"/>
              <w:snapToGrid w:val="0"/>
              <w:jc w:val="center"/>
              <w:textAlignment w:val="baseline"/>
              <w:rPr>
                <w:rFonts w:ascii="Times New Roman" w:hAnsi="Times New Roman"/>
              </w:rPr>
            </w:pPr>
            <w:r>
              <w:rPr>
                <w:rFonts w:ascii="Times New Roman" w:hAnsi="Times New Roman"/>
              </w:rPr>
              <w:t>50</w:t>
            </w:r>
          </w:p>
        </w:tc>
        <w:tc>
          <w:tcPr>
            <w:tcW w:w="1082" w:type="pct"/>
            <w:gridSpan w:val="3"/>
            <w:vAlign w:val="center"/>
          </w:tcPr>
          <w:p>
            <w:pPr>
              <w:adjustRightInd w:val="0"/>
              <w:snapToGrid w:val="0"/>
              <w:jc w:val="center"/>
              <w:textAlignment w:val="baseline"/>
              <w:rPr>
                <w:rFonts w:ascii="Times New Roman" w:hAnsi="Times New Roman"/>
              </w:rPr>
            </w:pPr>
            <w:r>
              <w:rPr>
                <w:rFonts w:ascii="Times New Roman" w:hAnsi="Times New Roman"/>
              </w:rPr>
              <w:t>25</w:t>
            </w:r>
          </w:p>
        </w:tc>
        <w:tc>
          <w:tcPr>
            <w:tcW w:w="1027" w:type="pct"/>
            <w:gridSpan w:val="2"/>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9" w:type="pct"/>
            <w:vAlign w:val="center"/>
          </w:tcPr>
          <w:p>
            <w:pPr>
              <w:adjustRightInd w:val="0"/>
              <w:snapToGrid w:val="0"/>
              <w:jc w:val="center"/>
              <w:textAlignment w:val="baseline"/>
              <w:rPr>
                <w:rFonts w:ascii="Times New Roman" w:hAnsi="Times New Roman"/>
              </w:rPr>
            </w:pPr>
            <w:r>
              <w:rPr>
                <w:rFonts w:ascii="Times New Roman" w:hAnsi="Times New Roman"/>
              </w:rPr>
              <w:t>7</w:t>
            </w:r>
          </w:p>
        </w:tc>
        <w:tc>
          <w:tcPr>
            <w:tcW w:w="1347" w:type="pct"/>
            <w:vAlign w:val="center"/>
          </w:tcPr>
          <w:p>
            <w:pPr>
              <w:adjustRightInd w:val="0"/>
              <w:snapToGrid w:val="0"/>
              <w:jc w:val="center"/>
              <w:textAlignment w:val="baseline"/>
              <w:rPr>
                <w:rFonts w:ascii="Times New Roman" w:hAnsi="Times New Roman"/>
              </w:rPr>
            </w:pPr>
            <w:r>
              <w:rPr>
                <w:rFonts w:ascii="Times New Roman" w:hAnsi="Times New Roman"/>
              </w:rPr>
              <w:t>卷钢涂装（&gt;25）</w:t>
            </w:r>
          </w:p>
        </w:tc>
        <w:tc>
          <w:tcPr>
            <w:tcW w:w="672" w:type="pct"/>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c>
          <w:tcPr>
            <w:tcW w:w="582" w:type="pct"/>
            <w:vAlign w:val="center"/>
          </w:tcPr>
          <w:p>
            <w:pPr>
              <w:adjustRightInd w:val="0"/>
              <w:snapToGrid w:val="0"/>
              <w:jc w:val="center"/>
              <w:textAlignment w:val="baseline"/>
              <w:rPr>
                <w:rFonts w:ascii="Times New Roman" w:hAnsi="Times New Roman"/>
              </w:rPr>
            </w:pPr>
            <w:r>
              <w:rPr>
                <w:rFonts w:ascii="Times New Roman" w:hAnsi="Times New Roman"/>
              </w:rPr>
              <w:t>50</w:t>
            </w:r>
          </w:p>
        </w:tc>
        <w:tc>
          <w:tcPr>
            <w:tcW w:w="523" w:type="pct"/>
            <w:vAlign w:val="center"/>
          </w:tcPr>
          <w:p>
            <w:pPr>
              <w:adjustRightInd w:val="0"/>
              <w:snapToGrid w:val="0"/>
              <w:jc w:val="center"/>
              <w:textAlignment w:val="baseline"/>
              <w:rPr>
                <w:rFonts w:ascii="Times New Roman" w:hAnsi="Times New Roman"/>
              </w:rPr>
            </w:pPr>
            <w:r>
              <w:rPr>
                <w:rFonts w:ascii="Times New Roman" w:hAnsi="Times New Roman"/>
              </w:rPr>
              <w:t>5</w:t>
            </w:r>
          </w:p>
        </w:tc>
        <w:tc>
          <w:tcPr>
            <w:tcW w:w="559" w:type="pct"/>
            <w:gridSpan w:val="2"/>
            <w:vAlign w:val="center"/>
          </w:tcPr>
          <w:p>
            <w:pPr>
              <w:adjustRightInd w:val="0"/>
              <w:snapToGrid w:val="0"/>
              <w:jc w:val="center"/>
              <w:textAlignment w:val="baseline"/>
              <w:rPr>
                <w:rFonts w:ascii="Times New Roman" w:hAnsi="Times New Roman"/>
              </w:rPr>
            </w:pPr>
            <w:r>
              <w:rPr>
                <w:rFonts w:ascii="Times New Roman" w:hAnsi="Times New Roman"/>
              </w:rPr>
              <w:t>10</w:t>
            </w:r>
          </w:p>
        </w:tc>
        <w:tc>
          <w:tcPr>
            <w:tcW w:w="1027" w:type="pct"/>
            <w:gridSpan w:val="2"/>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9" w:type="pct"/>
            <w:vMerge w:val="restart"/>
            <w:vAlign w:val="center"/>
          </w:tcPr>
          <w:p>
            <w:pPr>
              <w:adjustRightInd w:val="0"/>
              <w:snapToGrid w:val="0"/>
              <w:jc w:val="center"/>
              <w:textAlignment w:val="baseline"/>
              <w:rPr>
                <w:rFonts w:ascii="Times New Roman" w:hAnsi="Times New Roman"/>
              </w:rPr>
            </w:pPr>
            <w:r>
              <w:rPr>
                <w:rFonts w:ascii="Times New Roman" w:hAnsi="Times New Roman"/>
              </w:rPr>
              <w:t>8</w:t>
            </w:r>
          </w:p>
        </w:tc>
        <w:tc>
          <w:tcPr>
            <w:tcW w:w="1347" w:type="pct"/>
            <w:vMerge w:val="restart"/>
            <w:vAlign w:val="center"/>
          </w:tcPr>
          <w:p>
            <w:pPr>
              <w:adjustRightInd w:val="0"/>
              <w:snapToGrid w:val="0"/>
              <w:jc w:val="center"/>
              <w:textAlignment w:val="baseline"/>
              <w:rPr>
                <w:rFonts w:ascii="Times New Roman" w:hAnsi="Times New Roman"/>
              </w:rPr>
            </w:pPr>
            <w:r>
              <w:rPr>
                <w:rFonts w:ascii="Times New Roman" w:hAnsi="Times New Roman"/>
              </w:rPr>
              <w:t>其它涂装包括金属、塑料、纺织品、纤维织物、胶片和纸张（&gt;5）</w:t>
            </w:r>
          </w:p>
        </w:tc>
        <w:tc>
          <w:tcPr>
            <w:tcW w:w="672" w:type="pct"/>
            <w:vAlign w:val="center"/>
          </w:tcPr>
          <w:p>
            <w:pPr>
              <w:adjustRightInd w:val="0"/>
              <w:snapToGrid w:val="0"/>
              <w:jc w:val="center"/>
              <w:textAlignment w:val="baseline"/>
              <w:rPr>
                <w:rFonts w:ascii="Times New Roman" w:hAnsi="Times New Roman"/>
              </w:rPr>
            </w:pPr>
            <w:r>
              <w:rPr>
                <w:rFonts w:ascii="Times New Roman" w:hAnsi="Times New Roman"/>
              </w:rPr>
              <w:t>5-15</w:t>
            </w:r>
          </w:p>
        </w:tc>
        <w:tc>
          <w:tcPr>
            <w:tcW w:w="582" w:type="pct"/>
            <w:vAlign w:val="center"/>
          </w:tcPr>
          <w:p>
            <w:pPr>
              <w:adjustRightInd w:val="0"/>
              <w:snapToGrid w:val="0"/>
              <w:jc w:val="center"/>
              <w:textAlignment w:val="baseline"/>
              <w:rPr>
                <w:rFonts w:ascii="Times New Roman" w:hAnsi="Times New Roman"/>
              </w:rPr>
            </w:pPr>
            <w:r>
              <w:rPr>
                <w:rFonts w:ascii="Times New Roman" w:hAnsi="Times New Roman"/>
              </w:rPr>
              <w:t>100</w:t>
            </w:r>
          </w:p>
        </w:tc>
        <w:tc>
          <w:tcPr>
            <w:tcW w:w="1082" w:type="pct"/>
            <w:gridSpan w:val="3"/>
            <w:vAlign w:val="center"/>
          </w:tcPr>
          <w:p>
            <w:pPr>
              <w:adjustRightInd w:val="0"/>
              <w:snapToGrid w:val="0"/>
              <w:jc w:val="center"/>
              <w:textAlignment w:val="baseline"/>
              <w:rPr>
                <w:rFonts w:ascii="Times New Roman" w:hAnsi="Times New Roman"/>
              </w:rPr>
            </w:pPr>
            <w:r>
              <w:rPr>
                <w:rFonts w:ascii="Times New Roman" w:hAnsi="Times New Roman"/>
              </w:rPr>
              <w:t>20</w:t>
            </w:r>
          </w:p>
        </w:tc>
        <w:tc>
          <w:tcPr>
            <w:tcW w:w="1027" w:type="pct"/>
            <w:gridSpan w:val="2"/>
            <w:vMerge w:val="restart"/>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9" w:type="pct"/>
            <w:vMerge w:val="continue"/>
            <w:vAlign w:val="center"/>
          </w:tcPr>
          <w:p>
            <w:pPr>
              <w:adjustRightInd w:val="0"/>
              <w:snapToGrid w:val="0"/>
              <w:jc w:val="center"/>
              <w:textAlignment w:val="baseline"/>
              <w:rPr>
                <w:rFonts w:ascii="Times New Roman" w:hAnsi="Times New Roman"/>
              </w:rPr>
            </w:pPr>
          </w:p>
        </w:tc>
        <w:tc>
          <w:tcPr>
            <w:tcW w:w="1347" w:type="pct"/>
            <w:vMerge w:val="continue"/>
            <w:vAlign w:val="center"/>
          </w:tcPr>
          <w:p>
            <w:pPr>
              <w:adjustRightInd w:val="0"/>
              <w:snapToGrid w:val="0"/>
              <w:jc w:val="center"/>
              <w:textAlignment w:val="baseline"/>
              <w:rPr>
                <w:rFonts w:ascii="Times New Roman" w:hAnsi="Times New Roman"/>
              </w:rPr>
            </w:pPr>
          </w:p>
        </w:tc>
        <w:tc>
          <w:tcPr>
            <w:tcW w:w="672" w:type="pct"/>
            <w:vAlign w:val="center"/>
          </w:tcPr>
          <w:p>
            <w:pPr>
              <w:adjustRightInd w:val="0"/>
              <w:snapToGrid w:val="0"/>
              <w:jc w:val="center"/>
              <w:textAlignment w:val="baseline"/>
              <w:rPr>
                <w:rFonts w:ascii="Times New Roman" w:hAnsi="Times New Roman"/>
              </w:rPr>
            </w:pPr>
            <w:r>
              <w:rPr>
                <w:rFonts w:ascii="Times New Roman" w:hAnsi="Times New Roman"/>
              </w:rPr>
              <w:t>&gt;15</w:t>
            </w:r>
          </w:p>
        </w:tc>
        <w:tc>
          <w:tcPr>
            <w:tcW w:w="582" w:type="pct"/>
            <w:vAlign w:val="center"/>
          </w:tcPr>
          <w:p>
            <w:pPr>
              <w:adjustRightInd w:val="0"/>
              <w:snapToGrid w:val="0"/>
              <w:jc w:val="center"/>
              <w:textAlignment w:val="baseline"/>
              <w:rPr>
                <w:rFonts w:ascii="Times New Roman" w:hAnsi="Times New Roman"/>
              </w:rPr>
            </w:pPr>
            <w:r>
              <w:rPr>
                <w:rFonts w:ascii="Times New Roman" w:hAnsi="Times New Roman"/>
              </w:rPr>
              <w:t>50/75</w:t>
            </w:r>
          </w:p>
        </w:tc>
        <w:tc>
          <w:tcPr>
            <w:tcW w:w="1082" w:type="pct"/>
            <w:gridSpan w:val="3"/>
            <w:vAlign w:val="center"/>
          </w:tcPr>
          <w:p>
            <w:pPr>
              <w:adjustRightInd w:val="0"/>
              <w:snapToGrid w:val="0"/>
              <w:jc w:val="center"/>
              <w:textAlignment w:val="baseline"/>
              <w:rPr>
                <w:rFonts w:ascii="Times New Roman" w:hAnsi="Times New Roman"/>
              </w:rPr>
            </w:pPr>
            <w:r>
              <w:rPr>
                <w:rFonts w:ascii="Times New Roman" w:hAnsi="Times New Roman"/>
              </w:rPr>
              <w:t>20</w:t>
            </w:r>
          </w:p>
        </w:tc>
        <w:tc>
          <w:tcPr>
            <w:tcW w:w="1027" w:type="pct"/>
            <w:gridSpan w:val="2"/>
            <w:vMerge w:val="continue"/>
            <w:vAlign w:val="center"/>
          </w:tcPr>
          <w:p>
            <w:pPr>
              <w:adjustRightInd w:val="0"/>
              <w:snapToGrid w:val="0"/>
              <w:jc w:val="center"/>
              <w:textAlignment w:val="baseline"/>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9" w:type="pct"/>
            <w:vAlign w:val="center"/>
          </w:tcPr>
          <w:p>
            <w:pPr>
              <w:adjustRightInd w:val="0"/>
              <w:snapToGrid w:val="0"/>
              <w:jc w:val="center"/>
              <w:textAlignment w:val="baseline"/>
              <w:rPr>
                <w:rFonts w:ascii="Times New Roman" w:hAnsi="Times New Roman"/>
              </w:rPr>
            </w:pPr>
            <w:r>
              <w:rPr>
                <w:rFonts w:ascii="Times New Roman" w:hAnsi="Times New Roman"/>
              </w:rPr>
              <w:t>9</w:t>
            </w:r>
          </w:p>
        </w:tc>
        <w:tc>
          <w:tcPr>
            <w:tcW w:w="1347" w:type="pct"/>
            <w:vAlign w:val="center"/>
          </w:tcPr>
          <w:p>
            <w:pPr>
              <w:adjustRightInd w:val="0"/>
              <w:snapToGrid w:val="0"/>
              <w:jc w:val="center"/>
              <w:textAlignment w:val="baseline"/>
              <w:rPr>
                <w:rFonts w:ascii="Times New Roman" w:hAnsi="Times New Roman"/>
              </w:rPr>
            </w:pPr>
            <w:r>
              <w:rPr>
                <w:rFonts w:ascii="Times New Roman" w:hAnsi="Times New Roman"/>
              </w:rPr>
              <w:t>绕组线涂装（&gt;5）</w:t>
            </w:r>
          </w:p>
        </w:tc>
        <w:tc>
          <w:tcPr>
            <w:tcW w:w="672" w:type="pct"/>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c>
          <w:tcPr>
            <w:tcW w:w="582" w:type="pct"/>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c>
          <w:tcPr>
            <w:tcW w:w="1082" w:type="pct"/>
            <w:gridSpan w:val="3"/>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c>
          <w:tcPr>
            <w:tcW w:w="1027" w:type="pct"/>
            <w:gridSpan w:val="2"/>
            <w:vAlign w:val="center"/>
          </w:tcPr>
          <w:p>
            <w:pPr>
              <w:adjustRightInd w:val="0"/>
              <w:snapToGrid w:val="0"/>
              <w:jc w:val="center"/>
              <w:textAlignment w:val="baseline"/>
              <w:rPr>
                <w:rFonts w:ascii="Times New Roman" w:hAnsi="Times New Roman"/>
              </w:rPr>
            </w:pPr>
            <w:r>
              <w:rPr>
                <w:rFonts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9" w:type="pct"/>
            <w:vMerge w:val="restart"/>
            <w:vAlign w:val="center"/>
          </w:tcPr>
          <w:p>
            <w:pPr>
              <w:adjustRightInd w:val="0"/>
              <w:snapToGrid w:val="0"/>
              <w:jc w:val="center"/>
              <w:textAlignment w:val="baseline"/>
              <w:rPr>
                <w:rFonts w:ascii="Times New Roman" w:hAnsi="Times New Roman"/>
              </w:rPr>
            </w:pPr>
            <w:r>
              <w:rPr>
                <w:rFonts w:ascii="Times New Roman" w:hAnsi="Times New Roman"/>
              </w:rPr>
              <w:t>10</w:t>
            </w:r>
          </w:p>
        </w:tc>
        <w:tc>
          <w:tcPr>
            <w:tcW w:w="1347" w:type="pct"/>
            <w:vMerge w:val="restart"/>
            <w:vAlign w:val="center"/>
          </w:tcPr>
          <w:p>
            <w:pPr>
              <w:adjustRightInd w:val="0"/>
              <w:snapToGrid w:val="0"/>
              <w:jc w:val="center"/>
              <w:textAlignment w:val="baseline"/>
              <w:rPr>
                <w:rFonts w:ascii="Times New Roman" w:hAnsi="Times New Roman"/>
              </w:rPr>
            </w:pPr>
            <w:r>
              <w:rPr>
                <w:rFonts w:ascii="Times New Roman" w:hAnsi="Times New Roman"/>
              </w:rPr>
              <w:t>木制表面涂装</w:t>
            </w:r>
          </w:p>
          <w:p>
            <w:pPr>
              <w:adjustRightInd w:val="0"/>
              <w:snapToGrid w:val="0"/>
              <w:jc w:val="center"/>
              <w:textAlignment w:val="baseline"/>
              <w:rPr>
                <w:rFonts w:ascii="Times New Roman" w:hAnsi="Times New Roman"/>
              </w:rPr>
            </w:pPr>
            <w:r>
              <w:rPr>
                <w:rFonts w:ascii="Times New Roman" w:hAnsi="Times New Roman"/>
              </w:rPr>
              <w:t>（&gt;15）</w:t>
            </w:r>
          </w:p>
        </w:tc>
        <w:tc>
          <w:tcPr>
            <w:tcW w:w="672" w:type="pct"/>
            <w:vAlign w:val="center"/>
          </w:tcPr>
          <w:p>
            <w:pPr>
              <w:adjustRightInd w:val="0"/>
              <w:snapToGrid w:val="0"/>
              <w:jc w:val="center"/>
              <w:textAlignment w:val="baseline"/>
              <w:rPr>
                <w:rFonts w:ascii="Times New Roman" w:hAnsi="Times New Roman"/>
              </w:rPr>
            </w:pPr>
            <w:r>
              <w:rPr>
                <w:rFonts w:ascii="Times New Roman" w:hAnsi="Times New Roman"/>
              </w:rPr>
              <w:t>15-25</w:t>
            </w:r>
          </w:p>
        </w:tc>
        <w:tc>
          <w:tcPr>
            <w:tcW w:w="582" w:type="pct"/>
            <w:vAlign w:val="center"/>
          </w:tcPr>
          <w:p>
            <w:pPr>
              <w:adjustRightInd w:val="0"/>
              <w:snapToGrid w:val="0"/>
              <w:jc w:val="center"/>
              <w:textAlignment w:val="baseline"/>
              <w:rPr>
                <w:rFonts w:ascii="Times New Roman" w:hAnsi="Times New Roman"/>
              </w:rPr>
            </w:pPr>
            <w:r>
              <w:rPr>
                <w:rFonts w:ascii="Times New Roman" w:hAnsi="Times New Roman"/>
              </w:rPr>
              <w:t>100</w:t>
            </w:r>
          </w:p>
        </w:tc>
        <w:tc>
          <w:tcPr>
            <w:tcW w:w="1082" w:type="pct"/>
            <w:gridSpan w:val="3"/>
            <w:vAlign w:val="center"/>
          </w:tcPr>
          <w:p>
            <w:pPr>
              <w:adjustRightInd w:val="0"/>
              <w:snapToGrid w:val="0"/>
              <w:jc w:val="center"/>
              <w:textAlignment w:val="baseline"/>
              <w:rPr>
                <w:rFonts w:ascii="Times New Roman" w:hAnsi="Times New Roman"/>
              </w:rPr>
            </w:pPr>
            <w:r>
              <w:rPr>
                <w:rFonts w:ascii="Times New Roman" w:hAnsi="Times New Roman"/>
              </w:rPr>
              <w:t>25</w:t>
            </w:r>
          </w:p>
        </w:tc>
        <w:tc>
          <w:tcPr>
            <w:tcW w:w="1027" w:type="pct"/>
            <w:gridSpan w:val="2"/>
            <w:vMerge w:val="restart"/>
            <w:vAlign w:val="center"/>
          </w:tcPr>
          <w:p>
            <w:pPr>
              <w:adjustRightInd w:val="0"/>
              <w:snapToGrid w:val="0"/>
              <w:jc w:val="center"/>
              <w:textAlignment w:val="baseline"/>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9" w:type="pct"/>
            <w:vMerge w:val="continue"/>
            <w:vAlign w:val="center"/>
          </w:tcPr>
          <w:p>
            <w:pPr>
              <w:adjustRightInd w:val="0"/>
              <w:snapToGrid w:val="0"/>
              <w:jc w:val="center"/>
              <w:textAlignment w:val="baseline"/>
              <w:rPr>
                <w:rFonts w:ascii="Times New Roman" w:hAnsi="Times New Roman"/>
              </w:rPr>
            </w:pPr>
          </w:p>
        </w:tc>
        <w:tc>
          <w:tcPr>
            <w:tcW w:w="1347" w:type="pct"/>
            <w:vMerge w:val="continue"/>
            <w:vAlign w:val="center"/>
          </w:tcPr>
          <w:p>
            <w:pPr>
              <w:adjustRightInd w:val="0"/>
              <w:snapToGrid w:val="0"/>
              <w:jc w:val="center"/>
              <w:textAlignment w:val="baseline"/>
              <w:rPr>
                <w:rFonts w:ascii="Times New Roman" w:hAnsi="Times New Roman"/>
              </w:rPr>
            </w:pPr>
          </w:p>
        </w:tc>
        <w:tc>
          <w:tcPr>
            <w:tcW w:w="672" w:type="pct"/>
            <w:vAlign w:val="center"/>
          </w:tcPr>
          <w:p>
            <w:pPr>
              <w:adjustRightInd w:val="0"/>
              <w:snapToGrid w:val="0"/>
              <w:jc w:val="center"/>
              <w:textAlignment w:val="baseline"/>
              <w:rPr>
                <w:rFonts w:ascii="Times New Roman" w:hAnsi="Times New Roman"/>
              </w:rPr>
            </w:pPr>
            <w:r>
              <w:rPr>
                <w:rFonts w:ascii="Times New Roman" w:hAnsi="Times New Roman"/>
              </w:rPr>
              <w:t>&gt;25</w:t>
            </w:r>
          </w:p>
        </w:tc>
        <w:tc>
          <w:tcPr>
            <w:tcW w:w="582" w:type="pct"/>
            <w:vAlign w:val="center"/>
          </w:tcPr>
          <w:p>
            <w:pPr>
              <w:adjustRightInd w:val="0"/>
              <w:snapToGrid w:val="0"/>
              <w:jc w:val="center"/>
              <w:textAlignment w:val="baseline"/>
              <w:rPr>
                <w:rFonts w:ascii="Times New Roman" w:hAnsi="Times New Roman"/>
              </w:rPr>
            </w:pPr>
            <w:r>
              <w:rPr>
                <w:rFonts w:ascii="Times New Roman" w:hAnsi="Times New Roman"/>
              </w:rPr>
              <w:t>50/75</w:t>
            </w:r>
          </w:p>
        </w:tc>
        <w:tc>
          <w:tcPr>
            <w:tcW w:w="1082" w:type="pct"/>
            <w:gridSpan w:val="3"/>
            <w:vAlign w:val="center"/>
          </w:tcPr>
          <w:p>
            <w:pPr>
              <w:adjustRightInd w:val="0"/>
              <w:snapToGrid w:val="0"/>
              <w:jc w:val="center"/>
              <w:textAlignment w:val="baseline"/>
              <w:rPr>
                <w:rFonts w:ascii="Times New Roman" w:hAnsi="Times New Roman"/>
              </w:rPr>
            </w:pPr>
            <w:r>
              <w:rPr>
                <w:rFonts w:ascii="Times New Roman" w:hAnsi="Times New Roman"/>
              </w:rPr>
              <w:t>20</w:t>
            </w:r>
          </w:p>
        </w:tc>
        <w:tc>
          <w:tcPr>
            <w:tcW w:w="1027" w:type="pct"/>
            <w:gridSpan w:val="2"/>
            <w:vMerge w:val="continue"/>
            <w:vAlign w:val="center"/>
          </w:tcPr>
          <w:p>
            <w:pPr>
              <w:adjustRightInd w:val="0"/>
              <w:snapToGrid w:val="0"/>
              <w:jc w:val="center"/>
              <w:textAlignment w:val="baseline"/>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9" w:type="pct"/>
            <w:vAlign w:val="center"/>
          </w:tcPr>
          <w:p>
            <w:pPr>
              <w:adjustRightInd w:val="0"/>
              <w:snapToGrid w:val="0"/>
              <w:jc w:val="center"/>
              <w:textAlignment w:val="baseline"/>
              <w:rPr>
                <w:rFonts w:ascii="Times New Roman" w:hAnsi="Times New Roman"/>
              </w:rPr>
            </w:pPr>
            <w:r>
              <w:rPr>
                <w:rFonts w:ascii="Times New Roman" w:hAnsi="Times New Roman"/>
              </w:rPr>
              <w:t>11</w:t>
            </w:r>
          </w:p>
        </w:tc>
        <w:tc>
          <w:tcPr>
            <w:tcW w:w="1347" w:type="pct"/>
            <w:vAlign w:val="center"/>
          </w:tcPr>
          <w:p>
            <w:pPr>
              <w:adjustRightInd w:val="0"/>
              <w:snapToGrid w:val="0"/>
              <w:jc w:val="center"/>
              <w:textAlignment w:val="baseline"/>
              <w:rPr>
                <w:rFonts w:ascii="Times New Roman" w:hAnsi="Times New Roman"/>
              </w:rPr>
            </w:pPr>
            <w:r>
              <w:rPr>
                <w:rFonts w:ascii="Times New Roman" w:hAnsi="Times New Roman"/>
              </w:rPr>
              <w:t>干洗</w:t>
            </w:r>
          </w:p>
        </w:tc>
        <w:tc>
          <w:tcPr>
            <w:tcW w:w="672" w:type="pct"/>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c>
          <w:tcPr>
            <w:tcW w:w="582" w:type="pct"/>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c>
          <w:tcPr>
            <w:tcW w:w="1082" w:type="pct"/>
            <w:gridSpan w:val="3"/>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c>
          <w:tcPr>
            <w:tcW w:w="1027" w:type="pct"/>
            <w:gridSpan w:val="2"/>
            <w:vAlign w:val="center"/>
          </w:tcPr>
          <w:p>
            <w:pPr>
              <w:adjustRightInd w:val="0"/>
              <w:snapToGrid w:val="0"/>
              <w:jc w:val="center"/>
              <w:textAlignment w:val="baseline"/>
              <w:rPr>
                <w:rFonts w:ascii="Times New Roman" w:hAnsi="Times New Roman"/>
              </w:rPr>
            </w:pPr>
            <w:r>
              <w:rPr>
                <w:rFonts w:ascii="Times New Roman" w:hAnsi="Times New Roman"/>
              </w:rPr>
              <w:t>20g/kg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9" w:type="pct"/>
            <w:vAlign w:val="center"/>
          </w:tcPr>
          <w:p>
            <w:pPr>
              <w:adjustRightInd w:val="0"/>
              <w:snapToGrid w:val="0"/>
              <w:jc w:val="center"/>
              <w:textAlignment w:val="baseline"/>
              <w:rPr>
                <w:rFonts w:ascii="Times New Roman" w:hAnsi="Times New Roman"/>
              </w:rPr>
            </w:pPr>
            <w:r>
              <w:rPr>
                <w:rFonts w:ascii="Times New Roman" w:hAnsi="Times New Roman"/>
              </w:rPr>
              <w:t>12</w:t>
            </w:r>
          </w:p>
        </w:tc>
        <w:tc>
          <w:tcPr>
            <w:tcW w:w="1347" w:type="pct"/>
            <w:vAlign w:val="center"/>
          </w:tcPr>
          <w:p>
            <w:pPr>
              <w:adjustRightInd w:val="0"/>
              <w:snapToGrid w:val="0"/>
              <w:jc w:val="center"/>
              <w:textAlignment w:val="baseline"/>
              <w:rPr>
                <w:rFonts w:ascii="Times New Roman" w:hAnsi="Times New Roman"/>
              </w:rPr>
            </w:pPr>
            <w:r>
              <w:rPr>
                <w:rFonts w:ascii="Times New Roman" w:hAnsi="Times New Roman"/>
              </w:rPr>
              <w:t>木材防腐（&gt;25）</w:t>
            </w:r>
          </w:p>
        </w:tc>
        <w:tc>
          <w:tcPr>
            <w:tcW w:w="672" w:type="pct"/>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c>
          <w:tcPr>
            <w:tcW w:w="582" w:type="pct"/>
            <w:vAlign w:val="center"/>
          </w:tcPr>
          <w:p>
            <w:pPr>
              <w:adjustRightInd w:val="0"/>
              <w:snapToGrid w:val="0"/>
              <w:jc w:val="center"/>
              <w:textAlignment w:val="baseline"/>
              <w:rPr>
                <w:rFonts w:ascii="Times New Roman" w:hAnsi="Times New Roman"/>
              </w:rPr>
            </w:pPr>
            <w:r>
              <w:rPr>
                <w:rFonts w:ascii="Times New Roman" w:hAnsi="Times New Roman"/>
              </w:rPr>
              <w:t>100</w:t>
            </w:r>
          </w:p>
        </w:tc>
        <w:tc>
          <w:tcPr>
            <w:tcW w:w="1082" w:type="pct"/>
            <w:gridSpan w:val="3"/>
            <w:vAlign w:val="center"/>
          </w:tcPr>
          <w:p>
            <w:pPr>
              <w:adjustRightInd w:val="0"/>
              <w:snapToGrid w:val="0"/>
              <w:jc w:val="center"/>
              <w:textAlignment w:val="baseline"/>
              <w:rPr>
                <w:rFonts w:ascii="Times New Roman" w:hAnsi="Times New Roman"/>
              </w:rPr>
            </w:pPr>
            <w:r>
              <w:rPr>
                <w:rFonts w:ascii="Times New Roman" w:hAnsi="Times New Roman"/>
              </w:rPr>
              <w:t>45</w:t>
            </w:r>
          </w:p>
        </w:tc>
        <w:tc>
          <w:tcPr>
            <w:tcW w:w="1027" w:type="pct"/>
            <w:gridSpan w:val="2"/>
            <w:vAlign w:val="center"/>
          </w:tcPr>
          <w:p>
            <w:pPr>
              <w:adjustRightInd w:val="0"/>
              <w:snapToGrid w:val="0"/>
              <w:jc w:val="center"/>
              <w:textAlignment w:val="baseline"/>
              <w:rPr>
                <w:rFonts w:ascii="Times New Roman" w:hAnsi="Times New Roman"/>
              </w:rPr>
            </w:pPr>
            <w:r>
              <w:rPr>
                <w:rFonts w:ascii="Times New Roman" w:hAnsi="Times New Roman"/>
              </w:rPr>
              <w:t>11kg/m</w:t>
            </w:r>
            <w:r>
              <w:rPr>
                <w:rFonts w:ascii="Times New Roman" w:hAnsi="Times New Roman"/>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9" w:type="pct"/>
            <w:vMerge w:val="restart"/>
            <w:vAlign w:val="center"/>
          </w:tcPr>
          <w:p>
            <w:pPr>
              <w:adjustRightInd w:val="0"/>
              <w:snapToGrid w:val="0"/>
              <w:jc w:val="center"/>
              <w:textAlignment w:val="baseline"/>
              <w:rPr>
                <w:rFonts w:ascii="Times New Roman" w:hAnsi="Times New Roman"/>
              </w:rPr>
            </w:pPr>
            <w:r>
              <w:rPr>
                <w:rFonts w:ascii="Times New Roman" w:hAnsi="Times New Roman"/>
              </w:rPr>
              <w:t>13</w:t>
            </w:r>
          </w:p>
        </w:tc>
        <w:tc>
          <w:tcPr>
            <w:tcW w:w="1347" w:type="pct"/>
            <w:vMerge w:val="restart"/>
            <w:vAlign w:val="center"/>
          </w:tcPr>
          <w:p>
            <w:pPr>
              <w:adjustRightInd w:val="0"/>
              <w:snapToGrid w:val="0"/>
              <w:jc w:val="center"/>
              <w:textAlignment w:val="baseline"/>
              <w:rPr>
                <w:rFonts w:ascii="Times New Roman" w:hAnsi="Times New Roman"/>
              </w:rPr>
            </w:pPr>
            <w:r>
              <w:rPr>
                <w:rFonts w:ascii="Times New Roman" w:hAnsi="Times New Roman"/>
              </w:rPr>
              <w:t>皮革涂装（&gt;10）</w:t>
            </w:r>
          </w:p>
        </w:tc>
        <w:tc>
          <w:tcPr>
            <w:tcW w:w="672" w:type="pct"/>
            <w:vAlign w:val="center"/>
          </w:tcPr>
          <w:p>
            <w:pPr>
              <w:adjustRightInd w:val="0"/>
              <w:snapToGrid w:val="0"/>
              <w:jc w:val="center"/>
              <w:textAlignment w:val="baseline"/>
              <w:rPr>
                <w:rFonts w:ascii="Times New Roman" w:hAnsi="Times New Roman"/>
              </w:rPr>
            </w:pPr>
            <w:r>
              <w:rPr>
                <w:rFonts w:ascii="Times New Roman" w:hAnsi="Times New Roman"/>
              </w:rPr>
              <w:t>10-25</w:t>
            </w:r>
          </w:p>
        </w:tc>
        <w:tc>
          <w:tcPr>
            <w:tcW w:w="582" w:type="pct"/>
            <w:vMerge w:val="restart"/>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c>
          <w:tcPr>
            <w:tcW w:w="1082" w:type="pct"/>
            <w:gridSpan w:val="3"/>
            <w:vMerge w:val="restart"/>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c>
          <w:tcPr>
            <w:tcW w:w="1027" w:type="pct"/>
            <w:gridSpan w:val="2"/>
            <w:vAlign w:val="center"/>
          </w:tcPr>
          <w:p>
            <w:pPr>
              <w:adjustRightInd w:val="0"/>
              <w:snapToGrid w:val="0"/>
              <w:jc w:val="center"/>
              <w:textAlignment w:val="baseline"/>
              <w:rPr>
                <w:rFonts w:ascii="Times New Roman" w:hAnsi="Times New Roman"/>
              </w:rPr>
            </w:pPr>
            <w:r>
              <w:rPr>
                <w:rFonts w:ascii="Times New Roman" w:hAnsi="Times New Roman"/>
              </w:rPr>
              <w:t>85g/m</w:t>
            </w:r>
            <w:r>
              <w:rPr>
                <w:rFonts w:ascii="Times New Roman" w:hAnsi="Times New Roman"/>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9" w:type="pct"/>
            <w:vMerge w:val="continue"/>
            <w:vAlign w:val="center"/>
          </w:tcPr>
          <w:p>
            <w:pPr>
              <w:adjustRightInd w:val="0"/>
              <w:snapToGrid w:val="0"/>
              <w:jc w:val="center"/>
              <w:textAlignment w:val="baseline"/>
              <w:rPr>
                <w:rFonts w:ascii="Times New Roman" w:hAnsi="Times New Roman"/>
              </w:rPr>
            </w:pPr>
          </w:p>
        </w:tc>
        <w:tc>
          <w:tcPr>
            <w:tcW w:w="1347" w:type="pct"/>
            <w:vMerge w:val="continue"/>
            <w:vAlign w:val="center"/>
          </w:tcPr>
          <w:p>
            <w:pPr>
              <w:adjustRightInd w:val="0"/>
              <w:snapToGrid w:val="0"/>
              <w:jc w:val="center"/>
              <w:textAlignment w:val="baseline"/>
              <w:rPr>
                <w:rFonts w:ascii="Times New Roman" w:hAnsi="Times New Roman"/>
              </w:rPr>
            </w:pPr>
          </w:p>
        </w:tc>
        <w:tc>
          <w:tcPr>
            <w:tcW w:w="672" w:type="pct"/>
            <w:vAlign w:val="center"/>
          </w:tcPr>
          <w:p>
            <w:pPr>
              <w:adjustRightInd w:val="0"/>
              <w:snapToGrid w:val="0"/>
              <w:jc w:val="center"/>
              <w:textAlignment w:val="baseline"/>
              <w:rPr>
                <w:rFonts w:ascii="Times New Roman" w:hAnsi="Times New Roman"/>
              </w:rPr>
            </w:pPr>
            <w:r>
              <w:rPr>
                <w:rFonts w:ascii="Times New Roman" w:hAnsi="Times New Roman"/>
              </w:rPr>
              <w:t>&gt;25</w:t>
            </w:r>
          </w:p>
        </w:tc>
        <w:tc>
          <w:tcPr>
            <w:tcW w:w="582" w:type="pct"/>
            <w:vMerge w:val="continue"/>
            <w:vAlign w:val="center"/>
          </w:tcPr>
          <w:p>
            <w:pPr>
              <w:adjustRightInd w:val="0"/>
              <w:snapToGrid w:val="0"/>
              <w:jc w:val="center"/>
              <w:textAlignment w:val="baseline"/>
              <w:rPr>
                <w:rFonts w:ascii="Times New Roman" w:hAnsi="Times New Roman"/>
              </w:rPr>
            </w:pPr>
          </w:p>
        </w:tc>
        <w:tc>
          <w:tcPr>
            <w:tcW w:w="1082" w:type="pct"/>
            <w:gridSpan w:val="3"/>
            <w:vMerge w:val="continue"/>
            <w:vAlign w:val="center"/>
          </w:tcPr>
          <w:p>
            <w:pPr>
              <w:adjustRightInd w:val="0"/>
              <w:snapToGrid w:val="0"/>
              <w:jc w:val="center"/>
              <w:textAlignment w:val="baseline"/>
              <w:rPr>
                <w:rFonts w:ascii="Times New Roman" w:hAnsi="Times New Roman"/>
              </w:rPr>
            </w:pPr>
          </w:p>
        </w:tc>
        <w:tc>
          <w:tcPr>
            <w:tcW w:w="1027" w:type="pct"/>
            <w:gridSpan w:val="2"/>
            <w:vAlign w:val="center"/>
          </w:tcPr>
          <w:p>
            <w:pPr>
              <w:adjustRightInd w:val="0"/>
              <w:snapToGrid w:val="0"/>
              <w:jc w:val="center"/>
              <w:textAlignment w:val="baseline"/>
              <w:rPr>
                <w:rFonts w:ascii="Times New Roman" w:hAnsi="Times New Roman"/>
              </w:rPr>
            </w:pPr>
            <w:r>
              <w:rPr>
                <w:rFonts w:ascii="Times New Roman" w:hAnsi="Times New Roman"/>
              </w:rPr>
              <w:t>75g/m</w:t>
            </w:r>
            <w:r>
              <w:rPr>
                <w:rFonts w:ascii="Times New Roman" w:hAnsi="Times New Roman"/>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9" w:type="pct"/>
            <w:vMerge w:val="continue"/>
            <w:vAlign w:val="center"/>
          </w:tcPr>
          <w:p>
            <w:pPr>
              <w:adjustRightInd w:val="0"/>
              <w:snapToGrid w:val="0"/>
              <w:jc w:val="center"/>
              <w:textAlignment w:val="baseline"/>
              <w:rPr>
                <w:rFonts w:ascii="Times New Roman" w:hAnsi="Times New Roman"/>
              </w:rPr>
            </w:pPr>
          </w:p>
        </w:tc>
        <w:tc>
          <w:tcPr>
            <w:tcW w:w="1347" w:type="pct"/>
            <w:vMerge w:val="continue"/>
            <w:vAlign w:val="center"/>
          </w:tcPr>
          <w:p>
            <w:pPr>
              <w:adjustRightInd w:val="0"/>
              <w:snapToGrid w:val="0"/>
              <w:jc w:val="center"/>
              <w:textAlignment w:val="baseline"/>
              <w:rPr>
                <w:rFonts w:ascii="Times New Roman" w:hAnsi="Times New Roman"/>
              </w:rPr>
            </w:pPr>
          </w:p>
        </w:tc>
        <w:tc>
          <w:tcPr>
            <w:tcW w:w="672" w:type="pct"/>
            <w:vAlign w:val="center"/>
          </w:tcPr>
          <w:p>
            <w:pPr>
              <w:adjustRightInd w:val="0"/>
              <w:snapToGrid w:val="0"/>
              <w:jc w:val="center"/>
              <w:textAlignment w:val="baseline"/>
              <w:rPr>
                <w:rFonts w:ascii="Times New Roman" w:hAnsi="Times New Roman"/>
              </w:rPr>
            </w:pPr>
            <w:r>
              <w:rPr>
                <w:rFonts w:ascii="Times New Roman" w:hAnsi="Times New Roman"/>
              </w:rPr>
              <w:t>&gt;10</w:t>
            </w:r>
          </w:p>
        </w:tc>
        <w:tc>
          <w:tcPr>
            <w:tcW w:w="582" w:type="pct"/>
            <w:vMerge w:val="continue"/>
            <w:vAlign w:val="center"/>
          </w:tcPr>
          <w:p>
            <w:pPr>
              <w:adjustRightInd w:val="0"/>
              <w:snapToGrid w:val="0"/>
              <w:jc w:val="center"/>
              <w:textAlignment w:val="baseline"/>
              <w:rPr>
                <w:rFonts w:ascii="Times New Roman" w:hAnsi="Times New Roman"/>
              </w:rPr>
            </w:pPr>
          </w:p>
        </w:tc>
        <w:tc>
          <w:tcPr>
            <w:tcW w:w="1082" w:type="pct"/>
            <w:gridSpan w:val="3"/>
            <w:vMerge w:val="continue"/>
            <w:vAlign w:val="center"/>
          </w:tcPr>
          <w:p>
            <w:pPr>
              <w:adjustRightInd w:val="0"/>
              <w:snapToGrid w:val="0"/>
              <w:jc w:val="center"/>
              <w:textAlignment w:val="baseline"/>
              <w:rPr>
                <w:rFonts w:ascii="Times New Roman" w:hAnsi="Times New Roman"/>
              </w:rPr>
            </w:pPr>
          </w:p>
        </w:tc>
        <w:tc>
          <w:tcPr>
            <w:tcW w:w="1027" w:type="pct"/>
            <w:gridSpan w:val="2"/>
            <w:vAlign w:val="center"/>
          </w:tcPr>
          <w:p>
            <w:pPr>
              <w:adjustRightInd w:val="0"/>
              <w:snapToGrid w:val="0"/>
              <w:jc w:val="center"/>
              <w:textAlignment w:val="baseline"/>
              <w:rPr>
                <w:rFonts w:ascii="Times New Roman" w:hAnsi="Times New Roman"/>
              </w:rPr>
            </w:pPr>
            <w:r>
              <w:rPr>
                <w:rFonts w:ascii="Times New Roman" w:hAnsi="Times New Roman"/>
              </w:rPr>
              <w:t>150g/m</w:t>
            </w:r>
            <w:r>
              <w:rPr>
                <w:rFonts w:ascii="Times New Roman" w:hAnsi="Times New Roman"/>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9" w:type="pct"/>
            <w:vAlign w:val="center"/>
          </w:tcPr>
          <w:p>
            <w:pPr>
              <w:adjustRightInd w:val="0"/>
              <w:snapToGrid w:val="0"/>
              <w:jc w:val="center"/>
              <w:textAlignment w:val="baseline"/>
              <w:rPr>
                <w:rFonts w:ascii="Times New Roman" w:hAnsi="Times New Roman"/>
              </w:rPr>
            </w:pPr>
            <w:r>
              <w:rPr>
                <w:rFonts w:ascii="Times New Roman" w:hAnsi="Times New Roman"/>
              </w:rPr>
              <w:t>14</w:t>
            </w:r>
          </w:p>
        </w:tc>
        <w:tc>
          <w:tcPr>
            <w:tcW w:w="1347" w:type="pct"/>
            <w:vAlign w:val="center"/>
          </w:tcPr>
          <w:p>
            <w:pPr>
              <w:adjustRightInd w:val="0"/>
              <w:snapToGrid w:val="0"/>
              <w:jc w:val="center"/>
              <w:textAlignment w:val="baseline"/>
              <w:rPr>
                <w:rFonts w:ascii="Times New Roman" w:hAnsi="Times New Roman"/>
              </w:rPr>
            </w:pPr>
            <w:r>
              <w:rPr>
                <w:rFonts w:ascii="Times New Roman" w:hAnsi="Times New Roman"/>
              </w:rPr>
              <w:t>制鞋（&gt;5）</w:t>
            </w:r>
          </w:p>
        </w:tc>
        <w:tc>
          <w:tcPr>
            <w:tcW w:w="672" w:type="pct"/>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c>
          <w:tcPr>
            <w:tcW w:w="582" w:type="pct"/>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c>
          <w:tcPr>
            <w:tcW w:w="1082" w:type="pct"/>
            <w:gridSpan w:val="3"/>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c>
          <w:tcPr>
            <w:tcW w:w="1027" w:type="pct"/>
            <w:gridSpan w:val="2"/>
            <w:vAlign w:val="center"/>
          </w:tcPr>
          <w:p>
            <w:pPr>
              <w:adjustRightInd w:val="0"/>
              <w:snapToGrid w:val="0"/>
              <w:jc w:val="center"/>
              <w:textAlignment w:val="baseline"/>
              <w:rPr>
                <w:rFonts w:ascii="Times New Roman" w:hAnsi="Times New Roman"/>
              </w:rPr>
            </w:pPr>
            <w:r>
              <w:rPr>
                <w:rFonts w:ascii="Times New Roman" w:hAnsi="Times New Roman"/>
              </w:rPr>
              <w:t>25g/双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9" w:type="pct"/>
            <w:vAlign w:val="center"/>
          </w:tcPr>
          <w:p>
            <w:pPr>
              <w:adjustRightInd w:val="0"/>
              <w:snapToGrid w:val="0"/>
              <w:jc w:val="center"/>
              <w:textAlignment w:val="baseline"/>
              <w:rPr>
                <w:rFonts w:ascii="Times New Roman" w:hAnsi="Times New Roman"/>
              </w:rPr>
            </w:pPr>
            <w:r>
              <w:rPr>
                <w:rFonts w:ascii="Times New Roman" w:hAnsi="Times New Roman"/>
              </w:rPr>
              <w:t>15</w:t>
            </w:r>
          </w:p>
        </w:tc>
        <w:tc>
          <w:tcPr>
            <w:tcW w:w="1347" w:type="pct"/>
            <w:vAlign w:val="center"/>
          </w:tcPr>
          <w:p>
            <w:pPr>
              <w:adjustRightInd w:val="0"/>
              <w:snapToGrid w:val="0"/>
              <w:jc w:val="center"/>
              <w:textAlignment w:val="baseline"/>
              <w:rPr>
                <w:rFonts w:ascii="Times New Roman" w:hAnsi="Times New Roman"/>
              </w:rPr>
            </w:pPr>
            <w:r>
              <w:rPr>
                <w:rFonts w:ascii="Times New Roman" w:hAnsi="Times New Roman"/>
              </w:rPr>
              <w:t>人造装饰面板（&gt;5）</w:t>
            </w:r>
          </w:p>
        </w:tc>
        <w:tc>
          <w:tcPr>
            <w:tcW w:w="672" w:type="pct"/>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c>
          <w:tcPr>
            <w:tcW w:w="582" w:type="pct"/>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c>
          <w:tcPr>
            <w:tcW w:w="1082" w:type="pct"/>
            <w:gridSpan w:val="3"/>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c>
          <w:tcPr>
            <w:tcW w:w="1027" w:type="pct"/>
            <w:gridSpan w:val="2"/>
            <w:vAlign w:val="center"/>
          </w:tcPr>
          <w:p>
            <w:pPr>
              <w:adjustRightInd w:val="0"/>
              <w:snapToGrid w:val="0"/>
              <w:jc w:val="center"/>
              <w:textAlignment w:val="baseline"/>
              <w:rPr>
                <w:rFonts w:ascii="Times New Roman" w:hAnsi="Times New Roman"/>
              </w:rPr>
            </w:pPr>
            <w:r>
              <w:rPr>
                <w:rFonts w:ascii="Times New Roman" w:hAnsi="Times New Roman"/>
              </w:rPr>
              <w:t>30g/m</w:t>
            </w:r>
            <w:r>
              <w:rPr>
                <w:rFonts w:ascii="Times New Roman" w:hAnsi="Times New Roman"/>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9" w:type="pct"/>
            <w:vMerge w:val="restart"/>
            <w:vAlign w:val="center"/>
          </w:tcPr>
          <w:p>
            <w:pPr>
              <w:adjustRightInd w:val="0"/>
              <w:snapToGrid w:val="0"/>
              <w:jc w:val="center"/>
              <w:textAlignment w:val="baseline"/>
              <w:rPr>
                <w:rFonts w:ascii="Times New Roman" w:hAnsi="Times New Roman"/>
              </w:rPr>
            </w:pPr>
            <w:r>
              <w:rPr>
                <w:rFonts w:ascii="Times New Roman" w:hAnsi="Times New Roman"/>
              </w:rPr>
              <w:t>16</w:t>
            </w:r>
          </w:p>
        </w:tc>
        <w:tc>
          <w:tcPr>
            <w:tcW w:w="1347" w:type="pct"/>
            <w:vMerge w:val="restart"/>
            <w:vAlign w:val="center"/>
          </w:tcPr>
          <w:p>
            <w:pPr>
              <w:adjustRightInd w:val="0"/>
              <w:snapToGrid w:val="0"/>
              <w:jc w:val="center"/>
              <w:textAlignment w:val="baseline"/>
              <w:rPr>
                <w:rFonts w:ascii="Times New Roman" w:hAnsi="Times New Roman"/>
              </w:rPr>
            </w:pPr>
            <w:r>
              <w:rPr>
                <w:rFonts w:ascii="Times New Roman" w:hAnsi="Times New Roman"/>
              </w:rPr>
              <w:t>胶带生产（&gt;5）</w:t>
            </w:r>
          </w:p>
        </w:tc>
        <w:tc>
          <w:tcPr>
            <w:tcW w:w="672" w:type="pct"/>
            <w:vAlign w:val="center"/>
          </w:tcPr>
          <w:p>
            <w:pPr>
              <w:adjustRightInd w:val="0"/>
              <w:snapToGrid w:val="0"/>
              <w:jc w:val="center"/>
              <w:textAlignment w:val="baseline"/>
              <w:rPr>
                <w:rFonts w:ascii="Times New Roman" w:hAnsi="Times New Roman"/>
              </w:rPr>
            </w:pPr>
            <w:r>
              <w:rPr>
                <w:rFonts w:ascii="Times New Roman" w:hAnsi="Times New Roman"/>
              </w:rPr>
              <w:t>5－15</w:t>
            </w:r>
          </w:p>
        </w:tc>
        <w:tc>
          <w:tcPr>
            <w:tcW w:w="582" w:type="pct"/>
            <w:vAlign w:val="center"/>
          </w:tcPr>
          <w:p>
            <w:pPr>
              <w:adjustRightInd w:val="0"/>
              <w:snapToGrid w:val="0"/>
              <w:jc w:val="center"/>
              <w:textAlignment w:val="baseline"/>
              <w:rPr>
                <w:rFonts w:ascii="Times New Roman" w:hAnsi="Times New Roman"/>
              </w:rPr>
            </w:pPr>
            <w:r>
              <w:rPr>
                <w:rFonts w:ascii="Times New Roman" w:hAnsi="Times New Roman"/>
              </w:rPr>
              <w:t>50</w:t>
            </w:r>
          </w:p>
        </w:tc>
        <w:tc>
          <w:tcPr>
            <w:tcW w:w="1082" w:type="pct"/>
            <w:gridSpan w:val="3"/>
            <w:vAlign w:val="center"/>
          </w:tcPr>
          <w:p>
            <w:pPr>
              <w:adjustRightInd w:val="0"/>
              <w:snapToGrid w:val="0"/>
              <w:jc w:val="center"/>
              <w:textAlignment w:val="baseline"/>
              <w:rPr>
                <w:rFonts w:ascii="Times New Roman" w:hAnsi="Times New Roman"/>
              </w:rPr>
            </w:pPr>
            <w:r>
              <w:rPr>
                <w:rFonts w:ascii="Times New Roman" w:hAnsi="Times New Roman"/>
              </w:rPr>
              <w:t>25</w:t>
            </w:r>
          </w:p>
        </w:tc>
        <w:tc>
          <w:tcPr>
            <w:tcW w:w="1027" w:type="pct"/>
            <w:gridSpan w:val="2"/>
            <w:vMerge w:val="restart"/>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9" w:type="pct"/>
            <w:vMerge w:val="continue"/>
            <w:vAlign w:val="center"/>
          </w:tcPr>
          <w:p>
            <w:pPr>
              <w:adjustRightInd w:val="0"/>
              <w:snapToGrid w:val="0"/>
              <w:jc w:val="center"/>
              <w:textAlignment w:val="baseline"/>
              <w:rPr>
                <w:rFonts w:ascii="Times New Roman" w:hAnsi="Times New Roman"/>
              </w:rPr>
            </w:pPr>
          </w:p>
        </w:tc>
        <w:tc>
          <w:tcPr>
            <w:tcW w:w="1347" w:type="pct"/>
            <w:vMerge w:val="continue"/>
            <w:vAlign w:val="center"/>
          </w:tcPr>
          <w:p>
            <w:pPr>
              <w:adjustRightInd w:val="0"/>
              <w:snapToGrid w:val="0"/>
              <w:jc w:val="center"/>
              <w:textAlignment w:val="baseline"/>
              <w:rPr>
                <w:rFonts w:ascii="Times New Roman" w:hAnsi="Times New Roman"/>
              </w:rPr>
            </w:pPr>
          </w:p>
        </w:tc>
        <w:tc>
          <w:tcPr>
            <w:tcW w:w="672" w:type="pct"/>
            <w:vAlign w:val="center"/>
          </w:tcPr>
          <w:p>
            <w:pPr>
              <w:adjustRightInd w:val="0"/>
              <w:snapToGrid w:val="0"/>
              <w:jc w:val="center"/>
              <w:textAlignment w:val="baseline"/>
              <w:rPr>
                <w:rFonts w:ascii="Times New Roman" w:hAnsi="Times New Roman"/>
              </w:rPr>
            </w:pPr>
            <w:r>
              <w:rPr>
                <w:rFonts w:ascii="Times New Roman" w:hAnsi="Times New Roman"/>
              </w:rPr>
              <w:t>&gt;15</w:t>
            </w:r>
          </w:p>
        </w:tc>
        <w:tc>
          <w:tcPr>
            <w:tcW w:w="582" w:type="pct"/>
            <w:vAlign w:val="center"/>
          </w:tcPr>
          <w:p>
            <w:pPr>
              <w:adjustRightInd w:val="0"/>
              <w:snapToGrid w:val="0"/>
              <w:jc w:val="center"/>
              <w:textAlignment w:val="baseline"/>
              <w:rPr>
                <w:rFonts w:ascii="Times New Roman" w:hAnsi="Times New Roman"/>
              </w:rPr>
            </w:pPr>
            <w:r>
              <w:rPr>
                <w:rFonts w:ascii="Times New Roman" w:hAnsi="Times New Roman"/>
              </w:rPr>
              <w:t>50</w:t>
            </w:r>
          </w:p>
        </w:tc>
        <w:tc>
          <w:tcPr>
            <w:tcW w:w="1082" w:type="pct"/>
            <w:gridSpan w:val="3"/>
            <w:vAlign w:val="center"/>
          </w:tcPr>
          <w:p>
            <w:pPr>
              <w:adjustRightInd w:val="0"/>
              <w:snapToGrid w:val="0"/>
              <w:jc w:val="center"/>
              <w:textAlignment w:val="baseline"/>
              <w:rPr>
                <w:rFonts w:ascii="Times New Roman" w:hAnsi="Times New Roman"/>
              </w:rPr>
            </w:pPr>
            <w:r>
              <w:rPr>
                <w:rFonts w:ascii="Times New Roman" w:hAnsi="Times New Roman"/>
              </w:rPr>
              <w:t>20</w:t>
            </w:r>
          </w:p>
        </w:tc>
        <w:tc>
          <w:tcPr>
            <w:tcW w:w="1027" w:type="pct"/>
            <w:gridSpan w:val="2"/>
            <w:vMerge w:val="continue"/>
            <w:vAlign w:val="center"/>
          </w:tcPr>
          <w:p>
            <w:pPr>
              <w:adjustRightInd w:val="0"/>
              <w:snapToGrid w:val="0"/>
              <w:jc w:val="center"/>
              <w:textAlignment w:val="baseline"/>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9" w:type="pct"/>
            <w:vMerge w:val="restart"/>
            <w:vAlign w:val="center"/>
          </w:tcPr>
          <w:p>
            <w:pPr>
              <w:adjustRightInd w:val="0"/>
              <w:snapToGrid w:val="0"/>
              <w:jc w:val="center"/>
              <w:textAlignment w:val="baseline"/>
              <w:rPr>
                <w:rFonts w:ascii="Times New Roman" w:hAnsi="Times New Roman"/>
              </w:rPr>
            </w:pPr>
            <w:r>
              <w:rPr>
                <w:rFonts w:ascii="Times New Roman" w:hAnsi="Times New Roman"/>
              </w:rPr>
              <w:t>17</w:t>
            </w:r>
          </w:p>
        </w:tc>
        <w:tc>
          <w:tcPr>
            <w:tcW w:w="1347" w:type="pct"/>
            <w:vMerge w:val="restart"/>
            <w:vAlign w:val="center"/>
          </w:tcPr>
          <w:p>
            <w:pPr>
              <w:adjustRightInd w:val="0"/>
              <w:snapToGrid w:val="0"/>
              <w:jc w:val="center"/>
              <w:textAlignment w:val="baseline"/>
              <w:rPr>
                <w:rFonts w:ascii="Times New Roman" w:hAnsi="Times New Roman"/>
              </w:rPr>
            </w:pPr>
            <w:r>
              <w:rPr>
                <w:rFonts w:ascii="Times New Roman" w:hAnsi="Times New Roman"/>
              </w:rPr>
              <w:t>涂料制品、清漆、油墨和胶黏剂的生产（&gt;100）</w:t>
            </w:r>
          </w:p>
        </w:tc>
        <w:tc>
          <w:tcPr>
            <w:tcW w:w="672" w:type="pct"/>
            <w:vAlign w:val="center"/>
          </w:tcPr>
          <w:p>
            <w:pPr>
              <w:adjustRightInd w:val="0"/>
              <w:snapToGrid w:val="0"/>
              <w:jc w:val="center"/>
              <w:textAlignment w:val="baseline"/>
              <w:rPr>
                <w:rFonts w:ascii="Times New Roman" w:hAnsi="Times New Roman"/>
              </w:rPr>
            </w:pPr>
            <w:r>
              <w:rPr>
                <w:rFonts w:ascii="Times New Roman" w:hAnsi="Times New Roman"/>
              </w:rPr>
              <w:t>100-1000</w:t>
            </w:r>
          </w:p>
        </w:tc>
        <w:tc>
          <w:tcPr>
            <w:tcW w:w="582" w:type="pct"/>
            <w:vAlign w:val="center"/>
          </w:tcPr>
          <w:p>
            <w:pPr>
              <w:adjustRightInd w:val="0"/>
              <w:snapToGrid w:val="0"/>
              <w:jc w:val="center"/>
              <w:textAlignment w:val="baseline"/>
              <w:rPr>
                <w:rFonts w:ascii="Times New Roman" w:hAnsi="Times New Roman"/>
              </w:rPr>
            </w:pPr>
            <w:r>
              <w:rPr>
                <w:rFonts w:ascii="Times New Roman" w:hAnsi="Times New Roman"/>
              </w:rPr>
              <w:t>150</w:t>
            </w:r>
          </w:p>
        </w:tc>
        <w:tc>
          <w:tcPr>
            <w:tcW w:w="1082" w:type="pct"/>
            <w:gridSpan w:val="3"/>
            <w:vMerge w:val="restart"/>
            <w:vAlign w:val="center"/>
          </w:tcPr>
          <w:p>
            <w:pPr>
              <w:adjustRightInd w:val="0"/>
              <w:snapToGrid w:val="0"/>
              <w:jc w:val="center"/>
              <w:textAlignment w:val="baseline"/>
              <w:rPr>
                <w:rFonts w:ascii="Times New Roman" w:hAnsi="Times New Roman"/>
              </w:rPr>
            </w:pPr>
            <w:r>
              <w:rPr>
                <w:rFonts w:ascii="Times New Roman" w:hAnsi="Times New Roman"/>
              </w:rPr>
              <w:t>5</w:t>
            </w:r>
          </w:p>
          <w:p>
            <w:pPr>
              <w:adjustRightInd w:val="0"/>
              <w:snapToGrid w:val="0"/>
              <w:jc w:val="center"/>
              <w:textAlignment w:val="baseline"/>
              <w:rPr>
                <w:rFonts w:ascii="Times New Roman" w:hAnsi="Times New Roman"/>
              </w:rPr>
            </w:pPr>
            <w:r>
              <w:rPr>
                <w:rFonts w:ascii="Times New Roman" w:hAnsi="Times New Roman"/>
              </w:rPr>
              <w:t>3</w:t>
            </w:r>
          </w:p>
        </w:tc>
        <w:tc>
          <w:tcPr>
            <w:tcW w:w="1027" w:type="pct"/>
            <w:gridSpan w:val="2"/>
            <w:vAlign w:val="center"/>
          </w:tcPr>
          <w:p>
            <w:pPr>
              <w:adjustRightInd w:val="0"/>
              <w:snapToGrid w:val="0"/>
              <w:jc w:val="center"/>
              <w:textAlignment w:val="baseline"/>
              <w:rPr>
                <w:rFonts w:ascii="Times New Roman" w:hAnsi="Times New Roman"/>
              </w:rPr>
            </w:pPr>
            <w:r>
              <w:rPr>
                <w:rFonts w:ascii="Times New Roman" w:hAnsi="Times New Roman"/>
              </w:rPr>
              <w:t>溶剂量5%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9" w:type="pct"/>
            <w:vMerge w:val="continue"/>
            <w:vAlign w:val="center"/>
          </w:tcPr>
          <w:p>
            <w:pPr>
              <w:adjustRightInd w:val="0"/>
              <w:snapToGrid w:val="0"/>
              <w:jc w:val="center"/>
              <w:textAlignment w:val="baseline"/>
              <w:rPr>
                <w:rFonts w:ascii="Times New Roman" w:hAnsi="Times New Roman"/>
              </w:rPr>
            </w:pPr>
          </w:p>
        </w:tc>
        <w:tc>
          <w:tcPr>
            <w:tcW w:w="1347" w:type="pct"/>
            <w:vMerge w:val="continue"/>
            <w:vAlign w:val="center"/>
          </w:tcPr>
          <w:p>
            <w:pPr>
              <w:adjustRightInd w:val="0"/>
              <w:snapToGrid w:val="0"/>
              <w:jc w:val="center"/>
              <w:textAlignment w:val="baseline"/>
              <w:rPr>
                <w:rFonts w:ascii="Times New Roman" w:hAnsi="Times New Roman"/>
              </w:rPr>
            </w:pPr>
          </w:p>
        </w:tc>
        <w:tc>
          <w:tcPr>
            <w:tcW w:w="672" w:type="pct"/>
            <w:vAlign w:val="center"/>
          </w:tcPr>
          <w:p>
            <w:pPr>
              <w:adjustRightInd w:val="0"/>
              <w:snapToGrid w:val="0"/>
              <w:jc w:val="center"/>
              <w:textAlignment w:val="baseline"/>
              <w:rPr>
                <w:rFonts w:ascii="Times New Roman" w:hAnsi="Times New Roman"/>
              </w:rPr>
            </w:pPr>
            <w:r>
              <w:rPr>
                <w:rFonts w:ascii="Times New Roman" w:hAnsi="Times New Roman"/>
              </w:rPr>
              <w:t>&gt;1000</w:t>
            </w:r>
          </w:p>
        </w:tc>
        <w:tc>
          <w:tcPr>
            <w:tcW w:w="582" w:type="pct"/>
            <w:vAlign w:val="center"/>
          </w:tcPr>
          <w:p>
            <w:pPr>
              <w:adjustRightInd w:val="0"/>
              <w:snapToGrid w:val="0"/>
              <w:jc w:val="center"/>
              <w:textAlignment w:val="baseline"/>
              <w:rPr>
                <w:rFonts w:ascii="Times New Roman" w:hAnsi="Times New Roman"/>
              </w:rPr>
            </w:pPr>
            <w:r>
              <w:rPr>
                <w:rFonts w:ascii="Times New Roman" w:hAnsi="Times New Roman"/>
              </w:rPr>
              <w:t>150</w:t>
            </w:r>
          </w:p>
        </w:tc>
        <w:tc>
          <w:tcPr>
            <w:tcW w:w="1082" w:type="pct"/>
            <w:gridSpan w:val="3"/>
            <w:vMerge w:val="continue"/>
            <w:vAlign w:val="center"/>
          </w:tcPr>
          <w:p>
            <w:pPr>
              <w:adjustRightInd w:val="0"/>
              <w:snapToGrid w:val="0"/>
              <w:jc w:val="center"/>
              <w:textAlignment w:val="baseline"/>
              <w:rPr>
                <w:rFonts w:ascii="Times New Roman" w:hAnsi="Times New Roman"/>
              </w:rPr>
            </w:pPr>
          </w:p>
        </w:tc>
        <w:tc>
          <w:tcPr>
            <w:tcW w:w="1027" w:type="pct"/>
            <w:gridSpan w:val="2"/>
            <w:vAlign w:val="center"/>
          </w:tcPr>
          <w:p>
            <w:pPr>
              <w:adjustRightInd w:val="0"/>
              <w:snapToGrid w:val="0"/>
              <w:jc w:val="center"/>
              <w:textAlignment w:val="baseline"/>
              <w:rPr>
                <w:rFonts w:ascii="Times New Roman" w:hAnsi="Times New Roman"/>
              </w:rPr>
            </w:pPr>
            <w:r>
              <w:rPr>
                <w:rFonts w:ascii="Times New Roman" w:hAnsi="Times New Roman"/>
              </w:rPr>
              <w:t>溶剂量3%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9" w:type="pct"/>
            <w:vAlign w:val="center"/>
          </w:tcPr>
          <w:p>
            <w:pPr>
              <w:adjustRightInd w:val="0"/>
              <w:snapToGrid w:val="0"/>
              <w:jc w:val="center"/>
              <w:textAlignment w:val="baseline"/>
              <w:rPr>
                <w:rFonts w:ascii="Times New Roman" w:hAnsi="Times New Roman"/>
              </w:rPr>
            </w:pPr>
            <w:r>
              <w:rPr>
                <w:rFonts w:ascii="Times New Roman" w:hAnsi="Times New Roman"/>
              </w:rPr>
              <w:t>18</w:t>
            </w:r>
          </w:p>
        </w:tc>
        <w:tc>
          <w:tcPr>
            <w:tcW w:w="1347" w:type="pct"/>
            <w:vAlign w:val="center"/>
          </w:tcPr>
          <w:p>
            <w:pPr>
              <w:adjustRightInd w:val="0"/>
              <w:snapToGrid w:val="0"/>
              <w:jc w:val="center"/>
              <w:textAlignment w:val="baseline"/>
              <w:rPr>
                <w:rFonts w:ascii="Times New Roman" w:hAnsi="Times New Roman"/>
              </w:rPr>
            </w:pPr>
            <w:r>
              <w:rPr>
                <w:rFonts w:ascii="Times New Roman" w:hAnsi="Times New Roman"/>
              </w:rPr>
              <w:t>橡胶转化（&gt;15）</w:t>
            </w:r>
          </w:p>
        </w:tc>
        <w:tc>
          <w:tcPr>
            <w:tcW w:w="672" w:type="pct"/>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c>
          <w:tcPr>
            <w:tcW w:w="582" w:type="pct"/>
            <w:vAlign w:val="center"/>
          </w:tcPr>
          <w:p>
            <w:pPr>
              <w:adjustRightInd w:val="0"/>
              <w:snapToGrid w:val="0"/>
              <w:jc w:val="center"/>
              <w:textAlignment w:val="baseline"/>
              <w:rPr>
                <w:rFonts w:ascii="Times New Roman" w:hAnsi="Times New Roman"/>
              </w:rPr>
            </w:pPr>
            <w:r>
              <w:rPr>
                <w:rFonts w:ascii="Times New Roman" w:hAnsi="Times New Roman"/>
              </w:rPr>
              <w:t>20</w:t>
            </w:r>
          </w:p>
        </w:tc>
        <w:tc>
          <w:tcPr>
            <w:tcW w:w="1082" w:type="pct"/>
            <w:gridSpan w:val="3"/>
            <w:vAlign w:val="center"/>
          </w:tcPr>
          <w:p>
            <w:pPr>
              <w:adjustRightInd w:val="0"/>
              <w:snapToGrid w:val="0"/>
              <w:jc w:val="center"/>
              <w:textAlignment w:val="baseline"/>
              <w:rPr>
                <w:rFonts w:ascii="Times New Roman" w:hAnsi="Times New Roman"/>
              </w:rPr>
            </w:pPr>
            <w:r>
              <w:rPr>
                <w:rFonts w:ascii="Times New Roman" w:hAnsi="Times New Roman"/>
              </w:rPr>
              <w:t>25</w:t>
            </w:r>
          </w:p>
        </w:tc>
        <w:tc>
          <w:tcPr>
            <w:tcW w:w="1027" w:type="pct"/>
            <w:gridSpan w:val="2"/>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9" w:type="pct"/>
            <w:vAlign w:val="center"/>
          </w:tcPr>
          <w:p>
            <w:pPr>
              <w:adjustRightInd w:val="0"/>
              <w:snapToGrid w:val="0"/>
              <w:jc w:val="center"/>
              <w:textAlignment w:val="baseline"/>
              <w:rPr>
                <w:rFonts w:ascii="Times New Roman" w:hAnsi="Times New Roman"/>
              </w:rPr>
            </w:pPr>
            <w:r>
              <w:rPr>
                <w:rFonts w:ascii="Times New Roman" w:hAnsi="Times New Roman"/>
              </w:rPr>
              <w:t>19</w:t>
            </w:r>
          </w:p>
        </w:tc>
        <w:tc>
          <w:tcPr>
            <w:tcW w:w="1347" w:type="pct"/>
            <w:vAlign w:val="center"/>
          </w:tcPr>
          <w:p>
            <w:pPr>
              <w:adjustRightInd w:val="0"/>
              <w:snapToGrid w:val="0"/>
              <w:jc w:val="center"/>
              <w:textAlignment w:val="baseline"/>
              <w:rPr>
                <w:rFonts w:ascii="Times New Roman" w:hAnsi="Times New Roman"/>
              </w:rPr>
            </w:pPr>
            <w:r>
              <w:rPr>
                <w:rFonts w:ascii="Times New Roman" w:hAnsi="Times New Roman"/>
              </w:rPr>
              <w:t>植物油和动物脂肪萃取、植物油精炼（&gt;10）</w:t>
            </w:r>
          </w:p>
        </w:tc>
        <w:tc>
          <w:tcPr>
            <w:tcW w:w="672" w:type="pct"/>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c>
          <w:tcPr>
            <w:tcW w:w="582" w:type="pct"/>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c>
          <w:tcPr>
            <w:tcW w:w="1082" w:type="pct"/>
            <w:gridSpan w:val="3"/>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c>
          <w:tcPr>
            <w:tcW w:w="1027" w:type="pct"/>
            <w:gridSpan w:val="2"/>
            <w:vAlign w:val="center"/>
          </w:tcPr>
          <w:p>
            <w:pPr>
              <w:adjustRightInd w:val="0"/>
              <w:snapToGrid w:val="0"/>
              <w:jc w:val="center"/>
              <w:textAlignment w:val="baseline"/>
              <w:rPr>
                <w:rFonts w:ascii="Times New Roman" w:hAnsi="Times New Roman"/>
              </w:rPr>
            </w:pPr>
            <w:r>
              <w:rPr>
                <w:rFonts w:ascii="Times New Roman" w:hAnsi="Times New Roman"/>
              </w:rPr>
              <w:t>动物脂肪：1.5kg/t</w:t>
            </w:r>
          </w:p>
          <w:p>
            <w:pPr>
              <w:adjustRightInd w:val="0"/>
              <w:snapToGrid w:val="0"/>
              <w:jc w:val="center"/>
              <w:textAlignment w:val="baseline"/>
              <w:rPr>
                <w:rFonts w:ascii="Times New Roman" w:hAnsi="Times New Roman"/>
              </w:rPr>
            </w:pPr>
            <w:r>
              <w:rPr>
                <w:rFonts w:ascii="Times New Roman" w:hAnsi="Times New Roman"/>
              </w:rPr>
              <w:t>海狸香：3kg/t</w:t>
            </w:r>
          </w:p>
          <w:p>
            <w:pPr>
              <w:adjustRightInd w:val="0"/>
              <w:snapToGrid w:val="0"/>
              <w:jc w:val="center"/>
              <w:textAlignment w:val="baseline"/>
              <w:rPr>
                <w:rFonts w:ascii="Times New Roman" w:hAnsi="Times New Roman"/>
              </w:rPr>
            </w:pPr>
            <w:r>
              <w:rPr>
                <w:rFonts w:ascii="Times New Roman" w:hAnsi="Times New Roman"/>
              </w:rPr>
              <w:t>油菜籽：1kg/t</w:t>
            </w:r>
          </w:p>
          <w:p>
            <w:pPr>
              <w:adjustRightInd w:val="0"/>
              <w:snapToGrid w:val="0"/>
              <w:jc w:val="center"/>
              <w:textAlignment w:val="baseline"/>
              <w:rPr>
                <w:rFonts w:ascii="Times New Roman" w:hAnsi="Times New Roman"/>
              </w:rPr>
            </w:pPr>
            <w:r>
              <w:rPr>
                <w:rFonts w:ascii="Times New Roman" w:hAnsi="Times New Roman"/>
              </w:rPr>
              <w:t>向日葵：1kg/t</w:t>
            </w:r>
          </w:p>
          <w:p>
            <w:pPr>
              <w:adjustRightInd w:val="0"/>
              <w:snapToGrid w:val="0"/>
              <w:jc w:val="center"/>
              <w:textAlignment w:val="baseline"/>
              <w:rPr>
                <w:rFonts w:ascii="Times New Roman" w:hAnsi="Times New Roman"/>
              </w:rPr>
            </w:pPr>
            <w:r>
              <w:rPr>
                <w:rFonts w:ascii="Times New Roman" w:hAnsi="Times New Roman"/>
              </w:rPr>
              <w:t>大豆（压榨）：0.8kg/t</w:t>
            </w:r>
          </w:p>
          <w:p>
            <w:pPr>
              <w:adjustRightInd w:val="0"/>
              <w:snapToGrid w:val="0"/>
              <w:jc w:val="center"/>
              <w:textAlignment w:val="baseline"/>
              <w:rPr>
                <w:rFonts w:ascii="Times New Roman" w:hAnsi="Times New Roman"/>
              </w:rPr>
            </w:pPr>
            <w:r>
              <w:rPr>
                <w:rFonts w:ascii="Times New Roman" w:hAnsi="Times New Roman"/>
              </w:rPr>
              <w:t>大豆（白点）：1.2kg/t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9" w:type="pct"/>
            <w:vAlign w:val="center"/>
          </w:tcPr>
          <w:p>
            <w:pPr>
              <w:adjustRightInd w:val="0"/>
              <w:snapToGrid w:val="0"/>
              <w:jc w:val="center"/>
              <w:textAlignment w:val="baseline"/>
              <w:rPr>
                <w:rFonts w:ascii="Times New Roman" w:hAnsi="Times New Roman"/>
              </w:rPr>
            </w:pPr>
            <w:r>
              <w:rPr>
                <w:rFonts w:ascii="Times New Roman" w:hAnsi="Times New Roman"/>
              </w:rPr>
              <w:t>20</w:t>
            </w:r>
          </w:p>
        </w:tc>
        <w:tc>
          <w:tcPr>
            <w:tcW w:w="1347" w:type="pct"/>
            <w:vAlign w:val="center"/>
          </w:tcPr>
          <w:p>
            <w:pPr>
              <w:adjustRightInd w:val="0"/>
              <w:snapToGrid w:val="0"/>
              <w:jc w:val="center"/>
              <w:textAlignment w:val="baseline"/>
              <w:rPr>
                <w:rFonts w:ascii="Times New Roman" w:hAnsi="Times New Roman"/>
              </w:rPr>
            </w:pPr>
            <w:r>
              <w:rPr>
                <w:rFonts w:ascii="Times New Roman" w:hAnsi="Times New Roman"/>
              </w:rPr>
              <w:t>药用产品生产</w:t>
            </w:r>
          </w:p>
        </w:tc>
        <w:tc>
          <w:tcPr>
            <w:tcW w:w="672" w:type="pct"/>
            <w:vAlign w:val="center"/>
          </w:tcPr>
          <w:p>
            <w:pPr>
              <w:adjustRightInd w:val="0"/>
              <w:snapToGrid w:val="0"/>
              <w:jc w:val="center"/>
              <w:textAlignment w:val="baseline"/>
              <w:rPr>
                <w:rFonts w:ascii="Times New Roman" w:hAnsi="Times New Roman"/>
              </w:rPr>
            </w:pPr>
            <w:r>
              <w:rPr>
                <w:rFonts w:hint="eastAsia" w:ascii="Times New Roman" w:hAnsi="Times New Roman"/>
              </w:rPr>
              <w:t>/</w:t>
            </w:r>
          </w:p>
        </w:tc>
        <w:tc>
          <w:tcPr>
            <w:tcW w:w="582" w:type="pct"/>
            <w:vAlign w:val="center"/>
          </w:tcPr>
          <w:p>
            <w:pPr>
              <w:adjustRightInd w:val="0"/>
              <w:snapToGrid w:val="0"/>
              <w:jc w:val="center"/>
              <w:textAlignment w:val="baseline"/>
              <w:rPr>
                <w:rFonts w:ascii="Times New Roman" w:hAnsi="Times New Roman"/>
              </w:rPr>
            </w:pPr>
            <w:r>
              <w:rPr>
                <w:rFonts w:ascii="Times New Roman" w:hAnsi="Times New Roman"/>
              </w:rPr>
              <w:t>20</w:t>
            </w:r>
          </w:p>
        </w:tc>
        <w:tc>
          <w:tcPr>
            <w:tcW w:w="609" w:type="pct"/>
            <w:gridSpan w:val="2"/>
            <w:vAlign w:val="center"/>
          </w:tcPr>
          <w:p>
            <w:pPr>
              <w:adjustRightInd w:val="0"/>
              <w:snapToGrid w:val="0"/>
              <w:jc w:val="center"/>
              <w:textAlignment w:val="baseline"/>
              <w:rPr>
                <w:rFonts w:ascii="Times New Roman" w:hAnsi="Times New Roman"/>
              </w:rPr>
            </w:pPr>
            <w:r>
              <w:rPr>
                <w:rFonts w:ascii="Times New Roman" w:hAnsi="Times New Roman"/>
              </w:rPr>
              <w:t>5</w:t>
            </w:r>
          </w:p>
        </w:tc>
        <w:tc>
          <w:tcPr>
            <w:tcW w:w="473" w:type="pct"/>
            <w:vAlign w:val="center"/>
          </w:tcPr>
          <w:p>
            <w:pPr>
              <w:adjustRightInd w:val="0"/>
              <w:snapToGrid w:val="0"/>
              <w:jc w:val="center"/>
              <w:textAlignment w:val="baseline"/>
              <w:rPr>
                <w:rFonts w:ascii="Times New Roman" w:hAnsi="Times New Roman"/>
              </w:rPr>
            </w:pPr>
            <w:r>
              <w:rPr>
                <w:rFonts w:ascii="Times New Roman" w:hAnsi="Times New Roman"/>
              </w:rPr>
              <w:t>15</w:t>
            </w:r>
          </w:p>
        </w:tc>
        <w:tc>
          <w:tcPr>
            <w:tcW w:w="415" w:type="pct"/>
            <w:vAlign w:val="center"/>
          </w:tcPr>
          <w:p>
            <w:pPr>
              <w:adjustRightInd w:val="0"/>
              <w:snapToGrid w:val="0"/>
              <w:jc w:val="center"/>
              <w:textAlignment w:val="baseline"/>
              <w:rPr>
                <w:rFonts w:ascii="Times New Roman" w:hAnsi="Times New Roman"/>
              </w:rPr>
            </w:pPr>
            <w:r>
              <w:rPr>
                <w:rFonts w:ascii="Times New Roman" w:hAnsi="Times New Roman"/>
              </w:rPr>
              <w:t>溶剂量5%</w:t>
            </w:r>
          </w:p>
        </w:tc>
        <w:tc>
          <w:tcPr>
            <w:tcW w:w="612" w:type="pct"/>
            <w:vAlign w:val="center"/>
          </w:tcPr>
          <w:p>
            <w:pPr>
              <w:adjustRightInd w:val="0"/>
              <w:snapToGrid w:val="0"/>
              <w:jc w:val="center"/>
              <w:textAlignment w:val="baseline"/>
              <w:rPr>
                <w:rFonts w:ascii="Times New Roman" w:hAnsi="Times New Roman"/>
              </w:rPr>
            </w:pPr>
            <w:r>
              <w:rPr>
                <w:rFonts w:ascii="Times New Roman" w:hAnsi="Times New Roman"/>
              </w:rPr>
              <w:t>溶剂量15%</w:t>
            </w:r>
          </w:p>
        </w:tc>
      </w:tr>
    </w:tbl>
    <w:p>
      <w:pPr>
        <w:pStyle w:val="4"/>
        <w:ind w:left="0" w:firstLine="0"/>
      </w:pPr>
      <w:bookmarkStart w:id="136" w:name="_Toc26350780"/>
      <w:r>
        <w:t>日本</w:t>
      </w:r>
      <w:bookmarkEnd w:id="136"/>
    </w:p>
    <w:p>
      <w:pPr>
        <w:pStyle w:val="68"/>
        <w:rPr>
          <w:rFonts w:cs="Times New Roman"/>
        </w:rPr>
      </w:pPr>
      <w:r>
        <w:rPr>
          <w:rFonts w:cs="Times New Roman"/>
        </w:rPr>
        <w:t>日本大</w:t>
      </w:r>
      <w:r>
        <w:rPr>
          <w:rFonts w:cs="Times New Roman"/>
          <w:spacing w:val="2"/>
        </w:rPr>
        <w:t>气</w:t>
      </w:r>
      <w:r>
        <w:rPr>
          <w:rFonts w:cs="Times New Roman"/>
        </w:rPr>
        <w:t>污</w:t>
      </w:r>
      <w:r>
        <w:rPr>
          <w:rFonts w:cs="Times New Roman"/>
          <w:spacing w:val="2"/>
        </w:rPr>
        <w:t>染物</w:t>
      </w:r>
      <w:r>
        <w:rPr>
          <w:rFonts w:cs="Times New Roman"/>
        </w:rPr>
        <w:t>控制的</w:t>
      </w:r>
      <w:r>
        <w:rPr>
          <w:rFonts w:cs="Times New Roman"/>
          <w:spacing w:val="2"/>
        </w:rPr>
        <w:t>核</w:t>
      </w:r>
      <w:r>
        <w:rPr>
          <w:rFonts w:cs="Times New Roman"/>
        </w:rPr>
        <w:t>心</w:t>
      </w:r>
      <w:r>
        <w:rPr>
          <w:rFonts w:cs="Times New Roman"/>
          <w:spacing w:val="2"/>
        </w:rPr>
        <w:t>法</w:t>
      </w:r>
      <w:r>
        <w:rPr>
          <w:rFonts w:cs="Times New Roman"/>
        </w:rPr>
        <w:t>律是</w:t>
      </w:r>
      <w:r>
        <w:rPr>
          <w:rFonts w:cs="Times New Roman"/>
          <w:spacing w:val="2"/>
        </w:rPr>
        <w:t>《大</w:t>
      </w:r>
      <w:r>
        <w:rPr>
          <w:rFonts w:cs="Times New Roman"/>
        </w:rPr>
        <w:t>气污染</w:t>
      </w:r>
      <w:r>
        <w:rPr>
          <w:rFonts w:cs="Times New Roman"/>
          <w:spacing w:val="2"/>
        </w:rPr>
        <w:t>防治法</w:t>
      </w:r>
      <w:r>
        <w:rPr>
          <w:rFonts w:cs="Times New Roman"/>
        </w:rPr>
        <w:t>》，</w:t>
      </w:r>
      <w:r>
        <w:rPr>
          <w:rFonts w:cs="Times New Roman"/>
          <w:spacing w:val="2"/>
        </w:rPr>
        <w:t>该法</w:t>
      </w:r>
      <w:r>
        <w:rPr>
          <w:rFonts w:cs="Times New Roman"/>
        </w:rPr>
        <w:t>将大气污染物分成四类，即烟气</w:t>
      </w:r>
      <w:r>
        <w:rPr>
          <w:rFonts w:cs="Times New Roman"/>
          <w:spacing w:val="2"/>
        </w:rPr>
        <w:t>、</w:t>
      </w:r>
      <w:r>
        <w:rPr>
          <w:rFonts w:cs="Times New Roman"/>
        </w:rPr>
        <w:t>粉尘、特定物质、汽</w:t>
      </w:r>
      <w:r>
        <w:rPr>
          <w:rFonts w:cs="Times New Roman"/>
          <w:spacing w:val="2"/>
        </w:rPr>
        <w:t>车</w:t>
      </w:r>
      <w:r>
        <w:rPr>
          <w:rFonts w:cs="Times New Roman"/>
        </w:rPr>
        <w:t>尾气。日本在</w:t>
      </w:r>
      <w:r>
        <w:rPr>
          <w:rFonts w:cs="Times New Roman"/>
          <w:spacing w:val="5"/>
        </w:rPr>
        <w:t>大</w:t>
      </w:r>
      <w:r>
        <w:rPr>
          <w:rFonts w:cs="Times New Roman"/>
        </w:rPr>
        <w:t>气污</w:t>
      </w:r>
      <w:r>
        <w:rPr>
          <w:rFonts w:cs="Times New Roman"/>
          <w:spacing w:val="2"/>
        </w:rPr>
        <w:t>染</w:t>
      </w:r>
      <w:r>
        <w:rPr>
          <w:rFonts w:cs="Times New Roman"/>
        </w:rPr>
        <w:t>防止</w:t>
      </w:r>
      <w:r>
        <w:rPr>
          <w:rFonts w:cs="Times New Roman"/>
          <w:spacing w:val="2"/>
        </w:rPr>
        <w:t>法</w:t>
      </w:r>
      <w:r>
        <w:rPr>
          <w:rFonts w:cs="Times New Roman"/>
        </w:rPr>
        <w:t>中限制了烟气（二氧化</w:t>
      </w:r>
      <w:r>
        <w:rPr>
          <w:rFonts w:cs="Times New Roman"/>
          <w:spacing w:val="2"/>
        </w:rPr>
        <w:t>硫</w:t>
      </w:r>
      <w:r>
        <w:rPr>
          <w:rFonts w:cs="Times New Roman"/>
        </w:rPr>
        <w:t>、烟尘、有害物质、</w:t>
      </w:r>
      <w:r>
        <w:rPr>
          <w:rFonts w:cs="Times New Roman"/>
          <w:spacing w:val="2"/>
        </w:rPr>
        <w:t>特</w:t>
      </w:r>
      <w:r>
        <w:rPr>
          <w:rFonts w:cs="Times New Roman"/>
        </w:rPr>
        <w:t>定有害物质，包括镉</w:t>
      </w:r>
      <w:r>
        <w:rPr>
          <w:rFonts w:cs="Times New Roman"/>
          <w:spacing w:val="2"/>
        </w:rPr>
        <w:t>及</w:t>
      </w:r>
      <w:r>
        <w:rPr>
          <w:rFonts w:cs="Times New Roman"/>
        </w:rPr>
        <w:t>其镉</w:t>
      </w:r>
      <w:r>
        <w:rPr>
          <w:rFonts w:cs="Times New Roman"/>
          <w:spacing w:val="2"/>
        </w:rPr>
        <w:t>的</w:t>
      </w:r>
      <w:r>
        <w:rPr>
          <w:rFonts w:cs="Times New Roman"/>
        </w:rPr>
        <w:t>化合物、氯化氢、氟、</w:t>
      </w:r>
      <w:r>
        <w:rPr>
          <w:rFonts w:cs="Times New Roman"/>
          <w:spacing w:val="2"/>
        </w:rPr>
        <w:t>氟</w:t>
      </w:r>
      <w:r>
        <w:rPr>
          <w:rFonts w:cs="Times New Roman"/>
        </w:rPr>
        <w:t>化氢、氟化硅、铅及</w:t>
      </w:r>
      <w:r>
        <w:rPr>
          <w:rFonts w:cs="Times New Roman"/>
          <w:spacing w:val="2"/>
        </w:rPr>
        <w:t>其</w:t>
      </w:r>
      <w:r>
        <w:rPr>
          <w:rFonts w:cs="Times New Roman"/>
        </w:rPr>
        <w:t>化合物、氮氧化物）</w:t>
      </w:r>
      <w:r>
        <w:rPr>
          <w:rFonts w:cs="Times New Roman"/>
          <w:spacing w:val="2"/>
        </w:rPr>
        <w:t>；</w:t>
      </w:r>
      <w:r>
        <w:rPr>
          <w:rFonts w:cs="Times New Roman"/>
        </w:rPr>
        <w:t>特定</w:t>
      </w:r>
      <w:r>
        <w:rPr>
          <w:rFonts w:cs="Times New Roman"/>
          <w:spacing w:val="2"/>
        </w:rPr>
        <w:t>物</w:t>
      </w:r>
      <w:r>
        <w:rPr>
          <w:rFonts w:cs="Times New Roman"/>
        </w:rPr>
        <w:t>质</w:t>
      </w:r>
      <w:r>
        <w:rPr>
          <w:rFonts w:cs="Times New Roman"/>
          <w:spacing w:val="12"/>
        </w:rPr>
        <w:t>（氨、氟化氢、氰化氢、一氧化碳、甲醛、甲醇、硫化氢、二氧化氮、丙烯</w:t>
      </w:r>
      <w:r>
        <w:rPr>
          <w:rFonts w:cs="Times New Roman"/>
        </w:rPr>
        <w:t>醛、二氧化硫、氯、</w:t>
      </w:r>
      <w:r>
        <w:rPr>
          <w:rFonts w:cs="Times New Roman"/>
          <w:spacing w:val="2"/>
        </w:rPr>
        <w:t>二</w:t>
      </w:r>
      <w:r>
        <w:rPr>
          <w:rFonts w:cs="Times New Roman"/>
        </w:rPr>
        <w:t>硫化碳、苯、吡啶、</w:t>
      </w:r>
      <w:r>
        <w:rPr>
          <w:rFonts w:cs="Times New Roman"/>
          <w:spacing w:val="2"/>
        </w:rPr>
        <w:t>苯</w:t>
      </w:r>
      <w:r>
        <w:rPr>
          <w:rFonts w:cs="Times New Roman"/>
        </w:rPr>
        <w:t>酚、硫酸、磷化氢、</w:t>
      </w:r>
      <w:r>
        <w:rPr>
          <w:rFonts w:cs="Times New Roman"/>
          <w:spacing w:val="2"/>
        </w:rPr>
        <w:t>氯</w:t>
      </w:r>
      <w:r>
        <w:rPr>
          <w:rFonts w:cs="Times New Roman"/>
        </w:rPr>
        <w:t>化氢</w:t>
      </w:r>
      <w:r>
        <w:rPr>
          <w:rFonts w:cs="Times New Roman"/>
          <w:spacing w:val="2"/>
        </w:rPr>
        <w:t>、</w:t>
      </w:r>
      <w:r>
        <w:rPr>
          <w:rFonts w:cs="Times New Roman"/>
        </w:rPr>
        <w:t>氟化硅、二氧化硒、黄</w:t>
      </w:r>
      <w:r>
        <w:rPr>
          <w:rFonts w:cs="Times New Roman"/>
          <w:spacing w:val="2"/>
        </w:rPr>
        <w:t>磷</w:t>
      </w:r>
      <w:r>
        <w:rPr>
          <w:rFonts w:cs="Times New Roman"/>
        </w:rPr>
        <w:t>、三氯化磷、溴、羰</w:t>
      </w:r>
      <w:r>
        <w:rPr>
          <w:rFonts w:cs="Times New Roman"/>
          <w:spacing w:val="2"/>
        </w:rPr>
        <w:t>基</w:t>
      </w:r>
      <w:r>
        <w:rPr>
          <w:rFonts w:cs="Times New Roman"/>
        </w:rPr>
        <w:t>镍、五氯化磷、硫醇</w:t>
      </w:r>
      <w:r>
        <w:rPr>
          <w:rFonts w:cs="Times New Roman"/>
          <w:spacing w:val="2"/>
        </w:rPr>
        <w:t>、</w:t>
      </w:r>
      <w:r>
        <w:rPr>
          <w:rFonts w:cs="Times New Roman"/>
        </w:rPr>
        <w:t>光气</w:t>
      </w:r>
      <w:r>
        <w:rPr>
          <w:rFonts w:cs="Times New Roman"/>
          <w:spacing w:val="2"/>
        </w:rPr>
        <w:t>和</w:t>
      </w:r>
      <w:r>
        <w:rPr>
          <w:rFonts w:cs="Times New Roman"/>
        </w:rPr>
        <w:t>氯磺酸）。</w:t>
      </w:r>
    </w:p>
    <w:p>
      <w:pPr>
        <w:pStyle w:val="68"/>
        <w:rPr>
          <w:rFonts w:cs="Times New Roman"/>
        </w:rPr>
      </w:pPr>
      <w:r>
        <w:rPr>
          <w:rFonts w:cs="Times New Roman"/>
        </w:rPr>
        <w:t>日本给出了</w:t>
      </w:r>
      <w:r>
        <w:rPr>
          <w:rFonts w:cs="Times New Roman"/>
          <w:spacing w:val="-48"/>
        </w:rPr>
        <w:t xml:space="preserve"> </w:t>
      </w:r>
      <w:r>
        <w:rPr>
          <w:rFonts w:cs="Times New Roman"/>
        </w:rPr>
        <w:t>248</w:t>
      </w:r>
      <w:r>
        <w:rPr>
          <w:rFonts w:cs="Times New Roman"/>
          <w:spacing w:val="-45"/>
        </w:rPr>
        <w:t xml:space="preserve"> </w:t>
      </w:r>
      <w:r>
        <w:rPr>
          <w:rFonts w:cs="Times New Roman"/>
        </w:rPr>
        <w:t>种有害大气污染物的名录，其中确定了丙烯腈、乙醛、甲苯、三氯乙烯、氯乙</w:t>
      </w:r>
      <w:r>
        <w:rPr>
          <w:rFonts w:cs="Times New Roman"/>
          <w:spacing w:val="2"/>
        </w:rPr>
        <w:t>烯</w:t>
      </w:r>
      <w:r>
        <w:rPr>
          <w:rFonts w:cs="Times New Roman"/>
        </w:rPr>
        <w:t>、氯甲烷、铬及</w:t>
      </w:r>
      <w:r>
        <w:rPr>
          <w:rFonts w:cs="Times New Roman"/>
          <w:spacing w:val="2"/>
        </w:rPr>
        <w:t>其</w:t>
      </w:r>
      <w:r>
        <w:rPr>
          <w:rFonts w:cs="Times New Roman"/>
        </w:rPr>
        <w:t>化合物、镍及其化合</w:t>
      </w:r>
      <w:r>
        <w:rPr>
          <w:rFonts w:cs="Times New Roman"/>
          <w:spacing w:val="2"/>
        </w:rPr>
        <w:t>物</w:t>
      </w:r>
      <w:r>
        <w:rPr>
          <w:rFonts w:cs="Times New Roman"/>
        </w:rPr>
        <w:t>、砷</w:t>
      </w:r>
      <w:r>
        <w:rPr>
          <w:rFonts w:cs="Times New Roman"/>
          <w:spacing w:val="2"/>
        </w:rPr>
        <w:t>及</w:t>
      </w:r>
      <w:r>
        <w:rPr>
          <w:rFonts w:cs="Times New Roman"/>
        </w:rPr>
        <w:t>其化合物、三氯</w:t>
      </w:r>
      <w:r>
        <w:rPr>
          <w:rFonts w:cs="Times New Roman"/>
          <w:spacing w:val="2"/>
        </w:rPr>
        <w:t>甲</w:t>
      </w:r>
      <w:r>
        <w:rPr>
          <w:rFonts w:cs="Times New Roman"/>
        </w:rPr>
        <w:t>烷、</w:t>
      </w:r>
      <w:r>
        <w:rPr>
          <w:rFonts w:cs="Times New Roman"/>
          <w:spacing w:val="2"/>
        </w:rPr>
        <w:t>环</w:t>
      </w:r>
      <w:r>
        <w:rPr>
          <w:rFonts w:cs="Times New Roman"/>
        </w:rPr>
        <w:t>氧乙烷</w:t>
      </w:r>
      <w:r>
        <w:rPr>
          <w:rFonts w:cs="Times New Roman"/>
          <w:spacing w:val="7"/>
        </w:rPr>
        <w:t>、</w:t>
      </w:r>
      <w:r>
        <w:rPr>
          <w:rFonts w:cs="Times New Roman"/>
        </w:rPr>
        <w:t>1，2</w:t>
      </w:r>
      <w:r>
        <w:rPr>
          <w:rFonts w:cs="Times New Roman"/>
          <w:spacing w:val="2"/>
        </w:rPr>
        <w:t>-</w:t>
      </w:r>
      <w:r>
        <w:rPr>
          <w:rFonts w:cs="Times New Roman"/>
        </w:rPr>
        <w:t>二氯</w:t>
      </w:r>
      <w:r>
        <w:rPr>
          <w:rFonts w:cs="Times New Roman"/>
          <w:spacing w:val="2"/>
        </w:rPr>
        <w:t>乙</w:t>
      </w:r>
      <w:r>
        <w:rPr>
          <w:rFonts w:cs="Times New Roman"/>
        </w:rPr>
        <w:t>烷、二氯甲烷、1，3</w:t>
      </w:r>
      <w:r>
        <w:rPr>
          <w:rFonts w:cs="Times New Roman"/>
          <w:spacing w:val="2"/>
        </w:rPr>
        <w:t>-</w:t>
      </w:r>
      <w:r>
        <w:rPr>
          <w:rFonts w:cs="Times New Roman"/>
        </w:rPr>
        <w:t>丁二烯、铍及其化</w:t>
      </w:r>
      <w:r>
        <w:rPr>
          <w:rFonts w:cs="Times New Roman"/>
          <w:spacing w:val="2"/>
        </w:rPr>
        <w:t>合</w:t>
      </w:r>
      <w:r>
        <w:rPr>
          <w:rFonts w:cs="Times New Roman"/>
        </w:rPr>
        <w:t>物、</w:t>
      </w:r>
      <w:r>
        <w:rPr>
          <w:rFonts w:cs="Times New Roman"/>
          <w:spacing w:val="2"/>
        </w:rPr>
        <w:t>苯</w:t>
      </w:r>
      <w:r>
        <w:rPr>
          <w:rFonts w:cs="Times New Roman"/>
        </w:rPr>
        <w:t>、苯</w:t>
      </w:r>
      <w:r>
        <w:rPr>
          <w:rFonts w:cs="Times New Roman"/>
          <w:spacing w:val="3"/>
        </w:rPr>
        <w:t>并</w:t>
      </w:r>
      <w:r>
        <w:rPr>
          <w:rFonts w:cs="Times New Roman"/>
        </w:rPr>
        <w:t>[a]芘、</w:t>
      </w:r>
      <w:r>
        <w:rPr>
          <w:rFonts w:cs="Times New Roman"/>
          <w:spacing w:val="2"/>
        </w:rPr>
        <w:t>汞</w:t>
      </w:r>
      <w:r>
        <w:rPr>
          <w:rFonts w:cs="Times New Roman"/>
        </w:rPr>
        <w:t>及其</w:t>
      </w:r>
      <w:r>
        <w:rPr>
          <w:rFonts w:cs="Times New Roman"/>
          <w:spacing w:val="2"/>
        </w:rPr>
        <w:t>化</w:t>
      </w:r>
      <w:r>
        <w:rPr>
          <w:rFonts w:cs="Times New Roman"/>
        </w:rPr>
        <w:t>合</w:t>
      </w:r>
      <w:r>
        <w:rPr>
          <w:rFonts w:cs="Times New Roman"/>
          <w:spacing w:val="2"/>
        </w:rPr>
        <w:t>物</w:t>
      </w:r>
      <w:r>
        <w:rPr>
          <w:rFonts w:cs="Times New Roman"/>
        </w:rPr>
        <w:t>、二恶</w:t>
      </w:r>
      <w:r>
        <w:rPr>
          <w:rFonts w:cs="Times New Roman"/>
          <w:spacing w:val="2"/>
        </w:rPr>
        <w:t>英</w:t>
      </w:r>
      <w:r>
        <w:rPr>
          <w:rFonts w:cs="Times New Roman"/>
        </w:rPr>
        <w:t>类、</w:t>
      </w:r>
      <w:r>
        <w:rPr>
          <w:rFonts w:cs="Times New Roman"/>
          <w:spacing w:val="2"/>
        </w:rPr>
        <w:t>四</w:t>
      </w:r>
      <w:r>
        <w:rPr>
          <w:rFonts w:cs="Times New Roman"/>
        </w:rPr>
        <w:t>氯乙</w:t>
      </w:r>
      <w:r>
        <w:rPr>
          <w:rFonts w:cs="Times New Roman"/>
          <w:spacing w:val="2"/>
        </w:rPr>
        <w:t>烯</w:t>
      </w:r>
      <w:r>
        <w:rPr>
          <w:rFonts w:cs="Times New Roman"/>
        </w:rPr>
        <w:t>、甲醛、锰及其化合物等</w:t>
      </w:r>
      <w:r>
        <w:rPr>
          <w:rFonts w:cs="Times New Roman"/>
          <w:spacing w:val="-61"/>
        </w:rPr>
        <w:t xml:space="preserve"> </w:t>
      </w:r>
      <w:r>
        <w:rPr>
          <w:rFonts w:cs="Times New Roman"/>
        </w:rPr>
        <w:t>22</w:t>
      </w:r>
      <w:r>
        <w:rPr>
          <w:rFonts w:cs="Times New Roman"/>
          <w:spacing w:val="-60"/>
        </w:rPr>
        <w:t xml:space="preserve"> </w:t>
      </w:r>
      <w:r>
        <w:rPr>
          <w:rFonts w:cs="Times New Roman"/>
        </w:rPr>
        <w:t>种优先控制的污染物。</w:t>
      </w:r>
    </w:p>
    <w:p>
      <w:pPr>
        <w:pStyle w:val="68"/>
        <w:rPr>
          <w:rFonts w:cs="Times New Roman"/>
        </w:rPr>
      </w:pPr>
      <w:r>
        <w:rPr>
          <w:rFonts w:cs="Times New Roman"/>
        </w:rPr>
        <w:t>日本大气污染物</w:t>
      </w:r>
      <w:r>
        <w:rPr>
          <w:rFonts w:hint="eastAsia" w:cs="Times New Roman"/>
        </w:rPr>
        <w:t>排放控制</w:t>
      </w:r>
      <w:r>
        <w:rPr>
          <w:rFonts w:cs="Times New Roman"/>
        </w:rPr>
        <w:t>提出了</w:t>
      </w:r>
      <w:r>
        <w:rPr>
          <w:rFonts w:hint="eastAsia" w:cs="Times New Roman"/>
        </w:rPr>
        <w:t>5</w:t>
      </w:r>
      <w:r>
        <w:rPr>
          <w:rFonts w:cs="Times New Roman"/>
        </w:rPr>
        <w:t>种方式：排放标准、总量控制标准、一定界限范围的大气的容许浓度、规定设施的构造/使用和管理的标准、事故措施的规定。日本的大气污染排放标准体系包括一般排放标准、特别排放标准、追加排放标准、总量控制标准、设备结构/使用和管理标准、大气中允许浓度标准（粉尘）、事故排放限制。其特点如</w:t>
      </w:r>
      <w:r>
        <w:rPr>
          <w:rFonts w:cs="Times New Roman"/>
        </w:rPr>
        <w:fldChar w:fldCharType="begin"/>
      </w:r>
      <w:r>
        <w:rPr>
          <w:rFonts w:cs="Times New Roman"/>
        </w:rPr>
        <w:instrText xml:space="preserve"> REF _Ref26348517 \h  \* MERGEFORMAT </w:instrText>
      </w:r>
      <w:r>
        <w:rPr>
          <w:rFonts w:cs="Times New Roman"/>
        </w:rPr>
        <w:fldChar w:fldCharType="separate"/>
      </w:r>
      <w:r>
        <w:rPr>
          <w:rFonts w:cs="Times New Roman"/>
        </w:rPr>
        <w:t>表 5</w:t>
      </w:r>
      <w:r>
        <w:rPr>
          <w:rFonts w:cs="Times New Roman"/>
        </w:rPr>
        <w:noBreakHyphen/>
      </w:r>
      <w:r>
        <w:rPr>
          <w:rFonts w:cs="Times New Roman"/>
        </w:rPr>
        <w:fldChar w:fldCharType="end"/>
      </w:r>
      <w:r>
        <w:rPr>
          <w:rFonts w:cs="Times New Roman"/>
        </w:rPr>
        <w:t>14所示。</w:t>
      </w:r>
    </w:p>
    <w:p>
      <w:pPr>
        <w:pStyle w:val="13"/>
        <w:spacing w:before="156" w:beforeLines="50" w:after="156" w:afterLines="50"/>
      </w:pPr>
      <w:bookmarkStart w:id="137" w:name="_Ref26348517"/>
      <w:r>
        <w:t xml:space="preserve">表 </w:t>
      </w:r>
      <w:r>
        <w:fldChar w:fldCharType="begin"/>
      </w:r>
      <w:r>
        <w:instrText xml:space="preserve"> STYLEREF 1 \s </w:instrText>
      </w:r>
      <w:r>
        <w:fldChar w:fldCharType="separate"/>
      </w:r>
      <w:r>
        <w:t>5</w:t>
      </w:r>
      <w:r>
        <w:fldChar w:fldCharType="end"/>
      </w:r>
      <w:r>
        <w:noBreakHyphen/>
      </w:r>
      <w:bookmarkEnd w:id="137"/>
      <w:r>
        <w:t>14日本固定源大气污染物排放标准类型及特点</w:t>
      </w:r>
    </w:p>
    <w:tbl>
      <w:tblPr>
        <w:tblStyle w:val="10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040"/>
        <w:gridCol w:w="1892"/>
        <w:gridCol w:w="1391"/>
        <w:gridCol w:w="1522"/>
        <w:gridCol w:w="1248"/>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12" w:type="pct"/>
            <w:vAlign w:val="center"/>
          </w:tcPr>
          <w:p>
            <w:pPr>
              <w:snapToGrid w:val="0"/>
              <w:jc w:val="center"/>
              <w:rPr>
                <w:rFonts w:ascii="Times New Roman" w:hAnsi="Times New Roman"/>
                <w:b/>
                <w:kern w:val="0"/>
                <w:sz w:val="20"/>
                <w:szCs w:val="20"/>
              </w:rPr>
            </w:pPr>
            <w:r>
              <w:rPr>
                <w:rFonts w:ascii="Times New Roman" w:hAnsi="Times New Roman"/>
                <w:b/>
                <w:kern w:val="0"/>
                <w:sz w:val="20"/>
                <w:szCs w:val="20"/>
              </w:rPr>
              <w:t>序号</w:t>
            </w:r>
          </w:p>
        </w:tc>
        <w:tc>
          <w:tcPr>
            <w:tcW w:w="610" w:type="pct"/>
            <w:vAlign w:val="center"/>
          </w:tcPr>
          <w:p>
            <w:pPr>
              <w:snapToGrid w:val="0"/>
              <w:jc w:val="center"/>
              <w:rPr>
                <w:rFonts w:ascii="Times New Roman" w:hAnsi="Times New Roman"/>
                <w:b/>
                <w:kern w:val="0"/>
                <w:sz w:val="20"/>
                <w:szCs w:val="20"/>
              </w:rPr>
            </w:pPr>
            <w:r>
              <w:rPr>
                <w:rFonts w:ascii="Times New Roman" w:hAnsi="Times New Roman"/>
                <w:b/>
                <w:kern w:val="0"/>
                <w:sz w:val="20"/>
                <w:szCs w:val="20"/>
              </w:rPr>
              <w:t>类型</w:t>
            </w:r>
          </w:p>
        </w:tc>
        <w:tc>
          <w:tcPr>
            <w:tcW w:w="1110" w:type="pct"/>
            <w:vAlign w:val="center"/>
          </w:tcPr>
          <w:p>
            <w:pPr>
              <w:snapToGrid w:val="0"/>
              <w:jc w:val="center"/>
              <w:rPr>
                <w:rFonts w:ascii="Times New Roman" w:hAnsi="Times New Roman"/>
                <w:b/>
                <w:kern w:val="0"/>
                <w:sz w:val="20"/>
                <w:szCs w:val="20"/>
              </w:rPr>
            </w:pPr>
            <w:r>
              <w:rPr>
                <w:rFonts w:ascii="Times New Roman" w:hAnsi="Times New Roman"/>
                <w:b/>
                <w:kern w:val="0"/>
                <w:sz w:val="20"/>
                <w:szCs w:val="20"/>
              </w:rPr>
              <w:t>限制</w:t>
            </w:r>
            <w:r>
              <w:rPr>
                <w:rFonts w:ascii="Times New Roman" w:hAnsi="Times New Roman"/>
                <w:b/>
                <w:spacing w:val="-3"/>
                <w:kern w:val="0"/>
                <w:sz w:val="20"/>
                <w:szCs w:val="20"/>
              </w:rPr>
              <w:t>对</w:t>
            </w:r>
            <w:r>
              <w:rPr>
                <w:rFonts w:ascii="Times New Roman" w:hAnsi="Times New Roman"/>
                <w:b/>
                <w:kern w:val="0"/>
                <w:sz w:val="20"/>
                <w:szCs w:val="20"/>
              </w:rPr>
              <w:t>象</w:t>
            </w:r>
          </w:p>
        </w:tc>
        <w:tc>
          <w:tcPr>
            <w:tcW w:w="816" w:type="pct"/>
            <w:vAlign w:val="center"/>
          </w:tcPr>
          <w:p>
            <w:pPr>
              <w:snapToGrid w:val="0"/>
              <w:jc w:val="center"/>
              <w:rPr>
                <w:rFonts w:ascii="Times New Roman" w:hAnsi="Times New Roman"/>
                <w:b/>
                <w:kern w:val="0"/>
                <w:sz w:val="20"/>
                <w:szCs w:val="20"/>
              </w:rPr>
            </w:pPr>
            <w:r>
              <w:rPr>
                <w:rFonts w:ascii="Times New Roman" w:hAnsi="Times New Roman"/>
                <w:b/>
                <w:kern w:val="0"/>
                <w:sz w:val="20"/>
                <w:szCs w:val="20"/>
              </w:rPr>
              <w:t>限制</w:t>
            </w:r>
            <w:r>
              <w:rPr>
                <w:rFonts w:ascii="Times New Roman" w:hAnsi="Times New Roman"/>
                <w:b/>
                <w:spacing w:val="-3"/>
                <w:kern w:val="0"/>
                <w:sz w:val="20"/>
                <w:szCs w:val="20"/>
              </w:rPr>
              <w:t>设</w:t>
            </w:r>
            <w:r>
              <w:rPr>
                <w:rFonts w:ascii="Times New Roman" w:hAnsi="Times New Roman"/>
                <w:b/>
                <w:kern w:val="0"/>
                <w:sz w:val="20"/>
                <w:szCs w:val="20"/>
              </w:rPr>
              <w:t>施</w:t>
            </w:r>
          </w:p>
        </w:tc>
        <w:tc>
          <w:tcPr>
            <w:tcW w:w="893" w:type="pct"/>
            <w:vAlign w:val="center"/>
          </w:tcPr>
          <w:p>
            <w:pPr>
              <w:snapToGrid w:val="0"/>
              <w:jc w:val="center"/>
              <w:rPr>
                <w:rFonts w:ascii="Times New Roman" w:hAnsi="Times New Roman"/>
                <w:b/>
                <w:kern w:val="0"/>
                <w:sz w:val="20"/>
                <w:szCs w:val="20"/>
              </w:rPr>
            </w:pPr>
            <w:r>
              <w:rPr>
                <w:rFonts w:ascii="Times New Roman" w:hAnsi="Times New Roman"/>
                <w:b/>
                <w:kern w:val="0"/>
                <w:sz w:val="20"/>
                <w:szCs w:val="20"/>
              </w:rPr>
              <w:t>限制</w:t>
            </w:r>
            <w:r>
              <w:rPr>
                <w:rFonts w:ascii="Times New Roman" w:hAnsi="Times New Roman"/>
                <w:b/>
                <w:spacing w:val="-3"/>
                <w:kern w:val="0"/>
                <w:sz w:val="20"/>
                <w:szCs w:val="20"/>
              </w:rPr>
              <w:t>地</w:t>
            </w:r>
            <w:r>
              <w:rPr>
                <w:rFonts w:ascii="Times New Roman" w:hAnsi="Times New Roman"/>
                <w:b/>
                <w:kern w:val="0"/>
                <w:sz w:val="20"/>
                <w:szCs w:val="20"/>
              </w:rPr>
              <w:t>区</w:t>
            </w:r>
          </w:p>
        </w:tc>
        <w:tc>
          <w:tcPr>
            <w:tcW w:w="732" w:type="pct"/>
            <w:vAlign w:val="center"/>
          </w:tcPr>
          <w:p>
            <w:pPr>
              <w:snapToGrid w:val="0"/>
              <w:jc w:val="center"/>
              <w:rPr>
                <w:rFonts w:ascii="Times New Roman" w:hAnsi="Times New Roman"/>
                <w:b/>
                <w:kern w:val="0"/>
                <w:sz w:val="20"/>
                <w:szCs w:val="20"/>
              </w:rPr>
            </w:pPr>
            <w:r>
              <w:rPr>
                <w:rFonts w:ascii="Times New Roman" w:hAnsi="Times New Roman"/>
                <w:b/>
                <w:kern w:val="0"/>
                <w:sz w:val="20"/>
                <w:szCs w:val="20"/>
              </w:rPr>
              <w:t>限制</w:t>
            </w:r>
            <w:r>
              <w:rPr>
                <w:rFonts w:ascii="Times New Roman" w:hAnsi="Times New Roman"/>
                <w:b/>
                <w:spacing w:val="-3"/>
                <w:kern w:val="0"/>
                <w:sz w:val="20"/>
                <w:szCs w:val="20"/>
              </w:rPr>
              <w:t>方</w:t>
            </w:r>
            <w:r>
              <w:rPr>
                <w:rFonts w:ascii="Times New Roman" w:hAnsi="Times New Roman"/>
                <w:b/>
                <w:kern w:val="0"/>
                <w:sz w:val="20"/>
                <w:szCs w:val="20"/>
              </w:rPr>
              <w:t>式</w:t>
            </w:r>
          </w:p>
        </w:tc>
        <w:tc>
          <w:tcPr>
            <w:tcW w:w="426" w:type="pct"/>
            <w:vAlign w:val="center"/>
          </w:tcPr>
          <w:p>
            <w:pPr>
              <w:snapToGrid w:val="0"/>
              <w:jc w:val="center"/>
              <w:rPr>
                <w:rFonts w:ascii="Times New Roman" w:hAnsi="Times New Roman"/>
                <w:b/>
                <w:kern w:val="0"/>
                <w:sz w:val="20"/>
                <w:szCs w:val="20"/>
              </w:rPr>
            </w:pPr>
            <w:r>
              <w:rPr>
                <w:rFonts w:ascii="Times New Roman" w:hAnsi="Times New Roman"/>
                <w:b/>
                <w:kern w:val="0"/>
                <w:sz w:val="20"/>
                <w:szCs w:val="20"/>
              </w:rPr>
              <w:t>制定者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2" w:type="pct"/>
            <w:vAlign w:val="center"/>
          </w:tcPr>
          <w:p>
            <w:pPr>
              <w:snapToGrid w:val="0"/>
              <w:jc w:val="center"/>
              <w:rPr>
                <w:rFonts w:ascii="Times New Roman" w:hAnsi="Times New Roman"/>
                <w:kern w:val="0"/>
                <w:sz w:val="20"/>
                <w:szCs w:val="20"/>
              </w:rPr>
            </w:pPr>
            <w:r>
              <w:rPr>
                <w:rFonts w:ascii="Times New Roman" w:hAnsi="Times New Roman"/>
                <w:kern w:val="0"/>
                <w:sz w:val="20"/>
                <w:szCs w:val="20"/>
              </w:rPr>
              <w:t>1</w:t>
            </w:r>
          </w:p>
        </w:tc>
        <w:tc>
          <w:tcPr>
            <w:tcW w:w="610" w:type="pct"/>
            <w:vAlign w:val="center"/>
          </w:tcPr>
          <w:p>
            <w:pPr>
              <w:snapToGrid w:val="0"/>
              <w:rPr>
                <w:rFonts w:ascii="Times New Roman" w:hAnsi="Times New Roman"/>
                <w:kern w:val="0"/>
                <w:sz w:val="20"/>
                <w:szCs w:val="20"/>
              </w:rPr>
            </w:pPr>
            <w:r>
              <w:rPr>
                <w:rFonts w:ascii="Times New Roman" w:hAnsi="Times New Roman"/>
                <w:kern w:val="0"/>
                <w:sz w:val="20"/>
                <w:szCs w:val="20"/>
              </w:rPr>
              <w:t>一般</w:t>
            </w:r>
            <w:r>
              <w:rPr>
                <w:rFonts w:ascii="Times New Roman" w:hAnsi="Times New Roman"/>
                <w:spacing w:val="-3"/>
                <w:kern w:val="0"/>
                <w:sz w:val="20"/>
                <w:szCs w:val="20"/>
              </w:rPr>
              <w:t>排</w:t>
            </w:r>
            <w:r>
              <w:rPr>
                <w:rFonts w:ascii="Times New Roman" w:hAnsi="Times New Roman"/>
                <w:kern w:val="0"/>
                <w:sz w:val="20"/>
                <w:szCs w:val="20"/>
              </w:rPr>
              <w:t>放标准</w:t>
            </w:r>
          </w:p>
        </w:tc>
        <w:tc>
          <w:tcPr>
            <w:tcW w:w="1110" w:type="pct"/>
            <w:vAlign w:val="center"/>
          </w:tcPr>
          <w:p>
            <w:pPr>
              <w:snapToGrid w:val="0"/>
              <w:jc w:val="center"/>
              <w:rPr>
                <w:rFonts w:ascii="Times New Roman" w:hAnsi="Times New Roman"/>
                <w:kern w:val="0"/>
                <w:sz w:val="20"/>
                <w:szCs w:val="20"/>
              </w:rPr>
            </w:pPr>
            <w:r>
              <w:rPr>
                <w:rFonts w:ascii="Times New Roman" w:hAnsi="Times New Roman"/>
                <w:kern w:val="0"/>
                <w:sz w:val="20"/>
                <w:szCs w:val="20"/>
              </w:rPr>
              <w:t>所有</w:t>
            </w:r>
            <w:r>
              <w:rPr>
                <w:rFonts w:ascii="Times New Roman" w:hAnsi="Times New Roman"/>
                <w:spacing w:val="-3"/>
                <w:kern w:val="0"/>
                <w:sz w:val="20"/>
                <w:szCs w:val="20"/>
              </w:rPr>
              <w:t>烟</w:t>
            </w:r>
            <w:r>
              <w:rPr>
                <w:rFonts w:ascii="Times New Roman" w:hAnsi="Times New Roman"/>
                <w:kern w:val="0"/>
                <w:sz w:val="20"/>
                <w:szCs w:val="20"/>
              </w:rPr>
              <w:t>气</w:t>
            </w:r>
          </w:p>
        </w:tc>
        <w:tc>
          <w:tcPr>
            <w:tcW w:w="816" w:type="pct"/>
            <w:vAlign w:val="center"/>
          </w:tcPr>
          <w:p>
            <w:pPr>
              <w:snapToGrid w:val="0"/>
              <w:jc w:val="center"/>
              <w:rPr>
                <w:rFonts w:ascii="Times New Roman" w:hAnsi="Times New Roman"/>
                <w:kern w:val="0"/>
                <w:sz w:val="20"/>
                <w:szCs w:val="20"/>
              </w:rPr>
            </w:pPr>
            <w:r>
              <w:rPr>
                <w:rFonts w:ascii="Times New Roman" w:hAnsi="Times New Roman"/>
                <w:kern w:val="0"/>
                <w:sz w:val="20"/>
                <w:szCs w:val="20"/>
              </w:rPr>
              <w:t>所有</w:t>
            </w:r>
            <w:r>
              <w:rPr>
                <w:rFonts w:ascii="Times New Roman" w:hAnsi="Times New Roman"/>
                <w:spacing w:val="-3"/>
                <w:kern w:val="0"/>
                <w:sz w:val="20"/>
                <w:szCs w:val="20"/>
              </w:rPr>
              <w:t>设</w:t>
            </w:r>
            <w:r>
              <w:rPr>
                <w:rFonts w:ascii="Times New Roman" w:hAnsi="Times New Roman"/>
                <w:kern w:val="0"/>
                <w:sz w:val="20"/>
                <w:szCs w:val="20"/>
              </w:rPr>
              <w:t>施</w:t>
            </w:r>
          </w:p>
        </w:tc>
        <w:tc>
          <w:tcPr>
            <w:tcW w:w="893" w:type="pct"/>
            <w:vAlign w:val="center"/>
          </w:tcPr>
          <w:p>
            <w:pPr>
              <w:snapToGrid w:val="0"/>
              <w:rPr>
                <w:rFonts w:ascii="Times New Roman" w:hAnsi="Times New Roman"/>
                <w:kern w:val="0"/>
                <w:sz w:val="20"/>
                <w:szCs w:val="20"/>
              </w:rPr>
            </w:pPr>
            <w:r>
              <w:rPr>
                <w:rFonts w:ascii="Times New Roman" w:hAnsi="Times New Roman"/>
                <w:kern w:val="0"/>
                <w:sz w:val="20"/>
                <w:szCs w:val="20"/>
              </w:rPr>
              <w:t>所有</w:t>
            </w:r>
            <w:r>
              <w:rPr>
                <w:rFonts w:ascii="Times New Roman" w:hAnsi="Times New Roman"/>
                <w:spacing w:val="-3"/>
                <w:kern w:val="0"/>
                <w:sz w:val="20"/>
                <w:szCs w:val="20"/>
              </w:rPr>
              <w:t>地</w:t>
            </w:r>
            <w:r>
              <w:rPr>
                <w:rFonts w:ascii="Times New Roman" w:hAnsi="Times New Roman"/>
                <w:kern w:val="0"/>
                <w:sz w:val="20"/>
                <w:szCs w:val="20"/>
              </w:rPr>
              <w:t>区</w:t>
            </w:r>
          </w:p>
        </w:tc>
        <w:tc>
          <w:tcPr>
            <w:tcW w:w="732" w:type="pct"/>
            <w:vAlign w:val="center"/>
          </w:tcPr>
          <w:p>
            <w:pPr>
              <w:snapToGrid w:val="0"/>
              <w:rPr>
                <w:rFonts w:ascii="Times New Roman" w:hAnsi="Times New Roman"/>
                <w:kern w:val="0"/>
                <w:sz w:val="20"/>
                <w:szCs w:val="20"/>
              </w:rPr>
            </w:pPr>
            <w:r>
              <w:rPr>
                <w:rFonts w:ascii="Times New Roman" w:hAnsi="Times New Roman"/>
                <w:kern w:val="0"/>
                <w:sz w:val="20"/>
                <w:szCs w:val="20"/>
              </w:rPr>
              <w:t>量、</w:t>
            </w:r>
            <w:r>
              <w:rPr>
                <w:rFonts w:ascii="Times New Roman" w:hAnsi="Times New Roman"/>
                <w:spacing w:val="-3"/>
                <w:kern w:val="0"/>
                <w:sz w:val="20"/>
                <w:szCs w:val="20"/>
              </w:rPr>
              <w:t>浓</w:t>
            </w:r>
            <w:r>
              <w:rPr>
                <w:rFonts w:ascii="Times New Roman" w:hAnsi="Times New Roman"/>
                <w:kern w:val="0"/>
                <w:sz w:val="20"/>
                <w:szCs w:val="20"/>
              </w:rPr>
              <w:t>度</w:t>
            </w:r>
          </w:p>
        </w:tc>
        <w:tc>
          <w:tcPr>
            <w:tcW w:w="426" w:type="pct"/>
            <w:vAlign w:val="center"/>
          </w:tcPr>
          <w:p>
            <w:pPr>
              <w:snapToGrid w:val="0"/>
              <w:rPr>
                <w:rFonts w:ascii="Times New Roman" w:hAnsi="Times New Roman"/>
                <w:kern w:val="0"/>
                <w:sz w:val="20"/>
                <w:szCs w:val="20"/>
              </w:rPr>
            </w:pPr>
            <w:r>
              <w:rPr>
                <w:rFonts w:ascii="Times New Roman" w:hAnsi="Times New Roman"/>
                <w:kern w:val="0"/>
                <w:sz w:val="20"/>
                <w:szCs w:val="20"/>
              </w:rPr>
              <w:t>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2" w:type="pct"/>
            <w:vAlign w:val="center"/>
          </w:tcPr>
          <w:p>
            <w:pPr>
              <w:snapToGrid w:val="0"/>
              <w:jc w:val="center"/>
              <w:rPr>
                <w:rFonts w:ascii="Times New Roman" w:hAnsi="Times New Roman"/>
                <w:kern w:val="0"/>
                <w:sz w:val="20"/>
                <w:szCs w:val="20"/>
              </w:rPr>
            </w:pPr>
            <w:r>
              <w:rPr>
                <w:rFonts w:ascii="Times New Roman" w:hAnsi="Times New Roman"/>
                <w:kern w:val="0"/>
                <w:sz w:val="20"/>
                <w:szCs w:val="20"/>
              </w:rPr>
              <w:t>2</w:t>
            </w:r>
          </w:p>
        </w:tc>
        <w:tc>
          <w:tcPr>
            <w:tcW w:w="610" w:type="pct"/>
            <w:vAlign w:val="center"/>
          </w:tcPr>
          <w:p>
            <w:pPr>
              <w:snapToGrid w:val="0"/>
              <w:rPr>
                <w:rFonts w:ascii="Times New Roman" w:hAnsi="Times New Roman"/>
                <w:kern w:val="0"/>
                <w:sz w:val="20"/>
                <w:szCs w:val="20"/>
              </w:rPr>
            </w:pPr>
            <w:r>
              <w:rPr>
                <w:rFonts w:ascii="Times New Roman" w:hAnsi="Times New Roman"/>
                <w:kern w:val="0"/>
                <w:sz w:val="20"/>
                <w:szCs w:val="20"/>
              </w:rPr>
              <w:t>特别</w:t>
            </w:r>
            <w:r>
              <w:rPr>
                <w:rFonts w:ascii="Times New Roman" w:hAnsi="Times New Roman"/>
                <w:spacing w:val="-3"/>
                <w:kern w:val="0"/>
                <w:sz w:val="20"/>
                <w:szCs w:val="20"/>
              </w:rPr>
              <w:t>排</w:t>
            </w:r>
            <w:r>
              <w:rPr>
                <w:rFonts w:ascii="Times New Roman" w:hAnsi="Times New Roman"/>
                <w:kern w:val="0"/>
                <w:sz w:val="20"/>
                <w:szCs w:val="20"/>
              </w:rPr>
              <w:t>放标准</w:t>
            </w:r>
          </w:p>
        </w:tc>
        <w:tc>
          <w:tcPr>
            <w:tcW w:w="1110" w:type="pct"/>
            <w:vAlign w:val="center"/>
          </w:tcPr>
          <w:p>
            <w:pPr>
              <w:snapToGrid w:val="0"/>
              <w:jc w:val="center"/>
              <w:rPr>
                <w:rFonts w:ascii="Times New Roman" w:hAnsi="Times New Roman"/>
                <w:kern w:val="0"/>
                <w:sz w:val="20"/>
                <w:szCs w:val="20"/>
              </w:rPr>
            </w:pPr>
            <w:r>
              <w:rPr>
                <w:rFonts w:ascii="Times New Roman" w:hAnsi="Times New Roman"/>
                <w:kern w:val="0"/>
                <w:sz w:val="20"/>
                <w:szCs w:val="20"/>
              </w:rPr>
              <w:t>烟尘</w:t>
            </w:r>
            <w:r>
              <w:rPr>
                <w:rFonts w:ascii="Times New Roman" w:hAnsi="Times New Roman"/>
                <w:spacing w:val="-3"/>
                <w:kern w:val="0"/>
                <w:sz w:val="20"/>
                <w:szCs w:val="20"/>
              </w:rPr>
              <w:t>、</w:t>
            </w:r>
            <w:r>
              <w:rPr>
                <w:rFonts w:ascii="Times New Roman" w:hAnsi="Times New Roman"/>
                <w:kern w:val="0"/>
                <w:sz w:val="20"/>
                <w:szCs w:val="20"/>
              </w:rPr>
              <w:t>二</w:t>
            </w:r>
            <w:r>
              <w:rPr>
                <w:rFonts w:ascii="Times New Roman" w:hAnsi="Times New Roman"/>
                <w:spacing w:val="-3"/>
                <w:kern w:val="0"/>
                <w:sz w:val="20"/>
                <w:szCs w:val="20"/>
              </w:rPr>
              <w:t>氧</w:t>
            </w:r>
            <w:r>
              <w:rPr>
                <w:rFonts w:ascii="Times New Roman" w:hAnsi="Times New Roman"/>
                <w:kern w:val="0"/>
                <w:sz w:val="20"/>
                <w:szCs w:val="20"/>
              </w:rPr>
              <w:t>化硫、</w:t>
            </w:r>
            <w:r>
              <w:rPr>
                <w:rFonts w:ascii="Times New Roman" w:hAnsi="Times New Roman"/>
                <w:spacing w:val="-3"/>
                <w:kern w:val="0"/>
                <w:sz w:val="20"/>
                <w:szCs w:val="20"/>
              </w:rPr>
              <w:t>特</w:t>
            </w:r>
            <w:r>
              <w:rPr>
                <w:rFonts w:ascii="Times New Roman" w:hAnsi="Times New Roman"/>
                <w:kern w:val="0"/>
                <w:sz w:val="20"/>
                <w:szCs w:val="20"/>
              </w:rPr>
              <w:t>定</w:t>
            </w:r>
            <w:r>
              <w:rPr>
                <w:rFonts w:ascii="Times New Roman" w:hAnsi="Times New Roman"/>
                <w:spacing w:val="-3"/>
                <w:kern w:val="0"/>
                <w:sz w:val="20"/>
                <w:szCs w:val="20"/>
              </w:rPr>
              <w:t>有</w:t>
            </w:r>
            <w:r>
              <w:rPr>
                <w:rFonts w:ascii="Times New Roman" w:hAnsi="Times New Roman"/>
                <w:kern w:val="0"/>
                <w:sz w:val="20"/>
                <w:szCs w:val="20"/>
              </w:rPr>
              <w:t>害物质</w:t>
            </w:r>
          </w:p>
        </w:tc>
        <w:tc>
          <w:tcPr>
            <w:tcW w:w="816" w:type="pct"/>
            <w:vAlign w:val="center"/>
          </w:tcPr>
          <w:p>
            <w:pPr>
              <w:snapToGrid w:val="0"/>
              <w:jc w:val="center"/>
              <w:rPr>
                <w:rFonts w:ascii="Times New Roman" w:hAnsi="Times New Roman"/>
                <w:kern w:val="0"/>
                <w:sz w:val="20"/>
                <w:szCs w:val="20"/>
              </w:rPr>
            </w:pPr>
            <w:r>
              <w:rPr>
                <w:rFonts w:ascii="Times New Roman" w:hAnsi="Times New Roman"/>
                <w:kern w:val="0"/>
                <w:sz w:val="20"/>
                <w:szCs w:val="20"/>
              </w:rPr>
              <w:t>新建</w:t>
            </w:r>
            <w:r>
              <w:rPr>
                <w:rFonts w:ascii="Times New Roman" w:hAnsi="Times New Roman"/>
                <w:spacing w:val="-3"/>
                <w:kern w:val="0"/>
                <w:sz w:val="20"/>
                <w:szCs w:val="20"/>
              </w:rPr>
              <w:t>设</w:t>
            </w:r>
            <w:r>
              <w:rPr>
                <w:rFonts w:ascii="Times New Roman" w:hAnsi="Times New Roman"/>
                <w:kern w:val="0"/>
                <w:sz w:val="20"/>
                <w:szCs w:val="20"/>
              </w:rPr>
              <w:t>施</w:t>
            </w:r>
          </w:p>
        </w:tc>
        <w:tc>
          <w:tcPr>
            <w:tcW w:w="893" w:type="pct"/>
            <w:vAlign w:val="center"/>
          </w:tcPr>
          <w:p>
            <w:pPr>
              <w:snapToGrid w:val="0"/>
              <w:rPr>
                <w:rFonts w:ascii="Times New Roman" w:hAnsi="Times New Roman"/>
                <w:kern w:val="0"/>
                <w:sz w:val="20"/>
                <w:szCs w:val="20"/>
              </w:rPr>
            </w:pPr>
            <w:r>
              <w:rPr>
                <w:rFonts w:ascii="Times New Roman" w:hAnsi="Times New Roman"/>
                <w:kern w:val="0"/>
                <w:sz w:val="20"/>
                <w:szCs w:val="20"/>
              </w:rPr>
              <w:t>由总</w:t>
            </w:r>
            <w:r>
              <w:rPr>
                <w:rFonts w:ascii="Times New Roman" w:hAnsi="Times New Roman"/>
                <w:spacing w:val="-3"/>
                <w:kern w:val="0"/>
                <w:sz w:val="20"/>
                <w:szCs w:val="20"/>
              </w:rPr>
              <w:t>理</w:t>
            </w:r>
            <w:r>
              <w:rPr>
                <w:rFonts w:ascii="Times New Roman" w:hAnsi="Times New Roman"/>
                <w:kern w:val="0"/>
                <w:sz w:val="20"/>
                <w:szCs w:val="20"/>
              </w:rPr>
              <w:t>府</w:t>
            </w:r>
            <w:r>
              <w:rPr>
                <w:rFonts w:ascii="Times New Roman" w:hAnsi="Times New Roman"/>
                <w:spacing w:val="-3"/>
                <w:kern w:val="0"/>
                <w:sz w:val="20"/>
                <w:szCs w:val="20"/>
              </w:rPr>
              <w:t>规</w:t>
            </w:r>
            <w:r>
              <w:rPr>
                <w:rFonts w:ascii="Times New Roman" w:hAnsi="Times New Roman"/>
                <w:kern w:val="0"/>
                <w:sz w:val="20"/>
                <w:szCs w:val="20"/>
              </w:rPr>
              <w:t>定的特</w:t>
            </w:r>
            <w:r>
              <w:rPr>
                <w:rFonts w:ascii="Times New Roman" w:hAnsi="Times New Roman"/>
                <w:spacing w:val="-3"/>
                <w:kern w:val="0"/>
                <w:sz w:val="20"/>
                <w:szCs w:val="20"/>
              </w:rPr>
              <w:t>定</w:t>
            </w:r>
            <w:r>
              <w:rPr>
                <w:rFonts w:ascii="Times New Roman" w:hAnsi="Times New Roman"/>
                <w:kern w:val="0"/>
                <w:sz w:val="20"/>
                <w:szCs w:val="20"/>
              </w:rPr>
              <w:t>地区</w:t>
            </w:r>
          </w:p>
        </w:tc>
        <w:tc>
          <w:tcPr>
            <w:tcW w:w="732" w:type="pct"/>
            <w:vAlign w:val="center"/>
          </w:tcPr>
          <w:p>
            <w:pPr>
              <w:snapToGrid w:val="0"/>
              <w:rPr>
                <w:rFonts w:ascii="Times New Roman" w:hAnsi="Times New Roman"/>
                <w:kern w:val="0"/>
                <w:sz w:val="20"/>
                <w:szCs w:val="20"/>
              </w:rPr>
            </w:pPr>
            <w:r>
              <w:rPr>
                <w:rFonts w:ascii="Times New Roman" w:hAnsi="Times New Roman"/>
                <w:kern w:val="0"/>
                <w:sz w:val="20"/>
                <w:szCs w:val="20"/>
              </w:rPr>
              <w:t>量、</w:t>
            </w:r>
            <w:r>
              <w:rPr>
                <w:rFonts w:ascii="Times New Roman" w:hAnsi="Times New Roman"/>
                <w:spacing w:val="-3"/>
                <w:kern w:val="0"/>
                <w:sz w:val="20"/>
                <w:szCs w:val="20"/>
              </w:rPr>
              <w:t>浓</w:t>
            </w:r>
            <w:r>
              <w:rPr>
                <w:rFonts w:ascii="Times New Roman" w:hAnsi="Times New Roman"/>
                <w:kern w:val="0"/>
                <w:sz w:val="20"/>
                <w:szCs w:val="20"/>
              </w:rPr>
              <w:t>度</w:t>
            </w:r>
          </w:p>
        </w:tc>
        <w:tc>
          <w:tcPr>
            <w:tcW w:w="426" w:type="pct"/>
            <w:vAlign w:val="center"/>
          </w:tcPr>
          <w:p>
            <w:pPr>
              <w:snapToGrid w:val="0"/>
              <w:rPr>
                <w:rFonts w:ascii="Times New Roman" w:hAnsi="Times New Roman"/>
                <w:kern w:val="0"/>
                <w:sz w:val="20"/>
                <w:szCs w:val="20"/>
              </w:rPr>
            </w:pPr>
            <w:r>
              <w:rPr>
                <w:rFonts w:ascii="Times New Roman" w:hAnsi="Times New Roman"/>
                <w:kern w:val="0"/>
                <w:sz w:val="20"/>
                <w:szCs w:val="20"/>
              </w:rPr>
              <w:t>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2" w:type="pct"/>
            <w:vAlign w:val="center"/>
          </w:tcPr>
          <w:p>
            <w:pPr>
              <w:snapToGrid w:val="0"/>
              <w:jc w:val="center"/>
              <w:rPr>
                <w:rFonts w:ascii="Times New Roman" w:hAnsi="Times New Roman"/>
                <w:kern w:val="0"/>
                <w:sz w:val="20"/>
                <w:szCs w:val="20"/>
              </w:rPr>
            </w:pPr>
            <w:r>
              <w:rPr>
                <w:rFonts w:ascii="Times New Roman" w:hAnsi="Times New Roman"/>
                <w:kern w:val="0"/>
                <w:sz w:val="20"/>
                <w:szCs w:val="20"/>
              </w:rPr>
              <w:t>3</w:t>
            </w:r>
          </w:p>
        </w:tc>
        <w:tc>
          <w:tcPr>
            <w:tcW w:w="610" w:type="pct"/>
            <w:vAlign w:val="center"/>
          </w:tcPr>
          <w:p>
            <w:pPr>
              <w:snapToGrid w:val="0"/>
              <w:rPr>
                <w:rFonts w:ascii="Times New Roman" w:hAnsi="Times New Roman"/>
                <w:kern w:val="0"/>
                <w:sz w:val="20"/>
                <w:szCs w:val="20"/>
              </w:rPr>
            </w:pPr>
            <w:r>
              <w:rPr>
                <w:rFonts w:ascii="Times New Roman" w:hAnsi="Times New Roman"/>
                <w:kern w:val="0"/>
                <w:sz w:val="20"/>
                <w:szCs w:val="20"/>
              </w:rPr>
              <w:t>追加</w:t>
            </w:r>
            <w:r>
              <w:rPr>
                <w:rFonts w:ascii="Times New Roman" w:hAnsi="Times New Roman"/>
                <w:spacing w:val="-3"/>
                <w:kern w:val="0"/>
                <w:sz w:val="20"/>
                <w:szCs w:val="20"/>
              </w:rPr>
              <w:t>排</w:t>
            </w:r>
            <w:r>
              <w:rPr>
                <w:rFonts w:ascii="Times New Roman" w:hAnsi="Times New Roman"/>
                <w:kern w:val="0"/>
                <w:sz w:val="20"/>
                <w:szCs w:val="20"/>
              </w:rPr>
              <w:t>放标准</w:t>
            </w:r>
          </w:p>
        </w:tc>
        <w:tc>
          <w:tcPr>
            <w:tcW w:w="1110" w:type="pct"/>
            <w:vAlign w:val="center"/>
          </w:tcPr>
          <w:p>
            <w:pPr>
              <w:snapToGrid w:val="0"/>
              <w:jc w:val="center"/>
              <w:rPr>
                <w:rFonts w:ascii="Times New Roman" w:hAnsi="Times New Roman"/>
                <w:kern w:val="0"/>
                <w:sz w:val="20"/>
                <w:szCs w:val="20"/>
              </w:rPr>
            </w:pPr>
            <w:r>
              <w:rPr>
                <w:rFonts w:ascii="Times New Roman" w:hAnsi="Times New Roman"/>
                <w:kern w:val="0"/>
                <w:sz w:val="20"/>
                <w:szCs w:val="20"/>
              </w:rPr>
              <w:t>烟尘</w:t>
            </w:r>
            <w:r>
              <w:rPr>
                <w:rFonts w:ascii="Times New Roman" w:hAnsi="Times New Roman"/>
                <w:spacing w:val="-3"/>
                <w:kern w:val="0"/>
                <w:sz w:val="20"/>
                <w:szCs w:val="20"/>
              </w:rPr>
              <w:t>、</w:t>
            </w:r>
            <w:r>
              <w:rPr>
                <w:rFonts w:ascii="Times New Roman" w:hAnsi="Times New Roman"/>
                <w:kern w:val="0"/>
                <w:sz w:val="20"/>
                <w:szCs w:val="20"/>
              </w:rPr>
              <w:t>特</w:t>
            </w:r>
            <w:r>
              <w:rPr>
                <w:rFonts w:ascii="Times New Roman" w:hAnsi="Times New Roman"/>
                <w:spacing w:val="-3"/>
                <w:kern w:val="0"/>
                <w:sz w:val="20"/>
                <w:szCs w:val="20"/>
              </w:rPr>
              <w:t>定</w:t>
            </w:r>
            <w:r>
              <w:rPr>
                <w:rFonts w:ascii="Times New Roman" w:hAnsi="Times New Roman"/>
                <w:kern w:val="0"/>
                <w:sz w:val="20"/>
                <w:szCs w:val="20"/>
              </w:rPr>
              <w:t>有害物质</w:t>
            </w:r>
          </w:p>
        </w:tc>
        <w:tc>
          <w:tcPr>
            <w:tcW w:w="816" w:type="pct"/>
            <w:vAlign w:val="center"/>
          </w:tcPr>
          <w:p>
            <w:pPr>
              <w:snapToGrid w:val="0"/>
              <w:jc w:val="center"/>
              <w:rPr>
                <w:rFonts w:ascii="Times New Roman" w:hAnsi="Times New Roman"/>
                <w:kern w:val="0"/>
                <w:sz w:val="20"/>
                <w:szCs w:val="20"/>
              </w:rPr>
            </w:pPr>
            <w:r>
              <w:rPr>
                <w:rFonts w:ascii="Times New Roman" w:hAnsi="Times New Roman"/>
                <w:kern w:val="0"/>
                <w:sz w:val="20"/>
                <w:szCs w:val="20"/>
              </w:rPr>
              <w:t>所有</w:t>
            </w:r>
            <w:r>
              <w:rPr>
                <w:rFonts w:ascii="Times New Roman" w:hAnsi="Times New Roman"/>
                <w:spacing w:val="-3"/>
                <w:kern w:val="0"/>
                <w:sz w:val="20"/>
                <w:szCs w:val="20"/>
              </w:rPr>
              <w:t>设</w:t>
            </w:r>
            <w:r>
              <w:rPr>
                <w:rFonts w:ascii="Times New Roman" w:hAnsi="Times New Roman"/>
                <w:kern w:val="0"/>
                <w:sz w:val="20"/>
                <w:szCs w:val="20"/>
              </w:rPr>
              <w:t>施</w:t>
            </w:r>
          </w:p>
        </w:tc>
        <w:tc>
          <w:tcPr>
            <w:tcW w:w="893" w:type="pct"/>
            <w:vAlign w:val="center"/>
          </w:tcPr>
          <w:p>
            <w:pPr>
              <w:snapToGrid w:val="0"/>
              <w:rPr>
                <w:rFonts w:ascii="Times New Roman" w:hAnsi="Times New Roman"/>
                <w:kern w:val="0"/>
                <w:sz w:val="20"/>
                <w:szCs w:val="20"/>
              </w:rPr>
            </w:pPr>
            <w:r>
              <w:rPr>
                <w:rFonts w:ascii="Times New Roman" w:hAnsi="Times New Roman"/>
                <w:kern w:val="0"/>
                <w:sz w:val="20"/>
                <w:szCs w:val="20"/>
              </w:rPr>
              <w:t>由条</w:t>
            </w:r>
            <w:r>
              <w:rPr>
                <w:rFonts w:ascii="Times New Roman" w:hAnsi="Times New Roman"/>
                <w:spacing w:val="-3"/>
                <w:kern w:val="0"/>
                <w:sz w:val="20"/>
                <w:szCs w:val="20"/>
              </w:rPr>
              <w:t>例</w:t>
            </w:r>
            <w:r>
              <w:rPr>
                <w:rFonts w:ascii="Times New Roman" w:hAnsi="Times New Roman"/>
                <w:kern w:val="0"/>
                <w:sz w:val="20"/>
                <w:szCs w:val="20"/>
              </w:rPr>
              <w:t>规</w:t>
            </w:r>
            <w:r>
              <w:rPr>
                <w:rFonts w:ascii="Times New Roman" w:hAnsi="Times New Roman"/>
                <w:spacing w:val="-3"/>
                <w:kern w:val="0"/>
                <w:sz w:val="20"/>
                <w:szCs w:val="20"/>
              </w:rPr>
              <w:t>定</w:t>
            </w:r>
            <w:r>
              <w:rPr>
                <w:rFonts w:ascii="Times New Roman" w:hAnsi="Times New Roman"/>
                <w:kern w:val="0"/>
                <w:sz w:val="20"/>
                <w:szCs w:val="20"/>
              </w:rPr>
              <w:t>的地区</w:t>
            </w:r>
          </w:p>
        </w:tc>
        <w:tc>
          <w:tcPr>
            <w:tcW w:w="732" w:type="pct"/>
            <w:vAlign w:val="center"/>
          </w:tcPr>
          <w:p>
            <w:pPr>
              <w:snapToGrid w:val="0"/>
              <w:rPr>
                <w:rFonts w:ascii="Times New Roman" w:hAnsi="Times New Roman"/>
                <w:kern w:val="0"/>
                <w:sz w:val="20"/>
                <w:szCs w:val="20"/>
              </w:rPr>
            </w:pPr>
            <w:r>
              <w:rPr>
                <w:rFonts w:ascii="Times New Roman" w:hAnsi="Times New Roman"/>
                <w:kern w:val="0"/>
                <w:sz w:val="20"/>
                <w:szCs w:val="20"/>
              </w:rPr>
              <w:t>浓度</w:t>
            </w:r>
          </w:p>
        </w:tc>
        <w:tc>
          <w:tcPr>
            <w:tcW w:w="426" w:type="pct"/>
            <w:vAlign w:val="center"/>
          </w:tcPr>
          <w:p>
            <w:pPr>
              <w:snapToGrid w:val="0"/>
              <w:rPr>
                <w:rFonts w:ascii="Times New Roman" w:hAnsi="Times New Roman"/>
                <w:kern w:val="0"/>
                <w:sz w:val="20"/>
                <w:szCs w:val="20"/>
              </w:rPr>
            </w:pPr>
            <w:r>
              <w:rPr>
                <w:rFonts w:ascii="Times New Roman" w:hAnsi="Times New Roman"/>
                <w:kern w:val="0"/>
                <w:sz w:val="20"/>
                <w:szCs w:val="20"/>
              </w:rPr>
              <w:t>都道府县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2" w:type="pct"/>
            <w:vAlign w:val="center"/>
          </w:tcPr>
          <w:p>
            <w:pPr>
              <w:snapToGrid w:val="0"/>
              <w:jc w:val="center"/>
              <w:rPr>
                <w:rFonts w:ascii="Times New Roman" w:hAnsi="Times New Roman"/>
                <w:kern w:val="0"/>
                <w:sz w:val="20"/>
                <w:szCs w:val="20"/>
              </w:rPr>
            </w:pPr>
            <w:r>
              <w:rPr>
                <w:rFonts w:ascii="Times New Roman" w:hAnsi="Times New Roman"/>
                <w:kern w:val="0"/>
                <w:sz w:val="20"/>
                <w:szCs w:val="20"/>
              </w:rPr>
              <w:t>4</w:t>
            </w:r>
          </w:p>
        </w:tc>
        <w:tc>
          <w:tcPr>
            <w:tcW w:w="610" w:type="pct"/>
            <w:vAlign w:val="center"/>
          </w:tcPr>
          <w:p>
            <w:pPr>
              <w:snapToGrid w:val="0"/>
              <w:rPr>
                <w:rFonts w:ascii="Times New Roman" w:hAnsi="Times New Roman"/>
                <w:kern w:val="0"/>
                <w:sz w:val="20"/>
                <w:szCs w:val="20"/>
              </w:rPr>
            </w:pPr>
            <w:r>
              <w:rPr>
                <w:rFonts w:ascii="Times New Roman" w:hAnsi="Times New Roman"/>
                <w:kern w:val="0"/>
                <w:sz w:val="20"/>
                <w:szCs w:val="20"/>
              </w:rPr>
              <w:t>总量</w:t>
            </w:r>
            <w:r>
              <w:rPr>
                <w:rFonts w:ascii="Times New Roman" w:hAnsi="Times New Roman"/>
                <w:spacing w:val="-3"/>
                <w:kern w:val="0"/>
                <w:sz w:val="20"/>
                <w:szCs w:val="20"/>
              </w:rPr>
              <w:t>限</w:t>
            </w:r>
            <w:r>
              <w:rPr>
                <w:rFonts w:ascii="Times New Roman" w:hAnsi="Times New Roman"/>
                <w:kern w:val="0"/>
                <w:sz w:val="20"/>
                <w:szCs w:val="20"/>
              </w:rPr>
              <w:t>制标准</w:t>
            </w:r>
          </w:p>
        </w:tc>
        <w:tc>
          <w:tcPr>
            <w:tcW w:w="1110" w:type="pct"/>
            <w:vAlign w:val="center"/>
          </w:tcPr>
          <w:p>
            <w:pPr>
              <w:snapToGrid w:val="0"/>
              <w:jc w:val="center"/>
              <w:rPr>
                <w:rFonts w:ascii="Times New Roman" w:hAnsi="Times New Roman"/>
                <w:kern w:val="0"/>
                <w:sz w:val="20"/>
                <w:szCs w:val="20"/>
              </w:rPr>
            </w:pPr>
            <w:r>
              <w:rPr>
                <w:rFonts w:ascii="Times New Roman" w:hAnsi="Times New Roman"/>
                <w:kern w:val="0"/>
                <w:sz w:val="20"/>
                <w:szCs w:val="20"/>
              </w:rPr>
              <w:t>二氧</w:t>
            </w:r>
            <w:r>
              <w:rPr>
                <w:rFonts w:ascii="Times New Roman" w:hAnsi="Times New Roman"/>
                <w:spacing w:val="-3"/>
                <w:kern w:val="0"/>
                <w:sz w:val="20"/>
                <w:szCs w:val="20"/>
              </w:rPr>
              <w:t>化</w:t>
            </w:r>
            <w:r>
              <w:rPr>
                <w:rFonts w:ascii="Times New Roman" w:hAnsi="Times New Roman"/>
                <w:kern w:val="0"/>
                <w:sz w:val="20"/>
                <w:szCs w:val="20"/>
              </w:rPr>
              <w:t>硫</w:t>
            </w:r>
            <w:r>
              <w:rPr>
                <w:rFonts w:ascii="Times New Roman" w:hAnsi="Times New Roman"/>
                <w:spacing w:val="-3"/>
                <w:kern w:val="0"/>
                <w:sz w:val="20"/>
                <w:szCs w:val="20"/>
              </w:rPr>
              <w:t>、</w:t>
            </w:r>
            <w:r>
              <w:rPr>
                <w:rFonts w:ascii="Times New Roman" w:hAnsi="Times New Roman"/>
                <w:kern w:val="0"/>
                <w:sz w:val="20"/>
                <w:szCs w:val="20"/>
              </w:rPr>
              <w:t>二氧化氮</w:t>
            </w:r>
          </w:p>
        </w:tc>
        <w:tc>
          <w:tcPr>
            <w:tcW w:w="816" w:type="pct"/>
            <w:vAlign w:val="center"/>
          </w:tcPr>
          <w:p>
            <w:pPr>
              <w:snapToGrid w:val="0"/>
              <w:jc w:val="center"/>
              <w:rPr>
                <w:rFonts w:ascii="Times New Roman" w:hAnsi="Times New Roman"/>
                <w:kern w:val="0"/>
                <w:sz w:val="20"/>
                <w:szCs w:val="20"/>
              </w:rPr>
            </w:pPr>
            <w:r>
              <w:rPr>
                <w:rFonts w:ascii="Times New Roman" w:hAnsi="Times New Roman"/>
                <w:kern w:val="0"/>
                <w:sz w:val="20"/>
                <w:szCs w:val="20"/>
              </w:rPr>
              <w:t>所有</w:t>
            </w:r>
            <w:r>
              <w:rPr>
                <w:rFonts w:ascii="Times New Roman" w:hAnsi="Times New Roman"/>
                <w:spacing w:val="-3"/>
                <w:kern w:val="0"/>
                <w:sz w:val="20"/>
                <w:szCs w:val="20"/>
              </w:rPr>
              <w:t>设</w:t>
            </w:r>
            <w:r>
              <w:rPr>
                <w:rFonts w:ascii="Times New Roman" w:hAnsi="Times New Roman"/>
                <w:kern w:val="0"/>
                <w:sz w:val="20"/>
                <w:szCs w:val="20"/>
              </w:rPr>
              <w:t>施</w:t>
            </w:r>
          </w:p>
        </w:tc>
        <w:tc>
          <w:tcPr>
            <w:tcW w:w="893" w:type="pct"/>
            <w:vAlign w:val="center"/>
          </w:tcPr>
          <w:p>
            <w:pPr>
              <w:snapToGrid w:val="0"/>
              <w:rPr>
                <w:rFonts w:ascii="Times New Roman" w:hAnsi="Times New Roman"/>
                <w:kern w:val="0"/>
                <w:sz w:val="20"/>
                <w:szCs w:val="20"/>
              </w:rPr>
            </w:pPr>
            <w:r>
              <w:rPr>
                <w:rFonts w:ascii="Times New Roman" w:hAnsi="Times New Roman"/>
                <w:kern w:val="0"/>
                <w:sz w:val="20"/>
                <w:szCs w:val="20"/>
              </w:rPr>
              <w:t>由政</w:t>
            </w:r>
            <w:r>
              <w:rPr>
                <w:rFonts w:ascii="Times New Roman" w:hAnsi="Times New Roman"/>
                <w:spacing w:val="-3"/>
                <w:kern w:val="0"/>
                <w:sz w:val="20"/>
                <w:szCs w:val="20"/>
              </w:rPr>
              <w:t>府</w:t>
            </w:r>
            <w:r>
              <w:rPr>
                <w:rFonts w:ascii="Times New Roman" w:hAnsi="Times New Roman"/>
                <w:kern w:val="0"/>
                <w:sz w:val="20"/>
                <w:szCs w:val="20"/>
              </w:rPr>
              <w:t>规</w:t>
            </w:r>
            <w:r>
              <w:rPr>
                <w:rFonts w:ascii="Times New Roman" w:hAnsi="Times New Roman"/>
                <w:spacing w:val="-3"/>
                <w:kern w:val="0"/>
                <w:sz w:val="20"/>
                <w:szCs w:val="20"/>
              </w:rPr>
              <w:t>定</w:t>
            </w:r>
            <w:r>
              <w:rPr>
                <w:rFonts w:ascii="Times New Roman" w:hAnsi="Times New Roman"/>
                <w:kern w:val="0"/>
                <w:sz w:val="20"/>
                <w:szCs w:val="20"/>
              </w:rPr>
              <w:t>的特定</w:t>
            </w:r>
            <w:r>
              <w:rPr>
                <w:rFonts w:ascii="Times New Roman" w:hAnsi="Times New Roman"/>
                <w:spacing w:val="-3"/>
                <w:kern w:val="0"/>
                <w:sz w:val="20"/>
                <w:szCs w:val="20"/>
              </w:rPr>
              <w:t>地</w:t>
            </w:r>
            <w:r>
              <w:rPr>
                <w:rFonts w:ascii="Times New Roman" w:hAnsi="Times New Roman"/>
                <w:kern w:val="0"/>
                <w:sz w:val="20"/>
                <w:szCs w:val="20"/>
              </w:rPr>
              <w:t>区</w:t>
            </w:r>
          </w:p>
        </w:tc>
        <w:tc>
          <w:tcPr>
            <w:tcW w:w="732" w:type="pct"/>
            <w:vAlign w:val="center"/>
          </w:tcPr>
          <w:p>
            <w:pPr>
              <w:snapToGrid w:val="0"/>
              <w:rPr>
                <w:rFonts w:ascii="Times New Roman" w:hAnsi="Times New Roman"/>
                <w:kern w:val="0"/>
                <w:sz w:val="20"/>
                <w:szCs w:val="20"/>
              </w:rPr>
            </w:pPr>
            <w:r>
              <w:rPr>
                <w:rFonts w:ascii="Times New Roman" w:hAnsi="Times New Roman"/>
                <w:kern w:val="0"/>
                <w:sz w:val="20"/>
                <w:szCs w:val="20"/>
              </w:rPr>
              <w:t>总量</w:t>
            </w:r>
          </w:p>
        </w:tc>
        <w:tc>
          <w:tcPr>
            <w:tcW w:w="426" w:type="pct"/>
            <w:vAlign w:val="center"/>
          </w:tcPr>
          <w:p>
            <w:pPr>
              <w:snapToGrid w:val="0"/>
              <w:rPr>
                <w:rFonts w:ascii="Times New Roman" w:hAnsi="Times New Roman"/>
                <w:kern w:val="0"/>
                <w:sz w:val="20"/>
                <w:szCs w:val="20"/>
              </w:rPr>
            </w:pPr>
            <w:r>
              <w:rPr>
                <w:rFonts w:ascii="Times New Roman" w:hAnsi="Times New Roman"/>
                <w:kern w:val="0"/>
                <w:sz w:val="20"/>
                <w:szCs w:val="20"/>
              </w:rPr>
              <w:t>都道府县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2" w:type="pct"/>
            <w:vAlign w:val="center"/>
          </w:tcPr>
          <w:p>
            <w:pPr>
              <w:snapToGrid w:val="0"/>
              <w:jc w:val="center"/>
              <w:rPr>
                <w:rFonts w:ascii="Times New Roman" w:hAnsi="Times New Roman"/>
                <w:kern w:val="0"/>
                <w:sz w:val="20"/>
                <w:szCs w:val="20"/>
              </w:rPr>
            </w:pPr>
            <w:r>
              <w:rPr>
                <w:rFonts w:ascii="Times New Roman" w:hAnsi="Times New Roman"/>
                <w:kern w:val="0"/>
                <w:sz w:val="20"/>
                <w:szCs w:val="20"/>
              </w:rPr>
              <w:t>5</w:t>
            </w:r>
          </w:p>
        </w:tc>
        <w:tc>
          <w:tcPr>
            <w:tcW w:w="610" w:type="pct"/>
            <w:vAlign w:val="center"/>
          </w:tcPr>
          <w:p>
            <w:pPr>
              <w:snapToGrid w:val="0"/>
              <w:rPr>
                <w:rFonts w:ascii="Times New Roman" w:hAnsi="Times New Roman"/>
                <w:kern w:val="0"/>
                <w:sz w:val="20"/>
                <w:szCs w:val="20"/>
              </w:rPr>
            </w:pPr>
            <w:r>
              <w:rPr>
                <w:rFonts w:ascii="Times New Roman" w:hAnsi="Times New Roman"/>
                <w:kern w:val="0"/>
                <w:sz w:val="20"/>
                <w:szCs w:val="20"/>
              </w:rPr>
              <w:t>设备</w:t>
            </w:r>
            <w:r>
              <w:rPr>
                <w:rFonts w:ascii="Times New Roman" w:hAnsi="Times New Roman"/>
                <w:spacing w:val="-3"/>
                <w:kern w:val="0"/>
                <w:sz w:val="20"/>
                <w:szCs w:val="20"/>
              </w:rPr>
              <w:t>构</w:t>
            </w:r>
            <w:r>
              <w:rPr>
                <w:rFonts w:ascii="Times New Roman" w:hAnsi="Times New Roman"/>
                <w:kern w:val="0"/>
                <w:sz w:val="20"/>
                <w:szCs w:val="20"/>
              </w:rPr>
              <w:t>造使用及</w:t>
            </w:r>
            <w:r>
              <w:rPr>
                <w:rFonts w:ascii="Times New Roman" w:hAnsi="Times New Roman"/>
                <w:spacing w:val="-3"/>
                <w:kern w:val="0"/>
                <w:sz w:val="20"/>
                <w:szCs w:val="20"/>
              </w:rPr>
              <w:t>管</w:t>
            </w:r>
            <w:r>
              <w:rPr>
                <w:rFonts w:ascii="Times New Roman" w:hAnsi="Times New Roman"/>
                <w:kern w:val="0"/>
                <w:sz w:val="20"/>
                <w:szCs w:val="20"/>
              </w:rPr>
              <w:t>理标准</w:t>
            </w:r>
          </w:p>
        </w:tc>
        <w:tc>
          <w:tcPr>
            <w:tcW w:w="1110" w:type="pct"/>
            <w:vAlign w:val="center"/>
          </w:tcPr>
          <w:p>
            <w:pPr>
              <w:snapToGrid w:val="0"/>
              <w:jc w:val="center"/>
              <w:rPr>
                <w:rFonts w:ascii="Times New Roman" w:hAnsi="Times New Roman"/>
                <w:kern w:val="0"/>
                <w:sz w:val="20"/>
                <w:szCs w:val="20"/>
              </w:rPr>
            </w:pPr>
            <w:r>
              <w:rPr>
                <w:rFonts w:ascii="Times New Roman" w:hAnsi="Times New Roman"/>
                <w:kern w:val="0"/>
                <w:sz w:val="20"/>
                <w:szCs w:val="20"/>
              </w:rPr>
              <w:t>普通</w:t>
            </w:r>
            <w:r>
              <w:rPr>
                <w:rFonts w:ascii="Times New Roman" w:hAnsi="Times New Roman"/>
                <w:spacing w:val="-3"/>
                <w:kern w:val="0"/>
                <w:sz w:val="20"/>
                <w:szCs w:val="20"/>
              </w:rPr>
              <w:t>粉</w:t>
            </w:r>
            <w:r>
              <w:rPr>
                <w:rFonts w:ascii="Times New Roman" w:hAnsi="Times New Roman"/>
                <w:kern w:val="0"/>
                <w:sz w:val="20"/>
                <w:szCs w:val="20"/>
              </w:rPr>
              <w:t>尘</w:t>
            </w:r>
          </w:p>
        </w:tc>
        <w:tc>
          <w:tcPr>
            <w:tcW w:w="816" w:type="pct"/>
            <w:vAlign w:val="center"/>
          </w:tcPr>
          <w:p>
            <w:pPr>
              <w:snapToGrid w:val="0"/>
              <w:jc w:val="center"/>
              <w:rPr>
                <w:rFonts w:ascii="Times New Roman" w:hAnsi="Times New Roman"/>
                <w:kern w:val="0"/>
                <w:sz w:val="20"/>
                <w:szCs w:val="20"/>
              </w:rPr>
            </w:pPr>
            <w:r>
              <w:rPr>
                <w:rFonts w:ascii="Times New Roman" w:hAnsi="Times New Roman"/>
                <w:kern w:val="0"/>
                <w:sz w:val="20"/>
                <w:szCs w:val="20"/>
              </w:rPr>
              <w:t>所有</w:t>
            </w:r>
            <w:r>
              <w:rPr>
                <w:rFonts w:ascii="Times New Roman" w:hAnsi="Times New Roman"/>
                <w:spacing w:val="-3"/>
                <w:kern w:val="0"/>
                <w:sz w:val="20"/>
                <w:szCs w:val="20"/>
              </w:rPr>
              <w:t>设</w:t>
            </w:r>
            <w:r>
              <w:rPr>
                <w:rFonts w:ascii="Times New Roman" w:hAnsi="Times New Roman"/>
                <w:kern w:val="0"/>
                <w:sz w:val="20"/>
                <w:szCs w:val="20"/>
              </w:rPr>
              <w:t>施</w:t>
            </w:r>
          </w:p>
        </w:tc>
        <w:tc>
          <w:tcPr>
            <w:tcW w:w="893" w:type="pct"/>
            <w:vAlign w:val="center"/>
          </w:tcPr>
          <w:p>
            <w:pPr>
              <w:snapToGrid w:val="0"/>
              <w:rPr>
                <w:rFonts w:ascii="Times New Roman" w:hAnsi="Times New Roman"/>
                <w:kern w:val="0"/>
                <w:sz w:val="20"/>
                <w:szCs w:val="20"/>
              </w:rPr>
            </w:pPr>
            <w:r>
              <w:rPr>
                <w:rFonts w:ascii="Times New Roman" w:hAnsi="Times New Roman"/>
                <w:kern w:val="0"/>
                <w:sz w:val="20"/>
                <w:szCs w:val="20"/>
              </w:rPr>
              <w:t>所有</w:t>
            </w:r>
            <w:r>
              <w:rPr>
                <w:rFonts w:ascii="Times New Roman" w:hAnsi="Times New Roman"/>
                <w:spacing w:val="-3"/>
                <w:kern w:val="0"/>
                <w:sz w:val="20"/>
                <w:szCs w:val="20"/>
              </w:rPr>
              <w:t>地</w:t>
            </w:r>
            <w:r>
              <w:rPr>
                <w:rFonts w:ascii="Times New Roman" w:hAnsi="Times New Roman"/>
                <w:kern w:val="0"/>
                <w:sz w:val="20"/>
                <w:szCs w:val="20"/>
              </w:rPr>
              <w:t>区</w:t>
            </w:r>
          </w:p>
        </w:tc>
        <w:tc>
          <w:tcPr>
            <w:tcW w:w="732" w:type="pct"/>
            <w:vAlign w:val="center"/>
          </w:tcPr>
          <w:p>
            <w:pPr>
              <w:snapToGrid w:val="0"/>
              <w:rPr>
                <w:rFonts w:ascii="Times New Roman" w:hAnsi="Times New Roman"/>
                <w:kern w:val="0"/>
                <w:sz w:val="20"/>
                <w:szCs w:val="20"/>
              </w:rPr>
            </w:pPr>
            <w:r>
              <w:rPr>
                <w:rFonts w:ascii="Times New Roman" w:hAnsi="Times New Roman"/>
                <w:kern w:val="0"/>
                <w:sz w:val="20"/>
                <w:szCs w:val="20"/>
              </w:rPr>
              <w:t>使用</w:t>
            </w:r>
            <w:r>
              <w:rPr>
                <w:rFonts w:ascii="Times New Roman" w:hAnsi="Times New Roman"/>
                <w:spacing w:val="-3"/>
                <w:kern w:val="0"/>
                <w:sz w:val="20"/>
                <w:szCs w:val="20"/>
              </w:rPr>
              <w:t>及</w:t>
            </w:r>
            <w:r>
              <w:rPr>
                <w:rFonts w:ascii="Times New Roman" w:hAnsi="Times New Roman"/>
                <w:kern w:val="0"/>
                <w:sz w:val="20"/>
                <w:szCs w:val="20"/>
              </w:rPr>
              <w:t>管理方法</w:t>
            </w:r>
          </w:p>
        </w:tc>
        <w:tc>
          <w:tcPr>
            <w:tcW w:w="426" w:type="pct"/>
            <w:vAlign w:val="center"/>
          </w:tcPr>
          <w:p>
            <w:pPr>
              <w:snapToGrid w:val="0"/>
              <w:rPr>
                <w:rFonts w:ascii="Times New Roman" w:hAnsi="Times New Roman"/>
                <w:kern w:val="0"/>
                <w:sz w:val="20"/>
                <w:szCs w:val="20"/>
              </w:rPr>
            </w:pPr>
            <w:r>
              <w:rPr>
                <w:rFonts w:ascii="Times New Roman" w:hAnsi="Times New Roman"/>
                <w:kern w:val="0"/>
                <w:sz w:val="20"/>
                <w:szCs w:val="20"/>
              </w:rPr>
              <w:t>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2" w:type="pct"/>
            <w:vAlign w:val="center"/>
          </w:tcPr>
          <w:p>
            <w:pPr>
              <w:snapToGrid w:val="0"/>
              <w:jc w:val="center"/>
              <w:rPr>
                <w:rFonts w:ascii="Times New Roman" w:hAnsi="Times New Roman"/>
                <w:kern w:val="0"/>
                <w:sz w:val="20"/>
                <w:szCs w:val="20"/>
              </w:rPr>
            </w:pPr>
            <w:r>
              <w:rPr>
                <w:rFonts w:ascii="Times New Roman" w:hAnsi="Times New Roman"/>
                <w:kern w:val="0"/>
                <w:sz w:val="20"/>
                <w:szCs w:val="20"/>
              </w:rPr>
              <w:t>6</w:t>
            </w:r>
          </w:p>
        </w:tc>
        <w:tc>
          <w:tcPr>
            <w:tcW w:w="610" w:type="pct"/>
            <w:vAlign w:val="center"/>
          </w:tcPr>
          <w:p>
            <w:pPr>
              <w:snapToGrid w:val="0"/>
              <w:rPr>
                <w:rFonts w:ascii="Times New Roman" w:hAnsi="Times New Roman"/>
                <w:kern w:val="0"/>
                <w:sz w:val="20"/>
                <w:szCs w:val="20"/>
              </w:rPr>
            </w:pPr>
            <w:r>
              <w:rPr>
                <w:rFonts w:ascii="Times New Roman" w:hAnsi="Times New Roman"/>
                <w:kern w:val="0"/>
                <w:sz w:val="20"/>
                <w:szCs w:val="20"/>
              </w:rPr>
              <w:t>大气</w:t>
            </w:r>
            <w:r>
              <w:rPr>
                <w:rFonts w:ascii="Times New Roman" w:hAnsi="Times New Roman"/>
                <w:spacing w:val="-3"/>
                <w:kern w:val="0"/>
                <w:sz w:val="20"/>
                <w:szCs w:val="20"/>
              </w:rPr>
              <w:t>中</w:t>
            </w:r>
            <w:r>
              <w:rPr>
                <w:rFonts w:ascii="Times New Roman" w:hAnsi="Times New Roman"/>
                <w:kern w:val="0"/>
                <w:sz w:val="20"/>
                <w:szCs w:val="20"/>
              </w:rPr>
              <w:t>的允许浓度</w:t>
            </w:r>
          </w:p>
        </w:tc>
        <w:tc>
          <w:tcPr>
            <w:tcW w:w="1110" w:type="pct"/>
            <w:vAlign w:val="center"/>
          </w:tcPr>
          <w:p>
            <w:pPr>
              <w:snapToGrid w:val="0"/>
              <w:jc w:val="center"/>
              <w:rPr>
                <w:rFonts w:ascii="Times New Roman" w:hAnsi="Times New Roman"/>
                <w:kern w:val="0"/>
                <w:sz w:val="20"/>
                <w:szCs w:val="20"/>
              </w:rPr>
            </w:pPr>
            <w:r>
              <w:rPr>
                <w:rFonts w:ascii="Times New Roman" w:hAnsi="Times New Roman"/>
                <w:kern w:val="0"/>
                <w:sz w:val="20"/>
                <w:szCs w:val="20"/>
              </w:rPr>
              <w:t>特定</w:t>
            </w:r>
            <w:r>
              <w:rPr>
                <w:rFonts w:ascii="Times New Roman" w:hAnsi="Times New Roman"/>
                <w:spacing w:val="-3"/>
                <w:kern w:val="0"/>
                <w:sz w:val="20"/>
                <w:szCs w:val="20"/>
              </w:rPr>
              <w:t>粉</w:t>
            </w:r>
            <w:r>
              <w:rPr>
                <w:rFonts w:ascii="Times New Roman" w:hAnsi="Times New Roman"/>
                <w:kern w:val="0"/>
                <w:sz w:val="20"/>
                <w:szCs w:val="20"/>
              </w:rPr>
              <w:t>尘</w:t>
            </w:r>
          </w:p>
        </w:tc>
        <w:tc>
          <w:tcPr>
            <w:tcW w:w="816" w:type="pct"/>
            <w:vAlign w:val="center"/>
          </w:tcPr>
          <w:p>
            <w:pPr>
              <w:snapToGrid w:val="0"/>
              <w:jc w:val="center"/>
              <w:rPr>
                <w:rFonts w:ascii="Times New Roman" w:hAnsi="Times New Roman"/>
                <w:kern w:val="0"/>
                <w:sz w:val="20"/>
                <w:szCs w:val="20"/>
              </w:rPr>
            </w:pPr>
            <w:r>
              <w:rPr>
                <w:rFonts w:ascii="Times New Roman" w:hAnsi="Times New Roman"/>
                <w:kern w:val="0"/>
                <w:sz w:val="20"/>
                <w:szCs w:val="20"/>
              </w:rPr>
              <w:t>所有</w:t>
            </w:r>
            <w:r>
              <w:rPr>
                <w:rFonts w:ascii="Times New Roman" w:hAnsi="Times New Roman"/>
                <w:spacing w:val="-3"/>
                <w:kern w:val="0"/>
                <w:sz w:val="20"/>
                <w:szCs w:val="20"/>
              </w:rPr>
              <w:t>设</w:t>
            </w:r>
            <w:r>
              <w:rPr>
                <w:rFonts w:ascii="Times New Roman" w:hAnsi="Times New Roman"/>
                <w:kern w:val="0"/>
                <w:sz w:val="20"/>
                <w:szCs w:val="20"/>
              </w:rPr>
              <w:t>施</w:t>
            </w:r>
          </w:p>
        </w:tc>
        <w:tc>
          <w:tcPr>
            <w:tcW w:w="893" w:type="pct"/>
            <w:vAlign w:val="center"/>
          </w:tcPr>
          <w:p>
            <w:pPr>
              <w:snapToGrid w:val="0"/>
              <w:rPr>
                <w:rFonts w:ascii="Times New Roman" w:hAnsi="Times New Roman"/>
                <w:kern w:val="0"/>
                <w:sz w:val="20"/>
                <w:szCs w:val="20"/>
              </w:rPr>
            </w:pPr>
            <w:r>
              <w:rPr>
                <w:rFonts w:ascii="Times New Roman" w:hAnsi="Times New Roman"/>
                <w:kern w:val="0"/>
                <w:sz w:val="20"/>
                <w:szCs w:val="20"/>
              </w:rPr>
              <w:t>工厂</w:t>
            </w:r>
            <w:r>
              <w:rPr>
                <w:rFonts w:ascii="Times New Roman" w:hAnsi="Times New Roman"/>
                <w:spacing w:val="-3"/>
                <w:kern w:val="0"/>
                <w:sz w:val="20"/>
                <w:szCs w:val="20"/>
              </w:rPr>
              <w:t>及</w:t>
            </w:r>
            <w:r>
              <w:rPr>
                <w:rFonts w:ascii="Times New Roman" w:hAnsi="Times New Roman"/>
                <w:kern w:val="0"/>
                <w:sz w:val="20"/>
                <w:szCs w:val="20"/>
              </w:rPr>
              <w:t>事</w:t>
            </w:r>
            <w:r>
              <w:rPr>
                <w:rFonts w:ascii="Times New Roman" w:hAnsi="Times New Roman"/>
                <w:spacing w:val="-3"/>
                <w:kern w:val="0"/>
                <w:sz w:val="20"/>
                <w:szCs w:val="20"/>
              </w:rPr>
              <w:t>业</w:t>
            </w:r>
            <w:r>
              <w:rPr>
                <w:rFonts w:ascii="Times New Roman" w:hAnsi="Times New Roman"/>
                <w:kern w:val="0"/>
                <w:sz w:val="20"/>
                <w:szCs w:val="20"/>
              </w:rPr>
              <w:t>单位某</w:t>
            </w:r>
            <w:r>
              <w:rPr>
                <w:rFonts w:ascii="Times New Roman" w:hAnsi="Times New Roman"/>
                <w:spacing w:val="-3"/>
                <w:kern w:val="0"/>
                <w:sz w:val="20"/>
                <w:szCs w:val="20"/>
              </w:rPr>
              <w:t>一</w:t>
            </w:r>
            <w:r>
              <w:rPr>
                <w:rFonts w:ascii="Times New Roman" w:hAnsi="Times New Roman"/>
                <w:kern w:val="0"/>
                <w:sz w:val="20"/>
                <w:szCs w:val="20"/>
              </w:rPr>
              <w:t>界</w:t>
            </w:r>
            <w:r>
              <w:rPr>
                <w:rFonts w:ascii="Times New Roman" w:hAnsi="Times New Roman"/>
                <w:spacing w:val="-3"/>
                <w:kern w:val="0"/>
                <w:sz w:val="20"/>
                <w:szCs w:val="20"/>
              </w:rPr>
              <w:t>限</w:t>
            </w:r>
            <w:r>
              <w:rPr>
                <w:rFonts w:ascii="Times New Roman" w:hAnsi="Times New Roman"/>
                <w:kern w:val="0"/>
                <w:sz w:val="20"/>
                <w:szCs w:val="20"/>
              </w:rPr>
              <w:t>范围</w:t>
            </w:r>
          </w:p>
        </w:tc>
        <w:tc>
          <w:tcPr>
            <w:tcW w:w="732" w:type="pct"/>
            <w:vAlign w:val="center"/>
          </w:tcPr>
          <w:p>
            <w:pPr>
              <w:snapToGrid w:val="0"/>
              <w:rPr>
                <w:rFonts w:ascii="Times New Roman" w:hAnsi="Times New Roman"/>
                <w:kern w:val="0"/>
                <w:sz w:val="20"/>
                <w:szCs w:val="20"/>
              </w:rPr>
            </w:pPr>
            <w:r>
              <w:rPr>
                <w:rFonts w:ascii="Times New Roman" w:hAnsi="Times New Roman"/>
                <w:kern w:val="0"/>
                <w:sz w:val="20"/>
                <w:szCs w:val="20"/>
              </w:rPr>
              <w:t>浓度</w:t>
            </w:r>
          </w:p>
        </w:tc>
        <w:tc>
          <w:tcPr>
            <w:tcW w:w="426" w:type="pct"/>
            <w:vAlign w:val="center"/>
          </w:tcPr>
          <w:p>
            <w:pPr>
              <w:snapToGrid w:val="0"/>
              <w:rPr>
                <w:rFonts w:ascii="Times New Roman" w:hAnsi="Times New Roman"/>
                <w:kern w:val="0"/>
                <w:sz w:val="20"/>
                <w:szCs w:val="20"/>
              </w:rPr>
            </w:pPr>
            <w:r>
              <w:rPr>
                <w:rFonts w:ascii="Times New Roman" w:hAnsi="Times New Roman"/>
                <w:kern w:val="0"/>
                <w:sz w:val="20"/>
                <w:szCs w:val="20"/>
              </w:rPr>
              <w:t>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2" w:type="pct"/>
            <w:vAlign w:val="center"/>
          </w:tcPr>
          <w:p>
            <w:pPr>
              <w:snapToGrid w:val="0"/>
              <w:jc w:val="center"/>
              <w:rPr>
                <w:rFonts w:ascii="Times New Roman" w:hAnsi="Times New Roman"/>
                <w:kern w:val="0"/>
                <w:sz w:val="20"/>
                <w:szCs w:val="20"/>
              </w:rPr>
            </w:pPr>
            <w:r>
              <w:rPr>
                <w:rFonts w:ascii="Times New Roman" w:hAnsi="Times New Roman"/>
                <w:kern w:val="0"/>
                <w:sz w:val="20"/>
                <w:szCs w:val="20"/>
              </w:rPr>
              <w:t>7</w:t>
            </w:r>
          </w:p>
        </w:tc>
        <w:tc>
          <w:tcPr>
            <w:tcW w:w="610" w:type="pct"/>
            <w:vAlign w:val="center"/>
          </w:tcPr>
          <w:p>
            <w:pPr>
              <w:snapToGrid w:val="0"/>
              <w:rPr>
                <w:rFonts w:ascii="Times New Roman" w:hAnsi="Times New Roman"/>
                <w:kern w:val="0"/>
                <w:sz w:val="20"/>
                <w:szCs w:val="20"/>
              </w:rPr>
            </w:pPr>
            <w:r>
              <w:rPr>
                <w:rFonts w:ascii="Times New Roman" w:hAnsi="Times New Roman"/>
                <w:kern w:val="0"/>
                <w:sz w:val="20"/>
                <w:szCs w:val="20"/>
              </w:rPr>
              <w:t>事故</w:t>
            </w:r>
            <w:r>
              <w:rPr>
                <w:rFonts w:ascii="Times New Roman" w:hAnsi="Times New Roman"/>
                <w:spacing w:val="-3"/>
                <w:kern w:val="0"/>
                <w:sz w:val="20"/>
                <w:szCs w:val="20"/>
              </w:rPr>
              <w:t>排</w:t>
            </w:r>
            <w:r>
              <w:rPr>
                <w:rFonts w:ascii="Times New Roman" w:hAnsi="Times New Roman"/>
                <w:kern w:val="0"/>
                <w:sz w:val="20"/>
                <w:szCs w:val="20"/>
              </w:rPr>
              <w:t>放限制</w:t>
            </w:r>
          </w:p>
        </w:tc>
        <w:tc>
          <w:tcPr>
            <w:tcW w:w="1110" w:type="pct"/>
            <w:vAlign w:val="center"/>
          </w:tcPr>
          <w:p>
            <w:pPr>
              <w:snapToGrid w:val="0"/>
              <w:jc w:val="center"/>
              <w:rPr>
                <w:rFonts w:ascii="Times New Roman" w:hAnsi="Times New Roman"/>
                <w:kern w:val="0"/>
                <w:sz w:val="20"/>
                <w:szCs w:val="20"/>
              </w:rPr>
            </w:pPr>
            <w:r>
              <w:rPr>
                <w:rFonts w:ascii="Times New Roman" w:hAnsi="Times New Roman"/>
                <w:kern w:val="0"/>
                <w:sz w:val="20"/>
                <w:szCs w:val="20"/>
              </w:rPr>
              <w:t>特定</w:t>
            </w:r>
            <w:r>
              <w:rPr>
                <w:rFonts w:ascii="Times New Roman" w:hAnsi="Times New Roman"/>
                <w:spacing w:val="-3"/>
                <w:kern w:val="0"/>
                <w:sz w:val="20"/>
                <w:szCs w:val="20"/>
              </w:rPr>
              <w:t>物</w:t>
            </w:r>
            <w:r>
              <w:rPr>
                <w:rFonts w:ascii="Times New Roman" w:hAnsi="Times New Roman"/>
                <w:kern w:val="0"/>
                <w:sz w:val="20"/>
                <w:szCs w:val="20"/>
              </w:rPr>
              <w:t>质</w:t>
            </w:r>
          </w:p>
        </w:tc>
        <w:tc>
          <w:tcPr>
            <w:tcW w:w="816" w:type="pct"/>
            <w:vAlign w:val="center"/>
          </w:tcPr>
          <w:p>
            <w:pPr>
              <w:snapToGrid w:val="0"/>
              <w:jc w:val="center"/>
              <w:rPr>
                <w:rFonts w:ascii="Times New Roman" w:hAnsi="Times New Roman"/>
                <w:kern w:val="0"/>
                <w:sz w:val="20"/>
                <w:szCs w:val="20"/>
              </w:rPr>
            </w:pPr>
            <w:r>
              <w:rPr>
                <w:rFonts w:ascii="Times New Roman" w:hAnsi="Times New Roman"/>
                <w:kern w:val="0"/>
                <w:sz w:val="20"/>
                <w:szCs w:val="20"/>
              </w:rPr>
              <w:t>不分</w:t>
            </w:r>
            <w:r>
              <w:rPr>
                <w:rFonts w:ascii="Times New Roman" w:hAnsi="Times New Roman"/>
                <w:spacing w:val="-3"/>
                <w:kern w:val="0"/>
                <w:sz w:val="20"/>
                <w:szCs w:val="20"/>
              </w:rPr>
              <w:t>新</w:t>
            </w:r>
            <w:r>
              <w:rPr>
                <w:rFonts w:ascii="Times New Roman" w:hAnsi="Times New Roman"/>
                <w:kern w:val="0"/>
                <w:sz w:val="20"/>
                <w:szCs w:val="20"/>
              </w:rPr>
              <w:t>设或现</w:t>
            </w:r>
            <w:r>
              <w:rPr>
                <w:rFonts w:ascii="Times New Roman" w:hAnsi="Times New Roman"/>
                <w:spacing w:val="-3"/>
                <w:kern w:val="0"/>
                <w:sz w:val="20"/>
                <w:szCs w:val="20"/>
              </w:rPr>
              <w:t>有</w:t>
            </w:r>
            <w:r>
              <w:rPr>
                <w:rFonts w:ascii="Times New Roman" w:hAnsi="Times New Roman"/>
                <w:kern w:val="0"/>
                <w:sz w:val="20"/>
                <w:szCs w:val="20"/>
              </w:rPr>
              <w:t>设施</w:t>
            </w:r>
          </w:p>
        </w:tc>
        <w:tc>
          <w:tcPr>
            <w:tcW w:w="893" w:type="pct"/>
            <w:vAlign w:val="center"/>
          </w:tcPr>
          <w:p>
            <w:pPr>
              <w:snapToGrid w:val="0"/>
              <w:rPr>
                <w:rFonts w:ascii="Times New Roman" w:hAnsi="Times New Roman"/>
                <w:kern w:val="0"/>
                <w:sz w:val="20"/>
                <w:szCs w:val="20"/>
              </w:rPr>
            </w:pPr>
            <w:r>
              <w:rPr>
                <w:rFonts w:ascii="Times New Roman" w:hAnsi="Times New Roman"/>
                <w:kern w:val="0"/>
                <w:sz w:val="20"/>
                <w:szCs w:val="20"/>
              </w:rPr>
              <w:t>所有</w:t>
            </w:r>
            <w:r>
              <w:rPr>
                <w:rFonts w:ascii="Times New Roman" w:hAnsi="Times New Roman"/>
                <w:spacing w:val="-3"/>
                <w:kern w:val="0"/>
                <w:sz w:val="20"/>
                <w:szCs w:val="20"/>
              </w:rPr>
              <w:t>地</w:t>
            </w:r>
            <w:r>
              <w:rPr>
                <w:rFonts w:ascii="Times New Roman" w:hAnsi="Times New Roman"/>
                <w:kern w:val="0"/>
                <w:sz w:val="20"/>
                <w:szCs w:val="20"/>
              </w:rPr>
              <w:t>区</w:t>
            </w:r>
          </w:p>
        </w:tc>
        <w:tc>
          <w:tcPr>
            <w:tcW w:w="732" w:type="pct"/>
            <w:vAlign w:val="center"/>
          </w:tcPr>
          <w:p>
            <w:pPr>
              <w:snapToGrid w:val="0"/>
              <w:rPr>
                <w:rFonts w:ascii="Times New Roman" w:hAnsi="Times New Roman"/>
                <w:kern w:val="0"/>
                <w:sz w:val="20"/>
                <w:szCs w:val="20"/>
              </w:rPr>
            </w:pPr>
            <w:r>
              <w:rPr>
                <w:rFonts w:ascii="Times New Roman" w:hAnsi="Times New Roman"/>
                <w:kern w:val="0"/>
                <w:sz w:val="20"/>
                <w:szCs w:val="20"/>
              </w:rPr>
              <w:t>应急</w:t>
            </w:r>
            <w:r>
              <w:rPr>
                <w:rFonts w:ascii="Times New Roman" w:hAnsi="Times New Roman"/>
                <w:spacing w:val="-3"/>
                <w:kern w:val="0"/>
                <w:sz w:val="20"/>
                <w:szCs w:val="20"/>
              </w:rPr>
              <w:t>措</w:t>
            </w:r>
            <w:r>
              <w:rPr>
                <w:rFonts w:ascii="Times New Roman" w:hAnsi="Times New Roman"/>
                <w:kern w:val="0"/>
                <w:sz w:val="20"/>
                <w:szCs w:val="20"/>
              </w:rPr>
              <w:t>施</w:t>
            </w:r>
          </w:p>
        </w:tc>
        <w:tc>
          <w:tcPr>
            <w:tcW w:w="426" w:type="pct"/>
            <w:vAlign w:val="center"/>
          </w:tcPr>
          <w:p>
            <w:pPr>
              <w:snapToGrid w:val="0"/>
              <w:rPr>
                <w:rFonts w:ascii="Times New Roman" w:hAnsi="Times New Roman"/>
                <w:kern w:val="0"/>
                <w:sz w:val="20"/>
                <w:szCs w:val="20"/>
              </w:rPr>
            </w:pPr>
            <w:r>
              <w:rPr>
                <w:rFonts w:ascii="Times New Roman" w:hAnsi="Times New Roman"/>
                <w:kern w:val="0"/>
                <w:sz w:val="20"/>
                <w:szCs w:val="20"/>
              </w:rPr>
              <w:t>都道</w:t>
            </w:r>
          </w:p>
          <w:p>
            <w:pPr>
              <w:snapToGrid w:val="0"/>
              <w:rPr>
                <w:rFonts w:ascii="Times New Roman" w:hAnsi="Times New Roman"/>
                <w:kern w:val="0"/>
                <w:sz w:val="20"/>
                <w:szCs w:val="20"/>
              </w:rPr>
            </w:pPr>
            <w:r>
              <w:rPr>
                <w:rFonts w:ascii="Times New Roman" w:hAnsi="Times New Roman"/>
                <w:kern w:val="0"/>
                <w:sz w:val="20"/>
                <w:szCs w:val="20"/>
              </w:rPr>
              <w:t>府县</w:t>
            </w:r>
          </w:p>
        </w:tc>
      </w:tr>
    </w:tbl>
    <w:p>
      <w:pPr>
        <w:spacing w:before="1" w:line="100" w:lineRule="exact"/>
        <w:rPr>
          <w:rFonts w:ascii="Times New Roman" w:hAnsi="Times New Roman"/>
          <w:sz w:val="10"/>
          <w:szCs w:val="10"/>
        </w:rPr>
      </w:pPr>
    </w:p>
    <w:p>
      <w:pPr>
        <w:pStyle w:val="2"/>
        <w:numPr>
          <w:ilvl w:val="0"/>
          <w:numId w:val="1"/>
        </w:numPr>
        <w:ind w:left="0" w:firstLine="0"/>
        <w:jc w:val="center"/>
        <w:rPr>
          <w:rFonts w:ascii="Times New Roman" w:hAnsi="Times New Roman"/>
        </w:rPr>
      </w:pPr>
      <w:bookmarkStart w:id="138" w:name="_Toc75787645"/>
      <w:r>
        <w:rPr>
          <w:rFonts w:ascii="Times New Roman" w:hAnsi="Times New Roman"/>
        </w:rPr>
        <w:t>标准制定的原则与思路</w:t>
      </w:r>
      <w:bookmarkEnd w:id="138"/>
    </w:p>
    <w:p>
      <w:pPr>
        <w:pStyle w:val="3"/>
        <w:ind w:left="0" w:firstLine="0"/>
      </w:pPr>
      <w:bookmarkStart w:id="139" w:name="_Toc75787646"/>
      <w:r>
        <w:t>本标准制定的原则</w:t>
      </w:r>
      <w:bookmarkEnd w:id="139"/>
    </w:p>
    <w:p>
      <w:pPr>
        <w:pStyle w:val="68"/>
        <w:rPr>
          <w:rFonts w:cs="Times New Roman"/>
        </w:rPr>
      </w:pPr>
      <w:r>
        <w:rPr>
          <w:rFonts w:cs="Times New Roman"/>
        </w:rPr>
        <w:t>（1）以科学发展观为指导，以实现经济、社会的可持续发展为目标，以国家环境保护相关法律、法规、规章、政策和规划为根据，通过制定和实施标准，促进环境效益、经济效益和社会效益的统一。</w:t>
      </w:r>
    </w:p>
    <w:p>
      <w:pPr>
        <w:pStyle w:val="68"/>
        <w:rPr>
          <w:rFonts w:cs="Times New Roman"/>
        </w:rPr>
      </w:pPr>
      <w:r>
        <w:rPr>
          <w:rFonts w:cs="Times New Roman"/>
        </w:rPr>
        <w:t>（2）充分考虑我省复合型空气污染特征；综合考虑有利于保护生活环境、生态环境和人体健康。坚持环境优先的原则，结合不同类型工业使用的溶剂的生态环境危害性、生产加工过程中的污染物排放特点、污染物理化特征及行业废气治理技术进步可达性，制定标准。</w:t>
      </w:r>
    </w:p>
    <w:p>
      <w:pPr>
        <w:pStyle w:val="68"/>
        <w:rPr>
          <w:rFonts w:cs="Times New Roman"/>
        </w:rPr>
      </w:pPr>
      <w:r>
        <w:rPr>
          <w:rFonts w:cs="Times New Roman"/>
        </w:rPr>
        <w:t>（3）与我国现行环境法律、法规、政策、标准协调衔接，体现综合排放标准在环境管理中的基础性和全面性作用，有利于形成完整的、协调的环境保护标准体系。</w:t>
      </w:r>
    </w:p>
    <w:p>
      <w:pPr>
        <w:pStyle w:val="68"/>
        <w:rPr>
          <w:rFonts w:cs="Times New Roman"/>
        </w:rPr>
      </w:pPr>
      <w:r>
        <w:rPr>
          <w:rFonts w:cs="Times New Roman"/>
        </w:rPr>
        <w:t>（4）坚持以防范环境风险，改善环境质量，保护人体健康为目的，以国内外先进控制技术为依据，在统一严格控制的同时，体现一定的灵活性，促进生产工艺和污染防治技术进步和产业结构优化调整。经济、技术发展水平和相关方的承受能力相适应，具有科学性和可实施性，促进环境质量改善。</w:t>
      </w:r>
    </w:p>
    <w:p>
      <w:pPr>
        <w:pStyle w:val="68"/>
        <w:rPr>
          <w:rFonts w:cs="Times New Roman"/>
        </w:rPr>
      </w:pPr>
      <w:r>
        <w:rPr>
          <w:rFonts w:cs="Times New Roman"/>
        </w:rPr>
        <w:t>（5）根据本省实际情况，可参照国内外相关标准、技术法规。</w:t>
      </w:r>
    </w:p>
    <w:p>
      <w:pPr>
        <w:pStyle w:val="68"/>
        <w:rPr>
          <w:rFonts w:cs="Times New Roman"/>
        </w:rPr>
      </w:pPr>
      <w:r>
        <w:rPr>
          <w:rFonts w:cs="Times New Roman"/>
        </w:rPr>
        <w:t>（6）充分考虑现有企业达标过程，制定合理过渡期，新老污染源执行相同标准。</w:t>
      </w:r>
    </w:p>
    <w:p>
      <w:pPr>
        <w:pStyle w:val="68"/>
        <w:rPr>
          <w:rFonts w:cs="Times New Roman"/>
        </w:rPr>
      </w:pPr>
      <w:r>
        <w:rPr>
          <w:rFonts w:cs="Times New Roman"/>
        </w:rPr>
        <w:t>（7）促进清洁生产，体现污染的过程控制；技术上可行、经济上合理、具有可操作性。</w:t>
      </w:r>
    </w:p>
    <w:p>
      <w:pPr>
        <w:pStyle w:val="68"/>
        <w:rPr>
          <w:rFonts w:cs="Times New Roman"/>
          <w:color w:val="FF0000"/>
        </w:rPr>
      </w:pPr>
      <w:r>
        <w:rPr>
          <w:rFonts w:cs="Times New Roman"/>
        </w:rPr>
        <w:t>（8）制定过程和技术内容公开、公平、公正。</w:t>
      </w:r>
    </w:p>
    <w:p>
      <w:pPr>
        <w:pStyle w:val="3"/>
        <w:ind w:left="0" w:firstLine="0"/>
      </w:pPr>
      <w:bookmarkStart w:id="140" w:name="_Toc75787647"/>
      <w:r>
        <w:t>标准的定位</w:t>
      </w:r>
      <w:bookmarkEnd w:id="140"/>
    </w:p>
    <w:p>
      <w:pPr>
        <w:pStyle w:val="68"/>
        <w:rPr>
          <w:rFonts w:cs="Times New Roman"/>
        </w:rPr>
      </w:pPr>
      <w:r>
        <w:rPr>
          <w:rFonts w:cs="Times New Roman"/>
        </w:rPr>
        <w:t>《固定污染源挥发性有机物综合排放标准》</w:t>
      </w:r>
      <w:r>
        <w:rPr>
          <w:rFonts w:hint="eastAsia" w:cs="Times New Roman"/>
        </w:rPr>
        <w:t>规定了</w:t>
      </w:r>
      <w:r>
        <w:rPr>
          <w:rFonts w:cs="Times New Roman"/>
        </w:rPr>
        <w:t>广东省</w:t>
      </w:r>
      <w:r>
        <w:rPr>
          <w:rFonts w:hint="eastAsia" w:cs="Times New Roman"/>
        </w:rPr>
        <w:t>工业</w:t>
      </w:r>
      <w:r>
        <w:rPr>
          <w:rFonts w:cs="Times New Roman"/>
        </w:rPr>
        <w:t>固定污染源挥发性有机物控制的基本要求。国家或广东省已发布针对行业、通用工艺或设备挥发性有机物排放标准的，应执行相应国家或广东省排放标准的规定；其他污染源执行本标准。本标准实施后，国家或广东省另行发布行业、通用工艺或设备挥发性有机物排放标准的</w:t>
      </w:r>
      <w:r>
        <w:rPr>
          <w:rFonts w:hint="eastAsia" w:cs="Times New Roman"/>
        </w:rPr>
        <w:t>，</w:t>
      </w:r>
      <w:r>
        <w:rPr>
          <w:rFonts w:cs="Times New Roman"/>
        </w:rPr>
        <w:t>按其适用范围执行，不再执行本标准。环境影响评价文件或排污许可证要求严于本标准时，按照批复的环境影响评价文件或排污许可证执行。</w:t>
      </w:r>
    </w:p>
    <w:p>
      <w:pPr>
        <w:pStyle w:val="3"/>
        <w:ind w:left="0" w:firstLine="0"/>
      </w:pPr>
      <w:bookmarkStart w:id="141" w:name="_Toc75787648"/>
      <w:r>
        <w:t>制定标准的总体思路</w:t>
      </w:r>
      <w:bookmarkEnd w:id="141"/>
    </w:p>
    <w:p>
      <w:pPr>
        <w:pStyle w:val="68"/>
        <w:rPr>
          <w:rFonts w:cs="Times New Roman"/>
        </w:rPr>
      </w:pPr>
      <w:r>
        <w:rPr>
          <w:rFonts w:cs="Times New Roman"/>
        </w:rPr>
        <w:t>（1）明确</w:t>
      </w:r>
      <w:r>
        <w:rPr>
          <w:rFonts w:hint="eastAsia" w:cs="Times New Roman"/>
        </w:rPr>
        <w:t>“标</w:t>
      </w:r>
      <w:r>
        <w:rPr>
          <w:rFonts w:cs="Times New Roman"/>
        </w:rPr>
        <w:t>准</w:t>
      </w:r>
      <w:r>
        <w:rPr>
          <w:rFonts w:hint="eastAsia" w:cs="Times New Roman"/>
        </w:rPr>
        <w:t>”</w:t>
      </w:r>
      <w:r>
        <w:rPr>
          <w:rFonts w:cs="Times New Roman"/>
        </w:rPr>
        <w:t>的定位和适用范围。</w:t>
      </w:r>
    </w:p>
    <w:p>
      <w:pPr>
        <w:pStyle w:val="68"/>
        <w:rPr>
          <w:rFonts w:cs="Times New Roman"/>
        </w:rPr>
      </w:pPr>
      <w:r>
        <w:rPr>
          <w:rFonts w:cs="Times New Roman"/>
        </w:rPr>
        <w:t>（2）分时段实施。按工业企业或生产设施的建立时间，分两个时段执行本标准。现有企业（本标准实施之日前已建成投产或环境影响评价文件已通过审批或备案的工业企业或生产设施）经过一段时间的过渡期后执行本标准。标准实施之日起新建企业（自本标准实施之日起环境影响评价文件通过审批或备案的新建、改建和扩建的工业建设项目）即执行本标准。</w:t>
      </w:r>
    </w:p>
    <w:p>
      <w:pPr>
        <w:pStyle w:val="68"/>
        <w:rPr>
          <w:rFonts w:cs="Times New Roman"/>
        </w:rPr>
      </w:pPr>
      <w:r>
        <w:rPr>
          <w:rFonts w:cs="Times New Roman"/>
        </w:rPr>
        <w:t>（3）通过有组织、无组织排放控制指标及控制性措施要求，开展全过程控制，推动企业实现达标排放。</w:t>
      </w:r>
    </w:p>
    <w:p>
      <w:pPr>
        <w:pStyle w:val="68"/>
        <w:rPr>
          <w:rFonts w:cs="Times New Roman"/>
        </w:rPr>
      </w:pPr>
      <w:r>
        <w:rPr>
          <w:rFonts w:hint="eastAsia" w:cs="Times New Roman"/>
        </w:rPr>
        <w:t>（4）</w:t>
      </w:r>
      <w:r>
        <w:rPr>
          <w:rFonts w:cs="Times New Roman"/>
        </w:rPr>
        <w:t>根据环境保护工作的要求，在国土开发密度已经较高、环境承载能力开始减弱，空气环境敏感的区域，应严格控制企业的污染物排放行为，但是考虑到国家针对重点行业制定特别排放限值，重点行业已经颁布或者正在制定相应的排放标准，本标准重点控制重点行业之外的一般企业，因此本标准不考虑制定特别排放限值，但标准限值确定时，在考虑技术经济可行性的前提下，按照从严的原则制定。</w:t>
      </w:r>
    </w:p>
    <w:p>
      <w:pPr>
        <w:pStyle w:val="2"/>
        <w:numPr>
          <w:ilvl w:val="0"/>
          <w:numId w:val="1"/>
        </w:numPr>
        <w:ind w:left="0" w:firstLine="0"/>
        <w:jc w:val="center"/>
        <w:rPr>
          <w:rFonts w:ascii="Times New Roman" w:hAnsi="Times New Roman"/>
        </w:rPr>
      </w:pPr>
      <w:bookmarkStart w:id="142" w:name="_Toc75787649"/>
      <w:r>
        <w:rPr>
          <w:rFonts w:ascii="Times New Roman" w:hAnsi="Times New Roman"/>
        </w:rPr>
        <w:t>标准的主要技术内容</w:t>
      </w:r>
      <w:bookmarkEnd w:id="142"/>
    </w:p>
    <w:p>
      <w:pPr>
        <w:pStyle w:val="3"/>
        <w:ind w:left="0" w:firstLine="0"/>
      </w:pPr>
      <w:bookmarkStart w:id="143" w:name="_Toc75787650"/>
      <w:r>
        <w:t>标准内容设置</w:t>
      </w:r>
      <w:bookmarkEnd w:id="143"/>
    </w:p>
    <w:p>
      <w:pPr>
        <w:pStyle w:val="4"/>
        <w:ind w:left="0" w:firstLine="0"/>
      </w:pPr>
      <w:r>
        <w:t>有组织排放</w:t>
      </w:r>
    </w:p>
    <w:p>
      <w:pPr>
        <w:pStyle w:val="68"/>
        <w:rPr>
          <w:rFonts w:cs="Times New Roman"/>
        </w:rPr>
      </w:pPr>
      <w:r>
        <w:rPr>
          <w:rFonts w:cs="Times New Roman"/>
        </w:rPr>
        <w:t>根据现场企业调研，目前的企业</w:t>
      </w:r>
      <w:r>
        <w:rPr>
          <w:rFonts w:hint="eastAsia" w:cs="Times New Roman"/>
        </w:rPr>
        <w:t>有组织排放主要</w:t>
      </w:r>
      <w:r>
        <w:rPr>
          <w:rFonts w:cs="Times New Roman"/>
        </w:rPr>
        <w:t>有</w:t>
      </w:r>
      <w:r>
        <w:rPr>
          <w:rFonts w:hint="eastAsia" w:cs="Times New Roman"/>
        </w:rPr>
        <w:t>2种废气排放</w:t>
      </w:r>
      <w:r>
        <w:rPr>
          <w:rFonts w:cs="Times New Roman"/>
        </w:rPr>
        <w:t>方式：一是全部环节收集混合后汇入集中的排气控制设施，最后通过一个排气筒排放；二是分别收集处理，按照车间或者生产环节分别进行处理，处理后分别排放。第二种企业的气流组织方式也多种多样，有的企业是按照楼层进行收集，有的则是按照操作单元进行收集，还有的企业则是按照垂直方向分区间进行收集。</w:t>
      </w:r>
    </w:p>
    <w:p>
      <w:pPr>
        <w:pStyle w:val="68"/>
        <w:rPr>
          <w:rFonts w:cs="Times New Roman"/>
        </w:rPr>
      </w:pPr>
      <w:r>
        <w:rPr>
          <w:rFonts w:cs="Times New Roman"/>
        </w:rPr>
        <w:t>当前国际上有组织标准体系主要有以下几种类型</w:t>
      </w:r>
      <w:r>
        <w:rPr>
          <w:rFonts w:hint="eastAsia" w:cs="Times New Roman"/>
        </w:rPr>
        <w:t>：</w:t>
      </w:r>
      <w:r>
        <w:rPr>
          <w:rFonts w:cs="Times New Roman"/>
        </w:rPr>
        <w:t>一是规定超过排放速率临界值，则需要达到的浓度限值；二是仅仅</w:t>
      </w:r>
      <w:r>
        <w:rPr>
          <w:rFonts w:hint="eastAsia" w:cs="Times New Roman"/>
        </w:rPr>
        <w:t>固定</w:t>
      </w:r>
      <w:r>
        <w:rPr>
          <w:rFonts w:cs="Times New Roman"/>
        </w:rPr>
        <w:t>排放浓度限值；三是HAPs超过一定量后去除效率达到</w:t>
      </w:r>
      <w:r>
        <w:rPr>
          <w:rFonts w:hint="eastAsia" w:cs="Times New Roman"/>
        </w:rPr>
        <w:t>一定百分比</w:t>
      </w:r>
      <w:r>
        <w:rPr>
          <w:rFonts w:cs="Times New Roman"/>
        </w:rPr>
        <w:t>以上，或者TOC、卤素等浓度达到一定限值；四是VOCs净化效率达到</w:t>
      </w:r>
      <w:r>
        <w:rPr>
          <w:rFonts w:hint="eastAsia" w:cs="Times New Roman"/>
        </w:rPr>
        <w:t>一定百分比</w:t>
      </w:r>
      <w:r>
        <w:rPr>
          <w:rFonts w:cs="Times New Roman"/>
        </w:rPr>
        <w:t>或者排放浓度达到一定限值等。表7-1所示为不同标准控制形式的比较。通过浓度控制可以促进生产工艺更新和污染治理设施改进，减少排入大气的污染物数量，但不能防止稀释排放；通过基准排气量控制不足以控制污染物排放浓度；通过单位时间和单位产品排放量进行控制可以促进生产管理优化、工艺更新和污染治理设施改进，减少排放量，但是有一定的测量难度。</w:t>
      </w:r>
    </w:p>
    <w:p>
      <w:pPr>
        <w:pStyle w:val="13"/>
        <w:spacing w:before="156" w:beforeLines="50" w:after="156" w:afterLines="50"/>
      </w:pPr>
      <w:r>
        <w:t>表7-1  不同标准控制形式的比较</w:t>
      </w:r>
    </w:p>
    <w:tbl>
      <w:tblPr>
        <w:tblStyle w:val="121"/>
        <w:tblW w:w="5000" w:type="pct"/>
        <w:tblInd w:w="0" w:type="dxa"/>
        <w:tblLayout w:type="autofit"/>
        <w:tblCellMar>
          <w:top w:w="0" w:type="dxa"/>
          <w:left w:w="0" w:type="dxa"/>
          <w:bottom w:w="0" w:type="dxa"/>
          <w:right w:w="0" w:type="dxa"/>
        </w:tblCellMar>
      </w:tblPr>
      <w:tblGrid>
        <w:gridCol w:w="609"/>
        <w:gridCol w:w="845"/>
        <w:gridCol w:w="1520"/>
        <w:gridCol w:w="2365"/>
        <w:gridCol w:w="1354"/>
        <w:gridCol w:w="1623"/>
      </w:tblGrid>
      <w:tr>
        <w:tblPrEx>
          <w:tblCellMar>
            <w:top w:w="0" w:type="dxa"/>
            <w:left w:w="0" w:type="dxa"/>
            <w:bottom w:w="0" w:type="dxa"/>
            <w:right w:w="0" w:type="dxa"/>
          </w:tblCellMar>
        </w:tblPrEx>
        <w:trPr>
          <w:trHeight w:val="624" w:hRule="exact"/>
        </w:trPr>
        <w:tc>
          <w:tcPr>
            <w:tcW w:w="36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b/>
                <w:bCs/>
                <w:lang w:eastAsia="en-US"/>
              </w:rPr>
            </w:pPr>
            <w:r>
              <w:rPr>
                <w:rFonts w:ascii="Times New Roman" w:hAnsi="Times New Roman"/>
                <w:b/>
                <w:bCs/>
                <w:lang w:eastAsia="en-US"/>
              </w:rPr>
              <w:t>序号</w:t>
            </w:r>
          </w:p>
        </w:tc>
        <w:tc>
          <w:tcPr>
            <w:tcW w:w="508"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b/>
                <w:bCs/>
                <w:lang w:eastAsia="en-US"/>
              </w:rPr>
            </w:pPr>
            <w:r>
              <w:rPr>
                <w:rFonts w:ascii="Times New Roman" w:hAnsi="Times New Roman"/>
                <w:b/>
                <w:bCs/>
                <w:lang w:eastAsia="en-US"/>
              </w:rPr>
              <w:t>指标</w:t>
            </w:r>
          </w:p>
        </w:tc>
        <w:tc>
          <w:tcPr>
            <w:tcW w:w="91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b/>
                <w:bCs/>
                <w:lang w:eastAsia="en-US"/>
              </w:rPr>
            </w:pPr>
            <w:r>
              <w:rPr>
                <w:rFonts w:ascii="Times New Roman" w:hAnsi="Times New Roman"/>
                <w:b/>
                <w:bCs/>
                <w:lang w:eastAsia="en-US"/>
              </w:rPr>
              <w:t>相关关系</w:t>
            </w:r>
          </w:p>
        </w:tc>
        <w:tc>
          <w:tcPr>
            <w:tcW w:w="1422"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b/>
                <w:bCs/>
                <w:lang w:eastAsia="en-US"/>
              </w:rPr>
            </w:pPr>
            <w:r>
              <w:rPr>
                <w:rFonts w:ascii="Times New Roman" w:hAnsi="Times New Roman"/>
                <w:b/>
                <w:bCs/>
                <w:lang w:eastAsia="en-US"/>
              </w:rPr>
              <w:t>优点</w:t>
            </w:r>
          </w:p>
        </w:tc>
        <w:tc>
          <w:tcPr>
            <w:tcW w:w="81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b/>
                <w:bCs/>
                <w:lang w:eastAsia="en-US"/>
              </w:rPr>
            </w:pPr>
            <w:r>
              <w:rPr>
                <w:rFonts w:ascii="Times New Roman" w:hAnsi="Times New Roman"/>
                <w:b/>
                <w:bCs/>
                <w:lang w:eastAsia="en-US"/>
              </w:rPr>
              <w:t>缺点</w:t>
            </w:r>
          </w:p>
        </w:tc>
        <w:tc>
          <w:tcPr>
            <w:tcW w:w="97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b/>
                <w:bCs/>
                <w:lang w:eastAsia="en-US"/>
              </w:rPr>
            </w:pPr>
            <w:r>
              <w:rPr>
                <w:rFonts w:ascii="Times New Roman" w:hAnsi="Times New Roman"/>
                <w:b/>
                <w:bCs/>
                <w:lang w:eastAsia="en-US"/>
              </w:rPr>
              <w:t>适用条件</w:t>
            </w:r>
          </w:p>
        </w:tc>
      </w:tr>
      <w:tr>
        <w:tblPrEx>
          <w:tblCellMar>
            <w:top w:w="0" w:type="dxa"/>
            <w:left w:w="0" w:type="dxa"/>
            <w:bottom w:w="0" w:type="dxa"/>
            <w:right w:w="0" w:type="dxa"/>
          </w:tblCellMar>
        </w:tblPrEx>
        <w:trPr>
          <w:trHeight w:val="1373" w:hRule="exact"/>
        </w:trPr>
        <w:tc>
          <w:tcPr>
            <w:tcW w:w="36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 w:val="18"/>
                <w:szCs w:val="18"/>
                <w:lang w:eastAsia="en-US"/>
              </w:rPr>
            </w:pPr>
            <w:r>
              <w:rPr>
                <w:rFonts w:ascii="Times New Roman" w:hAnsi="Times New Roman"/>
                <w:sz w:val="18"/>
                <w:szCs w:val="18"/>
                <w:lang w:eastAsia="en-US"/>
              </w:rPr>
              <w:t>1</w:t>
            </w:r>
          </w:p>
        </w:tc>
        <w:tc>
          <w:tcPr>
            <w:tcW w:w="508"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 w:val="18"/>
                <w:szCs w:val="18"/>
                <w:lang w:eastAsia="en-US"/>
              </w:rPr>
            </w:pPr>
            <w:r>
              <w:rPr>
                <w:rFonts w:ascii="Times New Roman" w:hAnsi="Times New Roman"/>
                <w:sz w:val="18"/>
                <w:szCs w:val="18"/>
                <w:lang w:eastAsia="en-US"/>
              </w:rPr>
              <w:t>浓度</w:t>
            </w:r>
          </w:p>
        </w:tc>
        <w:tc>
          <w:tcPr>
            <w:tcW w:w="914"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sz w:val="18"/>
                <w:szCs w:val="18"/>
                <w:lang w:eastAsia="zh-CN"/>
              </w:rPr>
            </w:pPr>
            <w:r>
              <w:rPr>
                <w:rFonts w:ascii="Times New Roman" w:hAnsi="Times New Roman"/>
                <w:sz w:val="18"/>
                <w:szCs w:val="18"/>
                <w:lang w:eastAsia="zh-CN"/>
              </w:rPr>
              <w:t>取决于生产工艺过程和污染治理措施。</w:t>
            </w:r>
          </w:p>
        </w:tc>
        <w:tc>
          <w:tcPr>
            <w:tcW w:w="142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sz w:val="18"/>
                <w:szCs w:val="18"/>
                <w:lang w:eastAsia="zh-CN"/>
              </w:rPr>
            </w:pPr>
            <w:r>
              <w:rPr>
                <w:rFonts w:ascii="Times New Roman" w:hAnsi="Times New Roman"/>
                <w:sz w:val="18"/>
                <w:szCs w:val="18"/>
                <w:lang w:eastAsia="zh-CN"/>
              </w:rPr>
              <w:t>可以促进生产工艺更新和污染治理设施改进，减少排入大气污染物的数量。</w:t>
            </w:r>
          </w:p>
        </w:tc>
        <w:tc>
          <w:tcPr>
            <w:tcW w:w="814"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sz w:val="18"/>
                <w:szCs w:val="18"/>
                <w:lang w:eastAsia="zh-CN"/>
              </w:rPr>
            </w:pPr>
            <w:r>
              <w:rPr>
                <w:rFonts w:ascii="Times New Roman" w:hAnsi="Times New Roman"/>
                <w:sz w:val="18"/>
                <w:szCs w:val="18"/>
                <w:lang w:eastAsia="zh-CN"/>
              </w:rPr>
              <w:t>单纯控制浓度，不足以保证排放总量，不能防止释</w:t>
            </w:r>
          </w:p>
        </w:tc>
        <w:tc>
          <w:tcPr>
            <w:tcW w:w="976"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sz w:val="18"/>
                <w:szCs w:val="18"/>
                <w:lang w:eastAsia="zh-CN"/>
              </w:rPr>
            </w:pPr>
            <w:r>
              <w:rPr>
                <w:rFonts w:ascii="Times New Roman" w:hAnsi="Times New Roman"/>
                <w:sz w:val="18"/>
                <w:szCs w:val="18"/>
                <w:lang w:eastAsia="zh-CN"/>
              </w:rPr>
              <w:t>适合一般排放标准，但应配合基准排气量。</w:t>
            </w:r>
          </w:p>
        </w:tc>
      </w:tr>
      <w:tr>
        <w:tblPrEx>
          <w:tblCellMar>
            <w:top w:w="0" w:type="dxa"/>
            <w:left w:w="0" w:type="dxa"/>
            <w:bottom w:w="0" w:type="dxa"/>
            <w:right w:w="0" w:type="dxa"/>
          </w:tblCellMar>
        </w:tblPrEx>
        <w:trPr>
          <w:trHeight w:val="1124" w:hRule="exact"/>
        </w:trPr>
        <w:tc>
          <w:tcPr>
            <w:tcW w:w="36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 w:val="18"/>
                <w:szCs w:val="18"/>
                <w:lang w:eastAsia="en-US"/>
              </w:rPr>
            </w:pPr>
            <w:r>
              <w:rPr>
                <w:rFonts w:ascii="Times New Roman" w:hAnsi="Times New Roman"/>
                <w:sz w:val="18"/>
                <w:szCs w:val="18"/>
                <w:lang w:eastAsia="en-US"/>
              </w:rPr>
              <w:t>2</w:t>
            </w:r>
          </w:p>
        </w:tc>
        <w:tc>
          <w:tcPr>
            <w:tcW w:w="508"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 w:val="18"/>
                <w:szCs w:val="18"/>
                <w:lang w:eastAsia="en-US"/>
              </w:rPr>
            </w:pPr>
            <w:r>
              <w:rPr>
                <w:rFonts w:ascii="Times New Roman" w:hAnsi="Times New Roman"/>
                <w:sz w:val="18"/>
                <w:szCs w:val="18"/>
                <w:lang w:eastAsia="en-US"/>
              </w:rPr>
              <w:t>基准排气量</w:t>
            </w:r>
          </w:p>
        </w:tc>
        <w:tc>
          <w:tcPr>
            <w:tcW w:w="914"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sz w:val="18"/>
                <w:szCs w:val="18"/>
                <w:lang w:eastAsia="zh-CN"/>
              </w:rPr>
            </w:pPr>
            <w:r>
              <w:rPr>
                <w:rFonts w:ascii="Times New Roman" w:hAnsi="Times New Roman"/>
                <w:sz w:val="18"/>
                <w:szCs w:val="18"/>
                <w:lang w:eastAsia="zh-CN"/>
              </w:rPr>
              <w:t>取决于生产规模、工艺过程和污染治理措施。</w:t>
            </w:r>
          </w:p>
        </w:tc>
        <w:tc>
          <w:tcPr>
            <w:tcW w:w="142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sz w:val="18"/>
                <w:szCs w:val="18"/>
                <w:lang w:eastAsia="zh-CN"/>
              </w:rPr>
            </w:pPr>
            <w:r>
              <w:rPr>
                <w:rFonts w:ascii="Times New Roman" w:hAnsi="Times New Roman"/>
                <w:sz w:val="18"/>
                <w:szCs w:val="18"/>
                <w:lang w:eastAsia="zh-CN"/>
              </w:rPr>
              <w:t>可以促进生产工艺更新和污染治理设施改进，减少排入大气污染物的数量。</w:t>
            </w:r>
          </w:p>
        </w:tc>
        <w:tc>
          <w:tcPr>
            <w:tcW w:w="814"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sz w:val="18"/>
                <w:szCs w:val="18"/>
                <w:lang w:eastAsia="zh-CN"/>
              </w:rPr>
            </w:pPr>
            <w:r>
              <w:rPr>
                <w:rFonts w:ascii="Times New Roman" w:hAnsi="Times New Roman"/>
                <w:sz w:val="18"/>
                <w:szCs w:val="18"/>
                <w:lang w:eastAsia="zh-CN"/>
              </w:rPr>
              <w:t>不足以控制污染物排放浓度。</w:t>
            </w:r>
          </w:p>
        </w:tc>
        <w:tc>
          <w:tcPr>
            <w:tcW w:w="976"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sz w:val="18"/>
                <w:szCs w:val="18"/>
                <w:lang w:eastAsia="zh-CN"/>
              </w:rPr>
            </w:pPr>
            <w:r>
              <w:rPr>
                <w:rFonts w:ascii="Times New Roman" w:hAnsi="Times New Roman"/>
                <w:sz w:val="18"/>
                <w:szCs w:val="18"/>
                <w:lang w:eastAsia="zh-CN"/>
              </w:rPr>
              <w:t>排气量相对稳定，可以核算出来；不 宜单独使用。</w:t>
            </w:r>
          </w:p>
        </w:tc>
      </w:tr>
      <w:tr>
        <w:tblPrEx>
          <w:tblCellMar>
            <w:top w:w="0" w:type="dxa"/>
            <w:left w:w="0" w:type="dxa"/>
            <w:bottom w:w="0" w:type="dxa"/>
            <w:right w:w="0" w:type="dxa"/>
          </w:tblCellMar>
        </w:tblPrEx>
        <w:trPr>
          <w:trHeight w:val="951" w:hRule="exact"/>
        </w:trPr>
        <w:tc>
          <w:tcPr>
            <w:tcW w:w="36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 w:val="18"/>
                <w:szCs w:val="18"/>
                <w:lang w:eastAsia="en-US"/>
              </w:rPr>
            </w:pPr>
            <w:r>
              <w:rPr>
                <w:rFonts w:ascii="Times New Roman" w:hAnsi="Times New Roman"/>
                <w:sz w:val="18"/>
                <w:szCs w:val="18"/>
                <w:lang w:eastAsia="en-US"/>
              </w:rPr>
              <w:t>3</w:t>
            </w:r>
          </w:p>
        </w:tc>
        <w:tc>
          <w:tcPr>
            <w:tcW w:w="508"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 w:val="18"/>
                <w:szCs w:val="18"/>
                <w:lang w:eastAsia="en-US"/>
              </w:rPr>
            </w:pPr>
            <w:r>
              <w:rPr>
                <w:rFonts w:ascii="Times New Roman" w:hAnsi="Times New Roman"/>
                <w:sz w:val="18"/>
                <w:szCs w:val="18"/>
                <w:lang w:eastAsia="en-US"/>
              </w:rPr>
              <w:t>单位时间排放量</w:t>
            </w:r>
          </w:p>
        </w:tc>
        <w:tc>
          <w:tcPr>
            <w:tcW w:w="914"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sz w:val="18"/>
                <w:szCs w:val="18"/>
                <w:lang w:eastAsia="zh-CN"/>
              </w:rPr>
            </w:pPr>
            <w:r>
              <w:rPr>
                <w:rFonts w:ascii="Times New Roman" w:hAnsi="Times New Roman"/>
                <w:sz w:val="18"/>
                <w:szCs w:val="18"/>
                <w:lang w:eastAsia="zh-CN"/>
              </w:rPr>
              <w:t>不仅与浓度有关，而且与排气量有关。</w:t>
            </w:r>
          </w:p>
        </w:tc>
        <w:tc>
          <w:tcPr>
            <w:tcW w:w="142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sz w:val="18"/>
                <w:szCs w:val="18"/>
                <w:lang w:eastAsia="zh-CN"/>
              </w:rPr>
            </w:pPr>
            <w:r>
              <w:rPr>
                <w:rFonts w:ascii="Times New Roman" w:hAnsi="Times New Roman"/>
                <w:sz w:val="18"/>
                <w:szCs w:val="18"/>
                <w:lang w:eastAsia="zh-CN"/>
              </w:rPr>
              <w:t>可以促使污染物以一定高度排放，防止稀释扩散。</w:t>
            </w:r>
          </w:p>
        </w:tc>
        <w:tc>
          <w:tcPr>
            <w:tcW w:w="814"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sz w:val="18"/>
                <w:szCs w:val="18"/>
                <w:lang w:eastAsia="en-US"/>
              </w:rPr>
            </w:pPr>
            <w:r>
              <w:rPr>
                <w:rFonts w:ascii="Times New Roman" w:hAnsi="Times New Roman"/>
                <w:sz w:val="18"/>
                <w:szCs w:val="18"/>
                <w:lang w:eastAsia="en-US"/>
              </w:rPr>
              <w:t>测量难度较大。</w:t>
            </w:r>
          </w:p>
        </w:tc>
        <w:tc>
          <w:tcPr>
            <w:tcW w:w="976"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sz w:val="18"/>
                <w:szCs w:val="18"/>
                <w:lang w:eastAsia="zh-CN"/>
              </w:rPr>
            </w:pPr>
            <w:r>
              <w:rPr>
                <w:rFonts w:ascii="Times New Roman" w:hAnsi="Times New Roman"/>
                <w:sz w:val="18"/>
                <w:szCs w:val="18"/>
                <w:lang w:eastAsia="zh-CN"/>
              </w:rPr>
              <w:t>与质量或排放总量控制要求挂钩。</w:t>
            </w:r>
          </w:p>
        </w:tc>
      </w:tr>
      <w:tr>
        <w:tblPrEx>
          <w:tblCellMar>
            <w:top w:w="0" w:type="dxa"/>
            <w:left w:w="0" w:type="dxa"/>
            <w:bottom w:w="0" w:type="dxa"/>
            <w:right w:w="0" w:type="dxa"/>
          </w:tblCellMar>
        </w:tblPrEx>
        <w:trPr>
          <w:trHeight w:val="1030" w:hRule="exact"/>
        </w:trPr>
        <w:tc>
          <w:tcPr>
            <w:tcW w:w="36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 w:val="18"/>
                <w:szCs w:val="18"/>
                <w:lang w:eastAsia="en-US"/>
              </w:rPr>
            </w:pPr>
            <w:r>
              <w:rPr>
                <w:rFonts w:ascii="Times New Roman" w:hAnsi="Times New Roman"/>
                <w:sz w:val="18"/>
                <w:szCs w:val="18"/>
                <w:lang w:eastAsia="en-US"/>
              </w:rPr>
              <w:t>4</w:t>
            </w:r>
          </w:p>
        </w:tc>
        <w:tc>
          <w:tcPr>
            <w:tcW w:w="508"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 w:val="18"/>
                <w:szCs w:val="18"/>
                <w:lang w:eastAsia="en-US"/>
              </w:rPr>
            </w:pPr>
            <w:r>
              <w:rPr>
                <w:rFonts w:ascii="Times New Roman" w:hAnsi="Times New Roman"/>
                <w:sz w:val="18"/>
                <w:szCs w:val="18"/>
                <w:lang w:eastAsia="en-US"/>
              </w:rPr>
              <w:t>单位产品排放量</w:t>
            </w:r>
          </w:p>
        </w:tc>
        <w:tc>
          <w:tcPr>
            <w:tcW w:w="914"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sz w:val="18"/>
                <w:szCs w:val="18"/>
                <w:lang w:eastAsia="zh-CN"/>
              </w:rPr>
            </w:pPr>
            <w:r>
              <w:rPr>
                <w:rFonts w:ascii="Times New Roman" w:hAnsi="Times New Roman"/>
                <w:sz w:val="18"/>
                <w:szCs w:val="18"/>
                <w:lang w:eastAsia="zh-CN"/>
              </w:rPr>
              <w:t>取决于原料、工艺过程、产品和污染治理措施。</w:t>
            </w:r>
          </w:p>
        </w:tc>
        <w:tc>
          <w:tcPr>
            <w:tcW w:w="142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sz w:val="18"/>
                <w:szCs w:val="18"/>
                <w:lang w:eastAsia="zh-CN"/>
              </w:rPr>
            </w:pPr>
            <w:r>
              <w:rPr>
                <w:rFonts w:ascii="Times New Roman" w:hAnsi="Times New Roman"/>
                <w:sz w:val="18"/>
                <w:szCs w:val="18"/>
                <w:lang w:eastAsia="zh-CN"/>
              </w:rPr>
              <w:t>可以促进生产管理优化、工艺更新和污染治理设施改进，减少排放量。</w:t>
            </w:r>
          </w:p>
        </w:tc>
        <w:tc>
          <w:tcPr>
            <w:tcW w:w="814"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sz w:val="18"/>
                <w:szCs w:val="18"/>
                <w:lang w:eastAsia="zh-CN"/>
              </w:rPr>
            </w:pPr>
            <w:r>
              <w:rPr>
                <w:rFonts w:ascii="Times New Roman" w:hAnsi="Times New Roman"/>
                <w:sz w:val="18"/>
                <w:szCs w:val="18"/>
                <w:lang w:eastAsia="zh-CN"/>
              </w:rPr>
              <w:t>不能控制和减少污染物排放总量。</w:t>
            </w:r>
          </w:p>
        </w:tc>
        <w:tc>
          <w:tcPr>
            <w:tcW w:w="976"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sz w:val="18"/>
                <w:szCs w:val="18"/>
                <w:lang w:eastAsia="zh-CN"/>
              </w:rPr>
            </w:pPr>
            <w:r>
              <w:rPr>
                <w:rFonts w:ascii="Times New Roman" w:hAnsi="Times New Roman"/>
                <w:sz w:val="18"/>
                <w:szCs w:val="18"/>
                <w:lang w:eastAsia="zh-CN"/>
              </w:rPr>
              <w:t>污染物排放管理达到较高水平。</w:t>
            </w:r>
          </w:p>
        </w:tc>
      </w:tr>
    </w:tbl>
    <w:p>
      <w:pPr>
        <w:pStyle w:val="68"/>
        <w:rPr>
          <w:rFonts w:cs="Times New Roman"/>
          <w:kern w:val="0"/>
          <w:szCs w:val="24"/>
        </w:rPr>
      </w:pPr>
      <w:r>
        <w:rPr>
          <w:rFonts w:cs="Times New Roman"/>
        </w:rPr>
        <w:t>考虑到国家或广东省已制定部分重点行业相应的行业标准，本标准主要针对除上述行业外的其他行业；同时从</w:t>
      </w:r>
      <w:r>
        <w:rPr>
          <w:rFonts w:hint="eastAsia" w:cs="Times New Roman"/>
        </w:rPr>
        <w:t>国</w:t>
      </w:r>
      <w:r>
        <w:rPr>
          <w:rFonts w:cs="Times New Roman"/>
        </w:rPr>
        <w:t>内外的排放标准体系看，排放浓度是必不可少的，</w:t>
      </w:r>
      <w:r>
        <w:rPr>
          <w:rFonts w:hint="eastAsia" w:cs="Times New Roman"/>
        </w:rPr>
        <w:t>同时国内相关排放标准也多使用排放浓度限值来对各排放源进行控制，</w:t>
      </w:r>
      <w:r>
        <w:rPr>
          <w:rFonts w:cs="Times New Roman"/>
          <w:kern w:val="0"/>
          <w:szCs w:val="24"/>
        </w:rPr>
        <w:t>因此</w:t>
      </w:r>
      <w:r>
        <w:rPr>
          <w:rFonts w:hint="eastAsia" w:cs="Times New Roman"/>
          <w:kern w:val="0"/>
          <w:szCs w:val="24"/>
        </w:rPr>
        <w:t>本标准</w:t>
      </w:r>
      <w:r>
        <w:rPr>
          <w:rFonts w:cs="Times New Roman"/>
          <w:kern w:val="0"/>
          <w:szCs w:val="24"/>
        </w:rPr>
        <w:t>有组织排放选择最高允许排放浓度作为控制指标，即任一小时最高允许排放浓度。</w:t>
      </w:r>
      <w:r>
        <w:rPr>
          <w:rFonts w:cs="Times New Roman"/>
        </w:rPr>
        <w:t>考虑到国家或广东省已制定部分重点行业相应的行业标准，本标准主要针对除上述行业外的其他行业</w:t>
      </w:r>
      <w:r>
        <w:rPr>
          <w:rFonts w:hint="eastAsia" w:cs="Times New Roman"/>
        </w:rPr>
        <w:t>。</w:t>
      </w:r>
    </w:p>
    <w:p>
      <w:pPr>
        <w:pStyle w:val="68"/>
        <w:rPr>
          <w:rFonts w:cs="Times New Roman"/>
        </w:rPr>
      </w:pPr>
      <w:r>
        <w:rPr>
          <w:rFonts w:cs="Times New Roman"/>
        </w:rPr>
        <w:t>同时，针对企业车间或生产设施排气中NMHC或TVOC初始排放速率超过某一阈值，提出应配置VOCs末端处理设施，对VOCs末端处理设施的去除效率做出规定。</w:t>
      </w:r>
    </w:p>
    <w:p>
      <w:pPr>
        <w:pStyle w:val="4"/>
        <w:ind w:left="0" w:firstLine="0"/>
      </w:pPr>
      <w:r>
        <w:t>无组织排放</w:t>
      </w:r>
    </w:p>
    <w:p>
      <w:pPr>
        <w:pStyle w:val="68"/>
        <w:rPr>
          <w:rFonts w:cs="Times New Roman"/>
        </w:rPr>
      </w:pPr>
      <w:r>
        <w:rPr>
          <w:rFonts w:cs="Times New Roman"/>
        </w:rPr>
        <w:t>对于间歇式生产企业，无组织排放是污染物重要的排放形式，特别是挥发性有机物的排放。美国在强调了密闭的要求的基础上，提出了多种控制技术选择，然后根据其选择作为达标的判断。根据调研，工业企业存在使用通风扇将室内污染气体排到车间外，或使用敞开式或半敞开式车间进行生产，无组织逸散较突出的问题。本标准对无组织排放控制要求体现在浓度限值、无组织排放控制措施两方面。</w:t>
      </w:r>
    </w:p>
    <w:p>
      <w:pPr>
        <w:pStyle w:val="68"/>
        <w:rPr>
          <w:rFonts w:cs="Times New Roman"/>
        </w:rPr>
      </w:pPr>
      <w:r>
        <w:rPr>
          <w:rFonts w:cs="Times New Roman"/>
        </w:rPr>
        <w:t>1、浓度限值</w:t>
      </w:r>
    </w:p>
    <w:p>
      <w:pPr>
        <w:pStyle w:val="68"/>
        <w:rPr>
          <w:rFonts w:cs="Times New Roman"/>
        </w:rPr>
      </w:pPr>
      <w:r>
        <w:rPr>
          <w:rFonts w:cs="Times New Roman"/>
        </w:rPr>
        <w:t>设置厂区内无组织排放限值、企业边界大气污染物浓度限值</w:t>
      </w:r>
      <w:r>
        <w:rPr>
          <w:rFonts w:hint="eastAsia" w:cs="Times New Roman"/>
        </w:rPr>
        <w:t>2</w:t>
      </w:r>
      <w:r>
        <w:rPr>
          <w:rFonts w:cs="Times New Roman"/>
        </w:rPr>
        <w:t>类浓度限值要求。前者为新增指标，旨在减少无组织逸散，将无组织排放转变为有组织排放。同时为了进一步监控企业对生产过程中</w:t>
      </w:r>
      <w:r>
        <w:rPr>
          <w:rFonts w:hint="eastAsia" w:cs="Times New Roman"/>
        </w:rPr>
        <w:t>V</w:t>
      </w:r>
      <w:r>
        <w:rPr>
          <w:rFonts w:cs="Times New Roman"/>
        </w:rPr>
        <w:t>OC</w:t>
      </w:r>
      <w:r>
        <w:rPr>
          <w:rFonts w:hint="eastAsia" w:cs="Times New Roman"/>
        </w:rPr>
        <w:t>s</w:t>
      </w:r>
      <w:r>
        <w:rPr>
          <w:rFonts w:cs="Times New Roman"/>
        </w:rPr>
        <w:t>排放环节的收</w:t>
      </w:r>
      <w:r>
        <w:rPr>
          <w:rFonts w:cs="Times New Roman"/>
          <w:spacing w:val="1"/>
        </w:rPr>
        <w:t>集</w:t>
      </w:r>
      <w:r>
        <w:rPr>
          <w:rFonts w:cs="Times New Roman"/>
        </w:rPr>
        <w:t>效果，保留了企业边界监控点浓度限值。</w:t>
      </w:r>
    </w:p>
    <w:p>
      <w:pPr>
        <w:pStyle w:val="68"/>
        <w:rPr>
          <w:rFonts w:cs="Times New Roman"/>
        </w:rPr>
      </w:pPr>
      <w:r>
        <w:rPr>
          <w:rFonts w:cs="Times New Roman"/>
        </w:rPr>
        <w:t>2、无组织排放控制措施</w:t>
      </w:r>
    </w:p>
    <w:p>
      <w:pPr>
        <w:pStyle w:val="68"/>
        <w:rPr>
          <w:rFonts w:cs="Times New Roman"/>
        </w:rPr>
      </w:pPr>
      <w:r>
        <w:rPr>
          <w:rFonts w:cs="Times New Roman"/>
        </w:rPr>
        <w:t>结合《挥发性有机物无组织排放控制标准》，提出了工业企业生产过程</w:t>
      </w:r>
      <w:r>
        <w:rPr>
          <w:rFonts w:hint="eastAsia" w:cs="Times New Roman"/>
        </w:rPr>
        <w:t>中</w:t>
      </w:r>
      <w:r>
        <w:rPr>
          <w:rFonts w:cs="Times New Roman"/>
        </w:rPr>
        <w:t>无组织排放控制要求，包括VOCs物料存储、VOCs物料转移和输送、工艺过程VOCs无组织排放、设备与管线组件VOCs</w:t>
      </w:r>
      <w:r>
        <w:rPr>
          <w:rFonts w:hint="eastAsia" w:cs="Times New Roman"/>
        </w:rPr>
        <w:t>泄漏</w:t>
      </w:r>
      <w:r>
        <w:rPr>
          <w:rFonts w:cs="Times New Roman"/>
        </w:rPr>
        <w:t>控制、敞开液面VOCs无组织控制、VOCs无组织排放废气收集处理系统等方面作出了要求。</w:t>
      </w:r>
    </w:p>
    <w:p>
      <w:pPr>
        <w:pStyle w:val="3"/>
        <w:ind w:left="0" w:firstLine="0"/>
      </w:pPr>
      <w:bookmarkStart w:id="144" w:name="_Toc75787651"/>
      <w:r>
        <w:t>适用范围确定</w:t>
      </w:r>
      <w:bookmarkEnd w:id="144"/>
    </w:p>
    <w:p>
      <w:pPr>
        <w:pStyle w:val="68"/>
        <w:rPr>
          <w:rFonts w:cs="Times New Roman"/>
        </w:rPr>
      </w:pPr>
      <w:r>
        <w:rPr>
          <w:rFonts w:cs="Times New Roman"/>
        </w:rPr>
        <w:t>根据对通用型标准、综合型标准和行业型标准相互关系的认识，本标准在适用范围中针对已经有行业型的污染物排放标准的，则执行行业型污染物排放标准。本标准实施后，国家或广东省另行发布的相关标准按其适用范围执行，不再执行本标准。因此本标准与通用型标准、综合型标准和行业型标准相辅相成，最终的适用范围为：</w:t>
      </w:r>
      <w:r>
        <w:rPr>
          <w:rFonts w:hint="eastAsia" w:cs="Times New Roman"/>
        </w:rPr>
        <w:t>“国家或本省已发布针对行业挥发性有机物排放标准的，应执行相应国家或地方排放标准的规定，其他污染源执行本标准；国家或本省发布的行业大气污染物或挥发性有机物排放标准中对</w:t>
      </w:r>
      <w:r>
        <w:rPr>
          <w:rFonts w:cs="Times New Roman"/>
        </w:rPr>
        <w:t>VOCs</w:t>
      </w:r>
      <w:r>
        <w:rPr>
          <w:rFonts w:hint="eastAsia" w:cs="Times New Roman"/>
        </w:rPr>
        <w:t>无组织排放控制已作规定的，按行业污染物或挥发性有机物排放标准执行，其他行业执行本标准无组织排放控制要求；</w:t>
      </w:r>
      <w:r>
        <w:rPr>
          <w:rFonts w:cs="Times New Roman"/>
        </w:rPr>
        <w:t>本标准实施后，</w:t>
      </w:r>
      <w:r>
        <w:rPr>
          <w:rFonts w:hint="eastAsia" w:cs="Times New Roman"/>
        </w:rPr>
        <w:t>国家或本省另行发布行业、通用工艺或设备挥发性有机物排放标准的，按其适用范围执行，不再执行本标准”。</w:t>
      </w:r>
    </w:p>
    <w:p>
      <w:pPr>
        <w:pStyle w:val="68"/>
        <w:rPr>
          <w:rFonts w:cs="Times New Roman"/>
        </w:rPr>
      </w:pPr>
      <w:r>
        <w:rPr>
          <w:rFonts w:cs="Times New Roman"/>
        </w:rPr>
        <w:t>本标准</w:t>
      </w:r>
      <w:r>
        <w:rPr>
          <w:rFonts w:hint="eastAsia" w:cs="Times New Roman"/>
        </w:rPr>
        <w:t>发布实施</w:t>
      </w:r>
      <w:r>
        <w:rPr>
          <w:rFonts w:cs="Times New Roman"/>
        </w:rPr>
        <w:t>后，执行本标准的行业</w:t>
      </w:r>
      <w:r>
        <w:rPr>
          <w:rFonts w:hint="eastAsia" w:cs="Times New Roman"/>
        </w:rPr>
        <w:t>主要有</w:t>
      </w:r>
      <w:r>
        <w:rPr>
          <w:rFonts w:cs="Times New Roman"/>
        </w:rPr>
        <w:t>农副食品加工业</w:t>
      </w:r>
      <w:r>
        <w:rPr>
          <w:rFonts w:hint="eastAsia" w:cs="Times New Roman"/>
        </w:rPr>
        <w:t>、</w:t>
      </w:r>
      <w:r>
        <w:rPr>
          <w:rFonts w:cs="Times New Roman"/>
        </w:rPr>
        <w:t>食品制造业</w:t>
      </w:r>
      <w:r>
        <w:rPr>
          <w:rFonts w:hint="eastAsia" w:cs="Times New Roman"/>
        </w:rPr>
        <w:t>、</w:t>
      </w:r>
      <w:r>
        <w:rPr>
          <w:rFonts w:cs="Times New Roman"/>
        </w:rPr>
        <w:t>酒、饮料和精制茶制造业</w:t>
      </w:r>
      <w:r>
        <w:rPr>
          <w:rFonts w:hint="eastAsia" w:cs="Times New Roman"/>
        </w:rPr>
        <w:t>、</w:t>
      </w:r>
      <w:r>
        <w:rPr>
          <w:rFonts w:cs="Times New Roman"/>
        </w:rPr>
        <w:t>烟草制品业</w:t>
      </w:r>
      <w:r>
        <w:rPr>
          <w:rFonts w:hint="eastAsia" w:cs="Times New Roman"/>
        </w:rPr>
        <w:t>、</w:t>
      </w:r>
      <w:r>
        <w:rPr>
          <w:rFonts w:cs="Times New Roman"/>
        </w:rPr>
        <w:t>纺织业</w:t>
      </w:r>
      <w:r>
        <w:rPr>
          <w:rFonts w:hint="eastAsia" w:cs="Times New Roman"/>
        </w:rPr>
        <w:t>、</w:t>
      </w:r>
      <w:r>
        <w:rPr>
          <w:rFonts w:cs="Times New Roman"/>
        </w:rPr>
        <w:t>纺织服装、服饰业</w:t>
      </w:r>
      <w:r>
        <w:rPr>
          <w:rFonts w:hint="eastAsia" w:cs="Times New Roman"/>
        </w:rPr>
        <w:t>、</w:t>
      </w:r>
      <w:r>
        <w:rPr>
          <w:rFonts w:cs="Times New Roman"/>
        </w:rPr>
        <w:t>木材加工和木、竹、藤、棕、草制品业</w:t>
      </w:r>
      <w:r>
        <w:rPr>
          <w:rFonts w:hint="eastAsia" w:cs="Times New Roman"/>
        </w:rPr>
        <w:t>、</w:t>
      </w:r>
      <w:r>
        <w:rPr>
          <w:rFonts w:cs="Times New Roman"/>
        </w:rPr>
        <w:t>造纸和纸制品业</w:t>
      </w:r>
      <w:r>
        <w:rPr>
          <w:rFonts w:hint="eastAsia" w:cs="Times New Roman"/>
        </w:rPr>
        <w:t>、</w:t>
      </w:r>
      <w:r>
        <w:rPr>
          <w:rFonts w:cs="Times New Roman"/>
        </w:rPr>
        <w:t>文教、工美、体育和娱乐用品制造业</w:t>
      </w:r>
      <w:r>
        <w:rPr>
          <w:rFonts w:hint="eastAsia" w:cs="Times New Roman"/>
        </w:rPr>
        <w:t>、</w:t>
      </w:r>
      <w:r>
        <w:rPr>
          <w:rFonts w:cs="Times New Roman"/>
        </w:rPr>
        <w:t>化学纤维制造业</w:t>
      </w:r>
      <w:r>
        <w:rPr>
          <w:rFonts w:hint="eastAsia" w:cs="Times New Roman"/>
        </w:rPr>
        <w:t>、</w:t>
      </w:r>
      <w:r>
        <w:rPr>
          <w:rFonts w:cs="Times New Roman"/>
        </w:rPr>
        <w:t>塑料制品业</w:t>
      </w:r>
      <w:r>
        <w:rPr>
          <w:rFonts w:hint="eastAsia" w:cs="Times New Roman"/>
        </w:rPr>
        <w:t>、</w:t>
      </w:r>
      <w:r>
        <w:rPr>
          <w:rFonts w:cs="Times New Roman"/>
        </w:rPr>
        <w:t>通用设备制造业</w:t>
      </w:r>
      <w:r>
        <w:rPr>
          <w:rFonts w:hint="eastAsia" w:cs="Times New Roman"/>
        </w:rPr>
        <w:t>、</w:t>
      </w:r>
      <w:r>
        <w:rPr>
          <w:rFonts w:cs="Times New Roman"/>
        </w:rPr>
        <w:t>专用设备制造业</w:t>
      </w:r>
      <w:r>
        <w:rPr>
          <w:rFonts w:hint="eastAsia" w:cs="Times New Roman"/>
        </w:rPr>
        <w:t>、</w:t>
      </w:r>
      <w:r>
        <w:rPr>
          <w:rFonts w:cs="Times New Roman"/>
        </w:rPr>
        <w:t>铁路、船舶、航空航天和其他运输设备制造业</w:t>
      </w:r>
      <w:r>
        <w:rPr>
          <w:rFonts w:hint="eastAsia" w:cs="Times New Roman"/>
        </w:rPr>
        <w:t>、</w:t>
      </w:r>
      <w:r>
        <w:rPr>
          <w:rFonts w:cs="Times New Roman"/>
        </w:rPr>
        <w:t>电气机械和器材制造业</w:t>
      </w:r>
      <w:r>
        <w:rPr>
          <w:rFonts w:hint="eastAsia" w:cs="Times New Roman"/>
        </w:rPr>
        <w:t>、</w:t>
      </w:r>
      <w:r>
        <w:rPr>
          <w:rFonts w:cs="Times New Roman"/>
        </w:rPr>
        <w:t>计算机、通信和其他电子设备制造业</w:t>
      </w:r>
      <w:r>
        <w:rPr>
          <w:rFonts w:hint="eastAsia" w:cs="Times New Roman"/>
        </w:rPr>
        <w:t>、</w:t>
      </w:r>
      <w:r>
        <w:rPr>
          <w:rFonts w:cs="Times New Roman"/>
        </w:rPr>
        <w:t>仪器仪表制造业</w:t>
      </w:r>
      <w:r>
        <w:rPr>
          <w:rFonts w:hint="eastAsia" w:cs="Times New Roman"/>
        </w:rPr>
        <w:t>和</w:t>
      </w:r>
      <w:r>
        <w:rPr>
          <w:rFonts w:cs="Times New Roman"/>
        </w:rPr>
        <w:t>其他制造业</w:t>
      </w:r>
      <w:r>
        <w:rPr>
          <w:rFonts w:hint="eastAsia" w:cs="Times New Roman"/>
        </w:rPr>
        <w:t>等。</w:t>
      </w:r>
    </w:p>
    <w:p>
      <w:pPr>
        <w:pStyle w:val="3"/>
        <w:ind w:left="0" w:firstLine="0"/>
      </w:pPr>
      <w:bookmarkStart w:id="145" w:name="_Toc75787652"/>
      <w:r>
        <w:t>标准组织框架</w:t>
      </w:r>
      <w:bookmarkEnd w:id="145"/>
    </w:p>
    <w:p>
      <w:pPr>
        <w:pStyle w:val="68"/>
        <w:rPr>
          <w:rFonts w:cs="Times New Roman"/>
        </w:rPr>
      </w:pPr>
      <w:r>
        <w:rPr>
          <w:rFonts w:cs="Times New Roman"/>
        </w:rPr>
        <w:t>本标准正文部分包括前言、适用范围、规范性引用文件、术语和定义、有组织排放控制要求、无组织排放控制要求、企业厂区内及边界污染监控要求、污染物监测要求、实施与监督共</w:t>
      </w:r>
      <w:r>
        <w:rPr>
          <w:rFonts w:hint="eastAsia" w:cs="Times New Roman"/>
        </w:rPr>
        <w:t>9</w:t>
      </w:r>
      <w:r>
        <w:rPr>
          <w:rFonts w:cs="Times New Roman"/>
        </w:rPr>
        <w:t>部分。</w:t>
      </w:r>
    </w:p>
    <w:p>
      <w:pPr>
        <w:pStyle w:val="3"/>
        <w:ind w:left="0" w:firstLine="0"/>
      </w:pPr>
      <w:bookmarkStart w:id="146" w:name="_Toc75787653"/>
      <w:r>
        <w:t>术语与定义</w:t>
      </w:r>
      <w:bookmarkEnd w:id="146"/>
    </w:p>
    <w:p>
      <w:pPr>
        <w:pStyle w:val="68"/>
        <w:rPr>
          <w:rFonts w:cs="Times New Roman"/>
        </w:rPr>
      </w:pPr>
      <w:r>
        <w:rPr>
          <w:rFonts w:cs="Times New Roman"/>
        </w:rPr>
        <w:t>本标准共有术语23个。其中：</w:t>
      </w:r>
    </w:p>
    <w:p>
      <w:pPr>
        <w:pStyle w:val="68"/>
        <w:rPr>
          <w:rFonts w:cs="Times New Roman"/>
        </w:rPr>
      </w:pPr>
      <w:r>
        <w:rPr>
          <w:rFonts w:cs="Times New Roman"/>
        </w:rPr>
        <w:t>1、重点地区和其他地区2个术语，为本标准给出。</w:t>
      </w:r>
    </w:p>
    <w:p>
      <w:pPr>
        <w:pStyle w:val="68"/>
        <w:rPr>
          <w:rFonts w:cs="Times New Roman"/>
        </w:rPr>
      </w:pPr>
      <w:r>
        <w:rPr>
          <w:rFonts w:cs="Times New Roman"/>
        </w:rPr>
        <w:t>2、固定污染源、挥发性有机物、总挥发性有机物、非甲烷总烃、无组织排放、密闭、密闭空间、VOCs物料、挥发性</w:t>
      </w:r>
      <w:r>
        <w:rPr>
          <w:rFonts w:cs="Times New Roman"/>
        </w:rPr>
        <w:tab/>
      </w:r>
      <w:r>
        <w:rPr>
          <w:rFonts w:cs="Times New Roman"/>
        </w:rPr>
        <w:t>有机液体、真实蒸气压、浸液式密封、机械式鞋形密封、双重密封、气相平衡系统、泄漏检测值、开式循环冷却水系统、现有企业、新建企业、标准状态、排气筒高度、企业边界等21个术语定义，引用了已发布的国家污染物排放标准。</w:t>
      </w:r>
    </w:p>
    <w:p>
      <w:pPr>
        <w:pStyle w:val="3"/>
        <w:ind w:left="0" w:firstLine="0"/>
      </w:pPr>
      <w:bookmarkStart w:id="147" w:name="_Toc21679849"/>
      <w:bookmarkEnd w:id="147"/>
      <w:bookmarkStart w:id="148" w:name="_Toc21679850"/>
      <w:bookmarkEnd w:id="148"/>
      <w:bookmarkStart w:id="149" w:name="_Toc21679851"/>
      <w:bookmarkEnd w:id="149"/>
      <w:bookmarkStart w:id="150" w:name="_Toc21679852"/>
      <w:bookmarkEnd w:id="150"/>
      <w:bookmarkStart w:id="151" w:name="_Toc21679969"/>
      <w:bookmarkEnd w:id="151"/>
      <w:bookmarkStart w:id="152" w:name="_Toc21679970"/>
      <w:bookmarkEnd w:id="152"/>
      <w:bookmarkStart w:id="153" w:name="_Toc21679971"/>
      <w:bookmarkEnd w:id="153"/>
      <w:bookmarkStart w:id="154" w:name="_Toc21679972"/>
      <w:bookmarkEnd w:id="154"/>
      <w:bookmarkStart w:id="155" w:name="_Toc21679973"/>
      <w:bookmarkEnd w:id="155"/>
      <w:bookmarkStart w:id="156" w:name="_Toc21679974"/>
      <w:bookmarkEnd w:id="156"/>
      <w:bookmarkStart w:id="157" w:name="_Toc21679975"/>
      <w:bookmarkEnd w:id="157"/>
      <w:bookmarkStart w:id="158" w:name="_Toc21679976"/>
      <w:bookmarkEnd w:id="158"/>
      <w:bookmarkStart w:id="159" w:name="_Toc21679977"/>
      <w:bookmarkEnd w:id="159"/>
      <w:bookmarkStart w:id="160" w:name="_Toc21679978"/>
      <w:bookmarkEnd w:id="160"/>
      <w:bookmarkStart w:id="161" w:name="_Toc21679979"/>
      <w:bookmarkEnd w:id="161"/>
      <w:bookmarkStart w:id="162" w:name="_Toc21679980"/>
      <w:bookmarkEnd w:id="162"/>
      <w:bookmarkStart w:id="163" w:name="_Toc75787654"/>
      <w:r>
        <w:t>污染物控制项目确定</w:t>
      </w:r>
      <w:bookmarkEnd w:id="163"/>
    </w:p>
    <w:p>
      <w:pPr>
        <w:pStyle w:val="4"/>
        <w:ind w:left="0" w:firstLine="0"/>
      </w:pPr>
      <w:bookmarkStart w:id="164" w:name="_Toc26350785"/>
      <w:r>
        <w:t>污染物控制项目确定原则</w:t>
      </w:r>
      <w:bookmarkEnd w:id="164"/>
    </w:p>
    <w:p>
      <w:pPr>
        <w:pStyle w:val="68"/>
        <w:rPr>
          <w:rFonts w:cs="Times New Roman"/>
        </w:rPr>
      </w:pPr>
      <w:r>
        <w:rPr>
          <w:rFonts w:cs="Times New Roman"/>
        </w:rPr>
        <w:t>在筛选污染物控制项目的时候，遵循如下原则：</w:t>
      </w:r>
    </w:p>
    <w:p>
      <w:pPr>
        <w:pStyle w:val="68"/>
        <w:rPr>
          <w:rFonts w:cs="Times New Roman"/>
        </w:rPr>
      </w:pPr>
      <w:r>
        <w:rPr>
          <w:rFonts w:cs="Times New Roman"/>
        </w:rPr>
        <w:t>（1）具有较大的产生量（或排放量），并较为广泛地存在于大气环境中</w:t>
      </w:r>
      <w:r>
        <w:rPr>
          <w:rFonts w:hint="eastAsia" w:cs="Times New Roman"/>
        </w:rPr>
        <w:t>。</w:t>
      </w:r>
    </w:p>
    <w:p>
      <w:pPr>
        <w:pStyle w:val="68"/>
        <w:rPr>
          <w:rFonts w:cs="Times New Roman"/>
        </w:rPr>
      </w:pPr>
      <w:r>
        <w:rPr>
          <w:rFonts w:cs="Times New Roman"/>
        </w:rPr>
        <w:t>（2）毒性大、具有</w:t>
      </w:r>
      <w:r>
        <w:rPr>
          <w:rFonts w:hint="eastAsia" w:cs="Times New Roman"/>
        </w:rPr>
        <w:t>“</w:t>
      </w:r>
      <w:r>
        <w:rPr>
          <w:rFonts w:cs="Times New Roman"/>
        </w:rPr>
        <w:t>三致</w:t>
      </w:r>
      <w:r>
        <w:rPr>
          <w:rFonts w:hint="eastAsia" w:cs="Times New Roman"/>
        </w:rPr>
        <w:t>”</w:t>
      </w:r>
      <w:r>
        <w:rPr>
          <w:rFonts w:cs="Times New Roman"/>
        </w:rPr>
        <w:t>性的VOCs</w:t>
      </w:r>
      <w:r>
        <w:rPr>
          <w:rFonts w:hint="eastAsia" w:cs="Times New Roman"/>
        </w:rPr>
        <w:t>：</w:t>
      </w:r>
      <w:r>
        <w:rPr>
          <w:rFonts w:cs="Times New Roman"/>
        </w:rPr>
        <w:t>参考美国、欧盟关于大气污染物毒性大小的分类，将工业行业产生及排放的</w:t>
      </w:r>
      <w:r>
        <w:rPr>
          <w:rFonts w:hint="eastAsia" w:cs="Times New Roman"/>
        </w:rPr>
        <w:t>“</w:t>
      </w:r>
      <w:r>
        <w:rPr>
          <w:rFonts w:cs="Times New Roman"/>
        </w:rPr>
        <w:t>三致</w:t>
      </w:r>
      <w:r>
        <w:rPr>
          <w:rFonts w:hint="eastAsia" w:cs="Times New Roman"/>
        </w:rPr>
        <w:t>”</w:t>
      </w:r>
      <w:r>
        <w:rPr>
          <w:rFonts w:cs="Times New Roman"/>
        </w:rPr>
        <w:t>物质作为本标准控制重点。</w:t>
      </w:r>
      <w:r>
        <w:rPr>
          <w:rFonts w:hint="eastAsia" w:cs="Times New Roman"/>
        </w:rPr>
        <w:t>“</w:t>
      </w:r>
      <w:r>
        <w:rPr>
          <w:rFonts w:cs="Times New Roman"/>
        </w:rPr>
        <w:t>三致</w:t>
      </w:r>
      <w:r>
        <w:rPr>
          <w:rFonts w:hint="eastAsia" w:cs="Times New Roman"/>
        </w:rPr>
        <w:t>”</w:t>
      </w:r>
      <w:r>
        <w:rPr>
          <w:rFonts w:cs="Times New Roman"/>
        </w:rPr>
        <w:t>物质的判定主要是根据国际癌症研究中心的分类和判断。</w:t>
      </w:r>
    </w:p>
    <w:p>
      <w:pPr>
        <w:pStyle w:val="68"/>
        <w:rPr>
          <w:rFonts w:cs="Times New Roman"/>
        </w:rPr>
      </w:pPr>
      <w:r>
        <w:rPr>
          <w:rFonts w:cs="Times New Roman"/>
        </w:rPr>
        <w:t>（3）恶臭物质</w:t>
      </w:r>
      <w:r>
        <w:rPr>
          <w:rFonts w:hint="eastAsia" w:cs="Times New Roman"/>
        </w:rPr>
        <w:t>：</w:t>
      </w:r>
      <w:r>
        <w:rPr>
          <w:rFonts w:cs="Times New Roman"/>
        </w:rPr>
        <w:t>主要考虑嗅觉阈值的大小以及特殊的气味性。</w:t>
      </w:r>
    </w:p>
    <w:p>
      <w:pPr>
        <w:pStyle w:val="68"/>
        <w:rPr>
          <w:rFonts w:cs="Times New Roman"/>
        </w:rPr>
      </w:pPr>
      <w:r>
        <w:rPr>
          <w:rFonts w:cs="Times New Roman"/>
        </w:rPr>
        <w:t>（4）环境二次污染贡献性</w:t>
      </w:r>
      <w:r>
        <w:rPr>
          <w:rFonts w:hint="eastAsia" w:cs="Times New Roman"/>
        </w:rPr>
        <w:t>：</w:t>
      </w:r>
      <w:r>
        <w:rPr>
          <w:rFonts w:cs="Times New Roman"/>
        </w:rPr>
        <w:t>主要考虑对生成</w:t>
      </w:r>
      <w:r>
        <w:rPr>
          <w:rFonts w:hint="eastAsia" w:cs="Times New Roman"/>
        </w:rPr>
        <w:t>O</w:t>
      </w:r>
      <w:r>
        <w:rPr>
          <w:rFonts w:cs="Times New Roman"/>
          <w:vertAlign w:val="subscript"/>
        </w:rPr>
        <w:t>3</w:t>
      </w:r>
      <w:r>
        <w:rPr>
          <w:rFonts w:cs="Times New Roman"/>
        </w:rPr>
        <w:t>及PM</w:t>
      </w:r>
      <w:r>
        <w:rPr>
          <w:rFonts w:cs="Times New Roman"/>
          <w:vertAlign w:val="subscript"/>
        </w:rPr>
        <w:t>2.5</w:t>
      </w:r>
      <w:r>
        <w:rPr>
          <w:rFonts w:cs="Times New Roman"/>
        </w:rPr>
        <w:t>的贡献性。</w:t>
      </w:r>
    </w:p>
    <w:p>
      <w:pPr>
        <w:pStyle w:val="68"/>
        <w:rPr>
          <w:rFonts w:cs="Times New Roman"/>
        </w:rPr>
      </w:pPr>
      <w:r>
        <w:rPr>
          <w:rFonts w:cs="Times New Roman"/>
        </w:rPr>
        <w:t>（5）国内外相关综合或行业标准中列为重要控制因子的污染物</w:t>
      </w:r>
    </w:p>
    <w:p>
      <w:pPr>
        <w:pStyle w:val="68"/>
        <w:rPr>
          <w:rFonts w:cs="Times New Roman"/>
        </w:rPr>
      </w:pPr>
      <w:r>
        <w:rPr>
          <w:rFonts w:cs="Times New Roman"/>
        </w:rPr>
        <w:t>（6）便于监测</w:t>
      </w:r>
      <w:r>
        <w:rPr>
          <w:rFonts w:hint="eastAsia" w:cs="Times New Roman"/>
        </w:rPr>
        <w:t>：</w:t>
      </w:r>
      <w:r>
        <w:rPr>
          <w:rFonts w:cs="Times New Roman"/>
        </w:rPr>
        <w:t>充分考虑目前污染物的监测方法以及当前我省各级监测站的监测技术能力，以便标准具有可操作性。</w:t>
      </w:r>
    </w:p>
    <w:p>
      <w:pPr>
        <w:pStyle w:val="68"/>
        <w:rPr>
          <w:rFonts w:cs="Times New Roman"/>
        </w:rPr>
      </w:pPr>
      <w:r>
        <w:rPr>
          <w:rFonts w:cs="Times New Roman"/>
        </w:rPr>
        <w:t>（7）指标</w:t>
      </w:r>
      <w:r>
        <w:rPr>
          <w:rFonts w:hint="eastAsia" w:cs="Times New Roman"/>
        </w:rPr>
        <w:t>的普遍适用性：</w:t>
      </w:r>
      <w:r>
        <w:rPr>
          <w:rFonts w:cs="Times New Roman"/>
        </w:rPr>
        <w:t>由于各行业排放</w:t>
      </w:r>
      <w:r>
        <w:rPr>
          <w:rFonts w:hint="eastAsia" w:cs="Times New Roman"/>
        </w:rPr>
        <w:t>V</w:t>
      </w:r>
      <w:r>
        <w:rPr>
          <w:rFonts w:cs="Times New Roman"/>
        </w:rPr>
        <w:t>OC</w:t>
      </w:r>
      <w:r>
        <w:rPr>
          <w:rFonts w:hint="eastAsia" w:cs="Times New Roman"/>
        </w:rPr>
        <w:t>s</w:t>
      </w:r>
      <w:r>
        <w:rPr>
          <w:rFonts w:cs="Times New Roman"/>
        </w:rPr>
        <w:t>种类多样，部分污染物浓度较低，但其光化学活性强，在标准中对每种污染物单独设置排放限值的可操作性较差。此外，随着各项技术的不断发展，各行业使用的原辅材料和有机溶剂等原料也不断升级更新，会造成特征污染因子不断变化，因此除了</w:t>
      </w:r>
      <w:r>
        <w:rPr>
          <w:rFonts w:hint="eastAsia" w:cs="Times New Roman"/>
        </w:rPr>
        <w:t>规定</w:t>
      </w:r>
      <w:r>
        <w:rPr>
          <w:rFonts w:cs="Times New Roman"/>
        </w:rPr>
        <w:t>部分单项指标外，还需设置综合指标来全面控制有机污染物排放，以缓解当前大气环境污染严重的环境问题。</w:t>
      </w:r>
    </w:p>
    <w:p>
      <w:pPr>
        <w:pStyle w:val="4"/>
        <w:ind w:left="0" w:firstLine="0"/>
      </w:pPr>
      <w:r>
        <w:t>毒性筛选的方法</w:t>
      </w:r>
    </w:p>
    <w:p>
      <w:pPr>
        <w:pStyle w:val="68"/>
        <w:rPr>
          <w:rFonts w:cs="Times New Roman"/>
        </w:rPr>
      </w:pPr>
      <w:r>
        <w:rPr>
          <w:rFonts w:hint="eastAsia" w:cs="Times New Roman"/>
        </w:rPr>
        <w:t>“</w:t>
      </w:r>
      <w:r>
        <w:rPr>
          <w:rFonts w:cs="Times New Roman"/>
        </w:rPr>
        <w:t>三致</w:t>
      </w:r>
      <w:r>
        <w:rPr>
          <w:rFonts w:hint="eastAsia" w:cs="Times New Roman"/>
        </w:rPr>
        <w:t>”</w:t>
      </w:r>
      <w:r>
        <w:rPr>
          <w:rFonts w:cs="Times New Roman"/>
        </w:rPr>
        <w:t>物质的判定主要是根据国际癌症研究中心的分类和判断。按对人的致癌危险性IARC（2002）对已有资料报告的878种化学</w:t>
      </w:r>
      <w:r>
        <w:rPr>
          <w:rFonts w:hint="eastAsia" w:cs="Times New Roman"/>
        </w:rPr>
        <w:t>物质</w:t>
      </w:r>
      <w:r>
        <w:rPr>
          <w:rFonts w:cs="Times New Roman"/>
        </w:rPr>
        <w:t>根据其对人的致癌危险分成4类。</w:t>
      </w:r>
    </w:p>
    <w:p>
      <w:pPr>
        <w:pStyle w:val="68"/>
        <w:rPr>
          <w:rFonts w:cs="Times New Roman"/>
        </w:rPr>
      </w:pPr>
      <w:r>
        <w:rPr>
          <w:rFonts w:cs="Times New Roman"/>
        </w:rPr>
        <w:t>1类：对人致癌，87种。确证人类致癌物的要求是：</w:t>
      </w:r>
      <w:r>
        <w:rPr>
          <w:rFonts w:hint="eastAsia" w:cs="Times New Roman"/>
        </w:rPr>
        <w:t>①</w:t>
      </w:r>
      <w:r>
        <w:rPr>
          <w:rFonts w:cs="Times New Roman"/>
        </w:rPr>
        <w:t>有设计严格、方法可靠、能排除混杂因素的流行病学调查；</w:t>
      </w:r>
      <w:r>
        <w:rPr>
          <w:rFonts w:hint="eastAsia" w:cs="Times New Roman"/>
        </w:rPr>
        <w:t>②</w:t>
      </w:r>
      <w:r>
        <w:rPr>
          <w:rFonts w:cs="Times New Roman"/>
        </w:rPr>
        <w:t>有</w:t>
      </w:r>
      <w:r>
        <w:fldChar w:fldCharType="begin"/>
      </w:r>
      <w:r>
        <w:instrText xml:space="preserve"> HYPERLINK "http://baike.baidu.com/view/3845508.htm" \h </w:instrText>
      </w:r>
      <w:r>
        <w:fldChar w:fldCharType="separate"/>
      </w:r>
      <w:r>
        <w:rPr>
          <w:rFonts w:cs="Times New Roman"/>
        </w:rPr>
        <w:t>剂量反应</w:t>
      </w:r>
      <w:r>
        <w:rPr>
          <w:rFonts w:cs="Times New Roman"/>
        </w:rPr>
        <w:fldChar w:fldCharType="end"/>
      </w:r>
      <w:r>
        <w:rPr>
          <w:rFonts w:cs="Times New Roman"/>
        </w:rPr>
        <w:t>关系；</w:t>
      </w:r>
      <w:r>
        <w:rPr>
          <w:rFonts w:hint="eastAsia" w:cs="Times New Roman"/>
        </w:rPr>
        <w:t>③</w:t>
      </w:r>
      <w:r>
        <w:rPr>
          <w:rFonts w:cs="Times New Roman"/>
        </w:rPr>
        <w:t>另有调查资料验证，或动物实验支持。</w:t>
      </w:r>
    </w:p>
    <w:p>
      <w:pPr>
        <w:pStyle w:val="68"/>
        <w:rPr>
          <w:rFonts w:cs="Times New Roman"/>
        </w:rPr>
      </w:pPr>
      <w:r>
        <w:rPr>
          <w:rFonts w:cs="Times New Roman"/>
        </w:rPr>
        <w:t>2A类：对人很可能致癌，63种。此类致癌物对人类</w:t>
      </w:r>
      <w:r>
        <w:fldChar w:fldCharType="begin"/>
      </w:r>
      <w:r>
        <w:instrText xml:space="preserve"> HYPERLINK "http://baike.baidu.com/view/891538.htm" \h </w:instrText>
      </w:r>
      <w:r>
        <w:fldChar w:fldCharType="separate"/>
      </w:r>
      <w:r>
        <w:rPr>
          <w:rFonts w:cs="Times New Roman"/>
        </w:rPr>
        <w:t>致癌性</w:t>
      </w:r>
      <w:r>
        <w:rPr>
          <w:rFonts w:cs="Times New Roman"/>
        </w:rPr>
        <w:fldChar w:fldCharType="end"/>
      </w:r>
      <w:r>
        <w:rPr>
          <w:rFonts w:cs="Times New Roman"/>
        </w:rPr>
        <w:t>证据有限，对实验动物致癌性证据充分。</w:t>
      </w:r>
    </w:p>
    <w:p>
      <w:pPr>
        <w:pStyle w:val="68"/>
        <w:rPr>
          <w:rFonts w:cs="Times New Roman"/>
        </w:rPr>
      </w:pPr>
      <w:r>
        <w:rPr>
          <w:rFonts w:cs="Times New Roman"/>
        </w:rPr>
        <w:t>2B类：对人可能致癌，234种。此类致癌物对人类致癌性证据有限，对实验动物致癌性证据并不充分；或对人类致癌性证据不足，对实验动物致癌性证据充分。</w:t>
      </w:r>
    </w:p>
    <w:p>
      <w:pPr>
        <w:pStyle w:val="68"/>
        <w:rPr>
          <w:rFonts w:cs="Times New Roman"/>
        </w:rPr>
      </w:pPr>
      <w:r>
        <w:rPr>
          <w:rFonts w:cs="Times New Roman"/>
        </w:rPr>
        <w:t>3类：对人的致癌性尚无法分类，即可疑对人致癌，493种；</w:t>
      </w:r>
    </w:p>
    <w:p>
      <w:pPr>
        <w:pStyle w:val="68"/>
        <w:rPr>
          <w:rFonts w:cs="Times New Roman"/>
        </w:rPr>
      </w:pPr>
      <w:r>
        <w:rPr>
          <w:rFonts w:cs="Times New Roman"/>
        </w:rPr>
        <w:t>4类：对人很可能不致癌，仅1种。</w:t>
      </w:r>
    </w:p>
    <w:p>
      <w:pPr>
        <w:pStyle w:val="4"/>
        <w:ind w:left="0" w:firstLine="0"/>
      </w:pPr>
      <w:r>
        <w:t>环境风险的判断</w:t>
      </w:r>
    </w:p>
    <w:p>
      <w:pPr>
        <w:pStyle w:val="68"/>
        <w:rPr>
          <w:rFonts w:cs="Times New Roman"/>
        </w:rPr>
      </w:pPr>
      <w:r>
        <w:rPr>
          <w:rFonts w:cs="Times New Roman"/>
        </w:rPr>
        <w:t>环境风险性则是基于对化学物质的持久性、生物累积性、毒性的综合评估，具体的方法是由美国环境保护署（US  EPA）开发的查询软件PBT Profiler，其中PBT指的是同时具有持久性、生物累积性、毒性的物质</w:t>
      </w:r>
      <w:r>
        <w:rPr>
          <w:rFonts w:hint="eastAsia" w:cs="Times New Roman"/>
        </w:rPr>
        <w:t>（表7-</w:t>
      </w:r>
      <w:r>
        <w:rPr>
          <w:rFonts w:cs="Times New Roman"/>
        </w:rPr>
        <w:t>2</w:t>
      </w:r>
      <w:r>
        <w:rPr>
          <w:rFonts w:hint="eastAsia" w:cs="Times New Roman"/>
        </w:rPr>
        <w:t>、7-</w:t>
      </w:r>
      <w:r>
        <w:rPr>
          <w:rFonts w:cs="Times New Roman"/>
        </w:rPr>
        <w:t>3</w:t>
      </w:r>
      <w:r>
        <w:rPr>
          <w:rFonts w:hint="eastAsia" w:cs="Times New Roman"/>
        </w:rPr>
        <w:t>、7-</w:t>
      </w:r>
      <w:r>
        <w:rPr>
          <w:rFonts w:cs="Times New Roman"/>
        </w:rPr>
        <w:t>4</w:t>
      </w:r>
      <w:r>
        <w:rPr>
          <w:rFonts w:hint="eastAsia" w:cs="Times New Roman"/>
        </w:rPr>
        <w:t>）</w:t>
      </w:r>
      <w:r>
        <w:rPr>
          <w:rFonts w:cs="Times New Roman"/>
        </w:rPr>
        <w:t>。</w:t>
      </w:r>
    </w:p>
    <w:p>
      <w:pPr>
        <w:pStyle w:val="13"/>
        <w:spacing w:before="156" w:beforeLines="50" w:after="156" w:afterLines="50"/>
      </w:pPr>
      <w:r>
        <w:t>表7-2  持久性（P）判断细则</w:t>
      </w:r>
    </w:p>
    <w:tbl>
      <w:tblPr>
        <w:tblStyle w:val="34"/>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1250" w:type="pct"/>
            <w:vMerge w:val="restart"/>
            <w:tcBorders>
              <w:top w:val="single" w:color="auto" w:sz="4" w:space="0"/>
              <w:bottom w:val="single" w:color="auto" w:sz="4" w:space="0"/>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环境介质（Environmental Compartment）</w:t>
            </w:r>
          </w:p>
        </w:tc>
        <w:tc>
          <w:tcPr>
            <w:tcW w:w="3750" w:type="pct"/>
            <w:gridSpan w:val="3"/>
            <w:tcBorders>
              <w:top w:val="single" w:color="auto" w:sz="4" w:space="0"/>
              <w:bottom w:val="single" w:color="auto" w:sz="4" w:space="0"/>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半生命周期(Half-life)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250" w:type="pct"/>
            <w:vMerge w:val="continue"/>
            <w:tcBorders>
              <w:top w:val="single" w:color="auto" w:sz="4" w:space="0"/>
            </w:tcBorders>
            <w:vAlign w:val="center"/>
          </w:tcPr>
          <w:p>
            <w:pPr>
              <w:autoSpaceDE w:val="0"/>
              <w:autoSpaceDN w:val="0"/>
              <w:adjustRightInd w:val="0"/>
              <w:jc w:val="center"/>
              <w:rPr>
                <w:rFonts w:ascii="Times New Roman" w:hAnsi="Times New Roman"/>
                <w:color w:val="000000"/>
                <w:kern w:val="0"/>
              </w:rPr>
            </w:pPr>
          </w:p>
        </w:tc>
        <w:tc>
          <w:tcPr>
            <w:tcW w:w="1250" w:type="pct"/>
            <w:tcBorders>
              <w:top w:val="single" w:color="auto" w:sz="4" w:space="0"/>
              <w:bottom w:val="single" w:color="auto" w:sz="4" w:space="0"/>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非持久性</w:t>
            </w:r>
          </w:p>
        </w:tc>
        <w:tc>
          <w:tcPr>
            <w:tcW w:w="2500" w:type="pct"/>
            <w:gridSpan w:val="2"/>
            <w:tcBorders>
              <w:top w:val="single" w:color="auto" w:sz="4" w:space="0"/>
              <w:bottom w:val="single" w:color="auto" w:sz="4" w:space="0"/>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持久性</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250" w:type="pct"/>
            <w:vMerge w:val="continue"/>
            <w:tcBorders>
              <w:bottom w:val="single" w:color="auto" w:sz="4" w:space="0"/>
            </w:tcBorders>
            <w:vAlign w:val="center"/>
          </w:tcPr>
          <w:p>
            <w:pPr>
              <w:autoSpaceDE w:val="0"/>
              <w:autoSpaceDN w:val="0"/>
              <w:adjustRightInd w:val="0"/>
              <w:jc w:val="center"/>
              <w:rPr>
                <w:rFonts w:ascii="Times New Roman" w:hAnsi="Times New Roman"/>
                <w:color w:val="000000"/>
                <w:kern w:val="0"/>
              </w:rPr>
            </w:pPr>
          </w:p>
        </w:tc>
        <w:tc>
          <w:tcPr>
            <w:tcW w:w="1250" w:type="pct"/>
            <w:tcBorders>
              <w:top w:val="single" w:color="auto" w:sz="4" w:space="0"/>
              <w:bottom w:val="single" w:color="auto" w:sz="4" w:space="0"/>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P为绿色</w:t>
            </w:r>
          </w:p>
        </w:tc>
        <w:tc>
          <w:tcPr>
            <w:tcW w:w="1250" w:type="pct"/>
            <w:tcBorders>
              <w:top w:val="single" w:color="auto" w:sz="4" w:space="0"/>
              <w:bottom w:val="single" w:color="auto" w:sz="4" w:space="0"/>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P为橙色</w:t>
            </w:r>
          </w:p>
        </w:tc>
        <w:tc>
          <w:tcPr>
            <w:tcW w:w="1250" w:type="pct"/>
            <w:tcBorders>
              <w:top w:val="single" w:color="auto" w:sz="4" w:space="0"/>
              <w:bottom w:val="single" w:color="auto" w:sz="4" w:space="0"/>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P为红色</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250" w:type="pct"/>
            <w:tcBorders>
              <w:top w:val="single" w:color="auto" w:sz="4" w:space="0"/>
              <w:bottom w:val="single" w:color="auto" w:sz="4" w:space="0"/>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水(water)</w:t>
            </w:r>
          </w:p>
        </w:tc>
        <w:tc>
          <w:tcPr>
            <w:tcW w:w="1250" w:type="pct"/>
            <w:tcBorders>
              <w:top w:val="single" w:color="auto" w:sz="4" w:space="0"/>
              <w:bottom w:val="single" w:color="auto" w:sz="4" w:space="0"/>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&lt;60天</w:t>
            </w:r>
          </w:p>
        </w:tc>
        <w:tc>
          <w:tcPr>
            <w:tcW w:w="1250" w:type="pct"/>
            <w:tcBorders>
              <w:top w:val="single" w:color="auto" w:sz="4" w:space="0"/>
              <w:bottom w:val="single" w:color="auto" w:sz="4" w:space="0"/>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≥60天</w:t>
            </w:r>
          </w:p>
        </w:tc>
        <w:tc>
          <w:tcPr>
            <w:tcW w:w="1250" w:type="pct"/>
            <w:tcBorders>
              <w:top w:val="single" w:color="auto" w:sz="4" w:space="0"/>
              <w:bottom w:val="single" w:color="auto" w:sz="4" w:space="0"/>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&gt;180天</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250" w:type="pct"/>
            <w:tcBorders>
              <w:top w:val="single" w:color="auto" w:sz="4" w:space="0"/>
              <w:bottom w:val="nil"/>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土壤（soil）</w:t>
            </w:r>
          </w:p>
        </w:tc>
        <w:tc>
          <w:tcPr>
            <w:tcW w:w="1250" w:type="pct"/>
            <w:tcBorders>
              <w:top w:val="single" w:color="auto" w:sz="4" w:space="0"/>
              <w:bottom w:val="nil"/>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&lt;60天</w:t>
            </w:r>
          </w:p>
        </w:tc>
        <w:tc>
          <w:tcPr>
            <w:tcW w:w="1250" w:type="pct"/>
            <w:tcBorders>
              <w:top w:val="single" w:color="auto" w:sz="4" w:space="0"/>
              <w:bottom w:val="nil"/>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≥60天</w:t>
            </w:r>
          </w:p>
        </w:tc>
        <w:tc>
          <w:tcPr>
            <w:tcW w:w="1250" w:type="pct"/>
            <w:tcBorders>
              <w:top w:val="single" w:color="auto" w:sz="4" w:space="0"/>
              <w:bottom w:val="nil"/>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&gt;180天</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250" w:type="pct"/>
            <w:tcBorders>
              <w:top w:val="nil"/>
            </w:tcBorders>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空气(air)</w:t>
            </w:r>
          </w:p>
        </w:tc>
        <w:tc>
          <w:tcPr>
            <w:tcW w:w="1250" w:type="pct"/>
            <w:tcBorders>
              <w:top w:val="nil"/>
            </w:tcBorders>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≤2天</w:t>
            </w:r>
          </w:p>
        </w:tc>
        <w:tc>
          <w:tcPr>
            <w:tcW w:w="1250" w:type="pct"/>
            <w:tcBorders>
              <w:top w:val="nil"/>
            </w:tcBorders>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w:t>
            </w:r>
          </w:p>
        </w:tc>
        <w:tc>
          <w:tcPr>
            <w:tcW w:w="1250" w:type="pct"/>
            <w:tcBorders>
              <w:top w:val="nil"/>
            </w:tcBorders>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&gt;2天</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250" w:type="pct"/>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底泥（sediment）</w:t>
            </w:r>
          </w:p>
        </w:tc>
        <w:tc>
          <w:tcPr>
            <w:tcW w:w="1250" w:type="pct"/>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&lt;60天</w:t>
            </w:r>
          </w:p>
        </w:tc>
        <w:tc>
          <w:tcPr>
            <w:tcW w:w="1250" w:type="pct"/>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≥60天</w:t>
            </w:r>
          </w:p>
        </w:tc>
        <w:tc>
          <w:tcPr>
            <w:tcW w:w="1250" w:type="pct"/>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&gt;180天</w:t>
            </w:r>
          </w:p>
        </w:tc>
      </w:tr>
    </w:tbl>
    <w:p>
      <w:pPr>
        <w:pStyle w:val="13"/>
        <w:spacing w:before="156" w:beforeLines="50" w:after="156" w:afterLines="50"/>
      </w:pPr>
      <w:r>
        <w:t>表7-3  生物积累性（B）判断细则</w:t>
      </w:r>
    </w:p>
    <w:tbl>
      <w:tblPr>
        <w:tblStyle w:val="34"/>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67"/>
        <w:gridCol w:w="2814"/>
        <w:gridCol w:w="284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000" w:type="pct"/>
            <w:gridSpan w:val="3"/>
            <w:tcBorders>
              <w:top w:val="single" w:color="auto" w:sz="4" w:space="0"/>
              <w:bottom w:val="single" w:color="auto" w:sz="4" w:space="0"/>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生物富集因子（Bioconcentration Factor, BCF）</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682" w:type="pct"/>
            <w:tcBorders>
              <w:top w:val="single" w:color="auto" w:sz="4" w:space="0"/>
              <w:bottom w:val="single" w:color="auto" w:sz="4" w:space="0"/>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不具备生物累积性</w:t>
            </w:r>
          </w:p>
        </w:tc>
        <w:tc>
          <w:tcPr>
            <w:tcW w:w="3318" w:type="pct"/>
            <w:gridSpan w:val="2"/>
            <w:tcBorders>
              <w:top w:val="single" w:color="auto" w:sz="4" w:space="0"/>
              <w:bottom w:val="single" w:color="auto" w:sz="4" w:space="0"/>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具备生物累积性</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682" w:type="pct"/>
            <w:tcBorders>
              <w:top w:val="single" w:color="auto" w:sz="4" w:space="0"/>
              <w:bottom w:val="single" w:color="auto" w:sz="4" w:space="0"/>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B为绿色</w:t>
            </w:r>
          </w:p>
        </w:tc>
        <w:tc>
          <w:tcPr>
            <w:tcW w:w="1651" w:type="pct"/>
            <w:tcBorders>
              <w:top w:val="single" w:color="auto" w:sz="4" w:space="0"/>
              <w:bottom w:val="single" w:color="auto" w:sz="4" w:space="0"/>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B为橙色</w:t>
            </w:r>
          </w:p>
        </w:tc>
        <w:tc>
          <w:tcPr>
            <w:tcW w:w="1668" w:type="pct"/>
            <w:tcBorders>
              <w:top w:val="single" w:color="auto" w:sz="4" w:space="0"/>
              <w:bottom w:val="single" w:color="auto" w:sz="4" w:space="0"/>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B为红色</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682" w:type="pct"/>
            <w:tcBorders>
              <w:top w:val="single" w:color="auto" w:sz="4" w:space="0"/>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&lt;1,000</w:t>
            </w:r>
          </w:p>
        </w:tc>
        <w:tc>
          <w:tcPr>
            <w:tcW w:w="1651" w:type="pct"/>
            <w:tcBorders>
              <w:top w:val="single" w:color="auto" w:sz="4" w:space="0"/>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≥1,000</w:t>
            </w:r>
          </w:p>
        </w:tc>
        <w:tc>
          <w:tcPr>
            <w:tcW w:w="1668" w:type="pct"/>
            <w:tcBorders>
              <w:top w:val="single" w:color="auto" w:sz="4" w:space="0"/>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≥5000</w:t>
            </w:r>
          </w:p>
        </w:tc>
      </w:tr>
    </w:tbl>
    <w:p>
      <w:pPr>
        <w:pStyle w:val="13"/>
        <w:spacing w:before="156" w:beforeLines="50" w:after="156" w:afterLines="50"/>
      </w:pPr>
      <w:r>
        <w:t>表7-4  毒性（T）判断细则</w:t>
      </w:r>
    </w:p>
    <w:tbl>
      <w:tblPr>
        <w:tblStyle w:val="34"/>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07"/>
        <w:gridCol w:w="2858"/>
        <w:gridCol w:w="285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000" w:type="pct"/>
            <w:gridSpan w:val="3"/>
            <w:tcBorders>
              <w:top w:val="single" w:color="auto" w:sz="4" w:space="0"/>
              <w:bottom w:val="single" w:color="auto" w:sz="4" w:space="0"/>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鱼类慢性毒性（Fish ChV）</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647" w:type="pct"/>
            <w:tcBorders>
              <w:top w:val="single" w:color="auto" w:sz="4" w:space="0"/>
              <w:bottom w:val="single" w:color="auto" w:sz="4" w:space="0"/>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不具备毒性</w:t>
            </w:r>
          </w:p>
        </w:tc>
        <w:tc>
          <w:tcPr>
            <w:tcW w:w="3353" w:type="pct"/>
            <w:gridSpan w:val="2"/>
            <w:tcBorders>
              <w:top w:val="single" w:color="auto" w:sz="4" w:space="0"/>
              <w:bottom w:val="single" w:color="auto" w:sz="4" w:space="0"/>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具备毒性</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1647" w:type="pct"/>
            <w:tcBorders>
              <w:top w:val="single" w:color="auto" w:sz="4" w:space="0"/>
              <w:bottom w:val="single" w:color="auto" w:sz="4" w:space="0"/>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T为绿色</w:t>
            </w:r>
          </w:p>
        </w:tc>
        <w:tc>
          <w:tcPr>
            <w:tcW w:w="1677" w:type="pct"/>
            <w:tcBorders>
              <w:top w:val="single" w:color="auto" w:sz="4" w:space="0"/>
              <w:bottom w:val="single" w:color="auto" w:sz="4" w:space="0"/>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T为橙色</w:t>
            </w:r>
          </w:p>
        </w:tc>
        <w:tc>
          <w:tcPr>
            <w:tcW w:w="1677" w:type="pct"/>
            <w:tcBorders>
              <w:top w:val="single" w:color="auto" w:sz="4" w:space="0"/>
              <w:bottom w:val="single" w:color="auto" w:sz="4" w:space="0"/>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T为红色</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 w:hRule="atLeast"/>
        </w:trPr>
        <w:tc>
          <w:tcPr>
            <w:tcW w:w="1647" w:type="pct"/>
            <w:tcBorders>
              <w:top w:val="single" w:color="auto" w:sz="4" w:space="0"/>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&gt;10mg/l</w:t>
            </w:r>
          </w:p>
        </w:tc>
        <w:tc>
          <w:tcPr>
            <w:tcW w:w="1677" w:type="pct"/>
            <w:tcBorders>
              <w:top w:val="single" w:color="auto" w:sz="4" w:space="0"/>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&lt;10mg/l</w:t>
            </w:r>
          </w:p>
        </w:tc>
        <w:tc>
          <w:tcPr>
            <w:tcW w:w="1677" w:type="pct"/>
            <w:tcBorders>
              <w:top w:val="single" w:color="auto" w:sz="4" w:space="0"/>
            </w:tcBorders>
            <w:vAlign w:val="center"/>
          </w:tcPr>
          <w:p>
            <w:pPr>
              <w:autoSpaceDE w:val="0"/>
              <w:autoSpaceDN w:val="0"/>
              <w:adjustRightInd w:val="0"/>
              <w:jc w:val="center"/>
              <w:rPr>
                <w:rFonts w:ascii="Times New Roman" w:hAnsi="Times New Roman"/>
                <w:color w:val="000000"/>
                <w:kern w:val="0"/>
              </w:rPr>
            </w:pPr>
            <w:r>
              <w:rPr>
                <w:rFonts w:ascii="Times New Roman" w:hAnsi="Times New Roman"/>
                <w:color w:val="000000"/>
                <w:kern w:val="0"/>
              </w:rPr>
              <w:t>&lt;0.1mg/l</w:t>
            </w:r>
          </w:p>
        </w:tc>
      </w:tr>
    </w:tbl>
    <w:p>
      <w:pPr>
        <w:pStyle w:val="4"/>
        <w:ind w:left="0" w:firstLine="0"/>
      </w:pPr>
      <w:r>
        <w:t>环境二次污染贡献</w:t>
      </w:r>
    </w:p>
    <w:p>
      <w:pPr>
        <w:pStyle w:val="68"/>
        <w:rPr>
          <w:rFonts w:cs="Times New Roman"/>
        </w:rPr>
      </w:pPr>
      <w:r>
        <w:rPr>
          <w:rFonts w:cs="Times New Roman"/>
        </w:rPr>
        <w:t>主要考虑对</w:t>
      </w:r>
      <w:r>
        <w:rPr>
          <w:rFonts w:hint="eastAsia" w:cs="Times New Roman"/>
        </w:rPr>
        <w:t>O</w:t>
      </w:r>
      <w:r>
        <w:rPr>
          <w:rFonts w:cs="Times New Roman"/>
          <w:vertAlign w:val="subscript"/>
        </w:rPr>
        <w:t>3</w:t>
      </w:r>
      <w:r>
        <w:rPr>
          <w:rFonts w:cs="Times New Roman"/>
        </w:rPr>
        <w:t>、PM</w:t>
      </w:r>
      <w:r>
        <w:rPr>
          <w:rFonts w:cs="Times New Roman"/>
          <w:vertAlign w:val="subscript"/>
        </w:rPr>
        <w:t>2.5</w:t>
      </w:r>
      <w:r>
        <w:rPr>
          <w:rFonts w:cs="Times New Roman"/>
        </w:rPr>
        <w:t>的生成贡献。针对</w:t>
      </w:r>
      <w:r>
        <w:rPr>
          <w:rFonts w:hint="eastAsia" w:cs="Times New Roman"/>
        </w:rPr>
        <w:t>O</w:t>
      </w:r>
      <w:r>
        <w:rPr>
          <w:rFonts w:cs="Times New Roman"/>
          <w:vertAlign w:val="subscript"/>
        </w:rPr>
        <w:t>3</w:t>
      </w:r>
      <w:r>
        <w:rPr>
          <w:rFonts w:cs="Times New Roman"/>
        </w:rPr>
        <w:t xml:space="preserve">则主要考虑MIR值（最大臭氧生成潜势）。臭氧的最大增量反应活性MIR值是指1mol </w:t>
      </w:r>
      <w:r>
        <w:rPr>
          <w:rFonts w:hint="eastAsia" w:cs="Times New Roman"/>
        </w:rPr>
        <w:t>V</w:t>
      </w:r>
      <w:r>
        <w:rPr>
          <w:rFonts w:cs="Times New Roman"/>
        </w:rPr>
        <w:t>OC</w:t>
      </w:r>
      <w:r>
        <w:rPr>
          <w:rFonts w:hint="eastAsia" w:cs="Times New Roman"/>
        </w:rPr>
        <w:t>s</w:t>
      </w:r>
      <w:r>
        <w:rPr>
          <w:rFonts w:cs="Times New Roman"/>
        </w:rPr>
        <w:t>排放到一定空气污染域所引起的臭氧物质的量的变化。其值越高，则对</w:t>
      </w:r>
      <w:r>
        <w:rPr>
          <w:rFonts w:hint="eastAsia" w:cs="Times New Roman"/>
        </w:rPr>
        <w:t>O</w:t>
      </w:r>
      <w:r>
        <w:rPr>
          <w:rFonts w:cs="Times New Roman"/>
          <w:vertAlign w:val="subscript"/>
        </w:rPr>
        <w:t>3</w:t>
      </w:r>
      <w:r>
        <w:rPr>
          <w:rFonts w:cs="Times New Roman"/>
        </w:rPr>
        <w:t>的贡献越大。PM</w:t>
      </w:r>
      <w:r>
        <w:rPr>
          <w:rFonts w:cs="Times New Roman"/>
          <w:vertAlign w:val="subscript"/>
        </w:rPr>
        <w:t>2.5</w:t>
      </w:r>
      <w:r>
        <w:rPr>
          <w:rFonts w:cs="Times New Roman"/>
        </w:rPr>
        <w:t>中二次气溶胶的贡献则除了考虑MIR值外（提高臭氧生成潜势，即是提高大气氧化能力，进而有利于二次有机气溶胶生成）</w:t>
      </w:r>
      <w:r>
        <w:rPr>
          <w:rFonts w:hint="eastAsia" w:cs="Times New Roman"/>
        </w:rPr>
        <w:t>，</w:t>
      </w:r>
      <w:r>
        <w:rPr>
          <w:rFonts w:cs="Times New Roman"/>
        </w:rPr>
        <w:t>根据二次有机气溶胶的研究结果，正构烷烃、藿烷、多环芳烃、脂肪酸、无水单糖、异戊二烯、萜烯类等物质对气溶胶生成有一定贡献。虽然研究结果尚不统一，但从反应机理上看，前体污染物</w:t>
      </w:r>
      <w:r>
        <w:rPr>
          <w:rFonts w:hint="eastAsia" w:cs="Times New Roman"/>
        </w:rPr>
        <w:t>主要</w:t>
      </w:r>
      <w:r>
        <w:rPr>
          <w:rFonts w:cs="Times New Roman"/>
        </w:rPr>
        <w:t>以苯系物为主（有研究发现，其在有的地区贡献占76%），特别是甲苯和二甲苯。除此之外，醛类和酮类化合物通常在大气中很容易被氧化为酸类物质，从而在颗粒物上凝结。因此对PM</w:t>
      </w:r>
      <w:r>
        <w:rPr>
          <w:rFonts w:cs="Times New Roman"/>
          <w:vertAlign w:val="subscript"/>
        </w:rPr>
        <w:t>2.5</w:t>
      </w:r>
      <w:r>
        <w:rPr>
          <w:rFonts w:cs="Times New Roman"/>
        </w:rPr>
        <w:t>主要组分二次有机气溶胶有贡献，前期大量文献研究已经表明甲苯、二甲苯、烯烃以及醛酮类物质对二次有机气溶胶生成有重要贡献。</w:t>
      </w:r>
    </w:p>
    <w:p>
      <w:pPr>
        <w:pStyle w:val="4"/>
        <w:ind w:left="0" w:firstLine="0"/>
      </w:pPr>
      <w:r>
        <w:t>国内外相关标准中列为控制因子的污染物</w:t>
      </w:r>
    </w:p>
    <w:p>
      <w:pPr>
        <w:pStyle w:val="68"/>
        <w:rPr>
          <w:rFonts w:cs="Times New Roman"/>
        </w:rPr>
      </w:pPr>
      <w:r>
        <w:rPr>
          <w:rFonts w:cs="Times New Roman"/>
        </w:rPr>
        <w:t>编制组对美国、欧洲、日本等国家和地区，以及世界银行相关标准进行调研。美国规定了187种有害空气污染物（HAPs）的排放标准；世界银行则对苯、1,2-二氯乙烷、氯乙烯、丙烯腈、甲醛、乙烯、氧化乙烯、硝基苯、酚类、甲酚类和二甲苯酚类等物质规定了排放限值；日本给出了248种有害大气污染物的名录，其中确定了丙烯腈、乙醛、甲苯、三氯乙烯、氯乙烯、氯甲烷、铬及其化合物、镍及其化合物、砷及其化合物、三氯甲烷、环氧乙烷、1，2-二氯乙烷、二氯甲烷、1，3-丁二烯、铍及其化合物、苯、苯并[a]芘、汞及其化合物、二恶英类、四氯乙烯、甲醛、锰及其化合物等22种优先控制的污染物。欧盟和德国也形成了重点行业+综合型排放标准为核心的标准体系，对多种</w:t>
      </w:r>
      <w:r>
        <w:rPr>
          <w:rFonts w:hint="eastAsia" w:cs="Times New Roman"/>
        </w:rPr>
        <w:t>V</w:t>
      </w:r>
      <w:r>
        <w:rPr>
          <w:rFonts w:cs="Times New Roman"/>
        </w:rPr>
        <w:t>OC</w:t>
      </w:r>
      <w:r>
        <w:rPr>
          <w:rFonts w:hint="eastAsia" w:cs="Times New Roman"/>
        </w:rPr>
        <w:t>s</w:t>
      </w:r>
      <w:r>
        <w:rPr>
          <w:rFonts w:cs="Times New Roman"/>
        </w:rPr>
        <w:t>的排放限值进行要求。</w:t>
      </w:r>
    </w:p>
    <w:p>
      <w:pPr>
        <w:pStyle w:val="4"/>
        <w:ind w:left="0" w:firstLine="0"/>
      </w:pPr>
      <w:bookmarkStart w:id="165" w:name="_Toc26350786"/>
      <w:r>
        <w:t>筛选结果</w:t>
      </w:r>
      <w:bookmarkEnd w:id="165"/>
    </w:p>
    <w:p>
      <w:pPr>
        <w:pStyle w:val="68"/>
        <w:rPr>
          <w:rFonts w:cs="Times New Roman"/>
        </w:rPr>
      </w:pPr>
      <w:r>
        <w:rPr>
          <w:rFonts w:cs="Times New Roman"/>
        </w:rPr>
        <w:t>2017年我省污普数据结合各工业行业VOCs产排污情况，对主要排放VOCs物种根据上述筛选原则筛选，如表7-5所示。综合考虑VOCs排放量、VOCs毒性、环境风险、二次污染贡献、国内外相关标准情况及检测方法适用性等，最终筛选出苯、苯系物（苯、甲苯、二甲苯、三甲苯、乙苯和苯乙烯）、甲醛、丙烯醛、</w:t>
      </w:r>
      <w:r>
        <w:rPr>
          <w:rFonts w:hint="eastAsia" w:cs="Times New Roman"/>
        </w:rPr>
        <w:t>丙烯腈</w:t>
      </w:r>
      <w:r>
        <w:rPr>
          <w:rFonts w:cs="Times New Roman"/>
        </w:rPr>
        <w:t>、硝基苯类为单独控制污染物。其余VOCs物种暂通过挥发性有机物综合性指标进行控制，考虑到综合指标NMHC的分析方法比较成熟，因此选择NMHC作为综合性控制指标。同时，考虑到不同类型工业企业排放的VOCs物种类型较多，工业企业实际使用并排放的醇类、酯类、醛类、酮类污染物在氢火焰离子化检测器（FID）的响应不够理想，因此同时选择TVOC指标进行综合控制。</w:t>
      </w:r>
    </w:p>
    <w:p>
      <w:pPr>
        <w:pStyle w:val="68"/>
        <w:rPr>
          <w:rFonts w:cs="Times New Roman"/>
        </w:rPr>
        <w:sectPr>
          <w:headerReference r:id="rId9" w:type="default"/>
          <w:pgSz w:w="11906" w:h="16838"/>
          <w:pgMar w:top="1440" w:right="1800" w:bottom="1440" w:left="1800" w:header="851" w:footer="992" w:gutter="0"/>
          <w:pgNumType w:fmt="numberInDash" w:start="1"/>
          <w:cols w:space="425" w:num="1"/>
          <w:docGrid w:type="lines" w:linePitch="312" w:charSpace="0"/>
        </w:sectPr>
      </w:pPr>
      <w:r>
        <w:rPr>
          <w:rFonts w:cs="Times New Roman"/>
        </w:rPr>
        <w:t>考虑到综合排放标准覆盖的行业较广，不同行业在VOCs物种排放方面有较大差异，</w:t>
      </w:r>
      <w:r>
        <w:rPr>
          <w:rFonts w:hint="eastAsia" w:cs="Times New Roman"/>
        </w:rPr>
        <w:t>有组织排放方面重点控制工业企业普遍排放且量大的常规污染物，企业边界指标主要从控制物种的二次活性和毒害性方面考虑。因此，标准</w:t>
      </w:r>
      <w:r>
        <w:rPr>
          <w:rFonts w:cs="Times New Roman"/>
        </w:rPr>
        <w:t>选取苯、苯系物、NMHC和TVOC为</w:t>
      </w:r>
      <w:r>
        <w:rPr>
          <w:rFonts w:hint="eastAsia" w:cs="Times New Roman"/>
        </w:rPr>
        <w:t>有组织控制项目</w:t>
      </w:r>
      <w:r>
        <w:rPr>
          <w:rFonts w:cs="Times New Roman"/>
        </w:rPr>
        <w:t>；</w:t>
      </w:r>
      <w:r>
        <w:rPr>
          <w:rFonts w:hint="eastAsia" w:cs="Times New Roman"/>
        </w:rPr>
        <w:t>苯、</w:t>
      </w:r>
      <w:r>
        <w:rPr>
          <w:rFonts w:cs="Times New Roman"/>
        </w:rPr>
        <w:t>甲醛、丙烯醛、</w:t>
      </w:r>
      <w:r>
        <w:rPr>
          <w:rFonts w:hint="eastAsia" w:cs="Times New Roman"/>
        </w:rPr>
        <w:t>丙烯腈、</w:t>
      </w:r>
      <w:r>
        <w:rPr>
          <w:rFonts w:cs="Times New Roman"/>
        </w:rPr>
        <w:t>硝基苯类为</w:t>
      </w:r>
      <w:r>
        <w:rPr>
          <w:rFonts w:hint="eastAsia" w:cs="Times New Roman"/>
        </w:rPr>
        <w:t>企业边界控制项目</w:t>
      </w:r>
      <w:r>
        <w:rPr>
          <w:rFonts w:cs="Times New Roman"/>
        </w:rPr>
        <w:t>。</w:t>
      </w:r>
    </w:p>
    <w:p>
      <w:pPr>
        <w:pStyle w:val="13"/>
        <w:spacing w:before="156" w:beforeLines="50" w:after="156" w:afterLines="50"/>
      </w:pPr>
      <w:r>
        <w:t>表7-5  优先控制污染物的筛选</w:t>
      </w:r>
    </w:p>
    <w:tbl>
      <w:tblPr>
        <w:tblStyle w:val="121"/>
        <w:tblW w:w="5000" w:type="pct"/>
        <w:tblInd w:w="0" w:type="dxa"/>
        <w:tblLayout w:type="autofit"/>
        <w:tblCellMar>
          <w:top w:w="0" w:type="dxa"/>
          <w:left w:w="0" w:type="dxa"/>
          <w:bottom w:w="0" w:type="dxa"/>
          <w:right w:w="0" w:type="dxa"/>
        </w:tblCellMar>
      </w:tblPr>
      <w:tblGrid>
        <w:gridCol w:w="1330"/>
        <w:gridCol w:w="852"/>
        <w:gridCol w:w="688"/>
        <w:gridCol w:w="777"/>
        <w:gridCol w:w="699"/>
        <w:gridCol w:w="794"/>
        <w:gridCol w:w="838"/>
        <w:gridCol w:w="1031"/>
        <w:gridCol w:w="651"/>
        <w:gridCol w:w="1135"/>
        <w:gridCol w:w="995"/>
        <w:gridCol w:w="1562"/>
        <w:gridCol w:w="995"/>
        <w:gridCol w:w="1621"/>
      </w:tblGrid>
      <w:tr>
        <w:tblPrEx>
          <w:tblCellMar>
            <w:top w:w="0" w:type="dxa"/>
            <w:left w:w="0" w:type="dxa"/>
            <w:bottom w:w="0" w:type="dxa"/>
            <w:right w:w="0" w:type="dxa"/>
          </w:tblCellMar>
        </w:tblPrEx>
        <w:trPr>
          <w:trHeight w:val="20" w:hRule="atLeast"/>
          <w:tblHeader/>
        </w:trPr>
        <w:tc>
          <w:tcPr>
            <w:tcW w:w="476" w:type="pct"/>
            <w:tcBorders>
              <w:top w:val="single" w:color="000000" w:sz="4" w:space="0"/>
              <w:left w:val="single" w:color="000000" w:sz="4" w:space="0"/>
              <w:right w:val="single" w:color="000000" w:sz="4" w:space="0"/>
            </w:tcBorders>
            <w:vAlign w:val="center"/>
          </w:tcPr>
          <w:p>
            <w:pPr>
              <w:pStyle w:val="122"/>
              <w:jc w:val="center"/>
              <w:rPr>
                <w:rFonts w:eastAsia="宋体"/>
                <w:b/>
                <w:bCs/>
                <w:sz w:val="18"/>
                <w:szCs w:val="18"/>
                <w:lang w:eastAsia="en-US"/>
              </w:rPr>
            </w:pPr>
            <w:r>
              <w:rPr>
                <w:rFonts w:eastAsia="宋体"/>
                <w:b/>
                <w:bCs/>
                <w:spacing w:val="1"/>
                <w:sz w:val="18"/>
                <w:szCs w:val="18"/>
                <w:lang w:eastAsia="en-US"/>
              </w:rPr>
              <w:t>VO</w:t>
            </w:r>
            <w:r>
              <w:rPr>
                <w:rFonts w:eastAsia="宋体"/>
                <w:b/>
                <w:bCs/>
                <w:spacing w:val="-2"/>
                <w:sz w:val="18"/>
                <w:szCs w:val="18"/>
                <w:lang w:eastAsia="en-US"/>
              </w:rPr>
              <w:t>C</w:t>
            </w:r>
            <w:r>
              <w:rPr>
                <w:rFonts w:eastAsia="宋体"/>
                <w:b/>
                <w:bCs/>
                <w:sz w:val="18"/>
                <w:szCs w:val="18"/>
                <w:lang w:eastAsia="en-US"/>
              </w:rPr>
              <w:t>s</w:t>
            </w:r>
            <w:r>
              <w:rPr>
                <w:rFonts w:eastAsia="宋体"/>
                <w:b/>
                <w:bCs/>
                <w:spacing w:val="-43"/>
                <w:sz w:val="18"/>
                <w:szCs w:val="18"/>
                <w:lang w:eastAsia="en-US"/>
              </w:rPr>
              <w:t xml:space="preserve"> </w:t>
            </w:r>
            <w:r>
              <w:rPr>
                <w:rFonts w:eastAsia="宋体"/>
                <w:b/>
                <w:bCs/>
                <w:sz w:val="18"/>
                <w:szCs w:val="18"/>
                <w:lang w:eastAsia="en-US"/>
              </w:rPr>
              <w:t>名称</w:t>
            </w:r>
          </w:p>
        </w:tc>
        <w:tc>
          <w:tcPr>
            <w:tcW w:w="305" w:type="pct"/>
            <w:tcBorders>
              <w:top w:val="single" w:color="000000" w:sz="4" w:space="0"/>
              <w:left w:val="single" w:color="000000" w:sz="4" w:space="0"/>
              <w:right w:val="single" w:color="000000" w:sz="4" w:space="0"/>
            </w:tcBorders>
            <w:vAlign w:val="center"/>
          </w:tcPr>
          <w:p>
            <w:pPr>
              <w:pStyle w:val="122"/>
              <w:jc w:val="center"/>
              <w:rPr>
                <w:rFonts w:eastAsia="宋体"/>
                <w:b/>
                <w:bCs/>
                <w:sz w:val="18"/>
                <w:szCs w:val="18"/>
                <w:lang w:eastAsia="en-US"/>
              </w:rPr>
            </w:pPr>
            <w:r>
              <w:rPr>
                <w:rFonts w:eastAsia="宋体"/>
                <w:b/>
                <w:bCs/>
                <w:spacing w:val="1"/>
                <w:sz w:val="18"/>
                <w:szCs w:val="18"/>
                <w:lang w:eastAsia="en-US"/>
              </w:rPr>
              <w:t>P</w:t>
            </w:r>
            <w:r>
              <w:rPr>
                <w:rFonts w:eastAsia="宋体"/>
                <w:b/>
                <w:bCs/>
                <w:spacing w:val="-2"/>
                <w:sz w:val="18"/>
                <w:szCs w:val="18"/>
                <w:lang w:eastAsia="en-US"/>
              </w:rPr>
              <w:t>B</w:t>
            </w:r>
            <w:r>
              <w:rPr>
                <w:rFonts w:eastAsia="宋体"/>
                <w:b/>
                <w:bCs/>
                <w:sz w:val="18"/>
                <w:szCs w:val="18"/>
                <w:lang w:eastAsia="en-US"/>
              </w:rPr>
              <w:t>T</w:t>
            </w:r>
            <w:r>
              <w:rPr>
                <w:rFonts w:eastAsia="宋体"/>
                <w:b/>
                <w:bCs/>
                <w:spacing w:val="-44"/>
                <w:sz w:val="18"/>
                <w:szCs w:val="18"/>
                <w:lang w:eastAsia="en-US"/>
              </w:rPr>
              <w:t xml:space="preserve"> </w:t>
            </w:r>
            <w:r>
              <w:rPr>
                <w:rFonts w:eastAsia="宋体"/>
                <w:b/>
                <w:bCs/>
                <w:sz w:val="18"/>
                <w:szCs w:val="18"/>
                <w:lang w:eastAsia="en-US"/>
              </w:rPr>
              <w:t>结</w:t>
            </w:r>
          </w:p>
          <w:p>
            <w:pPr>
              <w:pStyle w:val="122"/>
              <w:jc w:val="center"/>
              <w:rPr>
                <w:rFonts w:eastAsia="宋体"/>
                <w:b/>
                <w:bCs/>
                <w:sz w:val="18"/>
                <w:szCs w:val="18"/>
                <w:lang w:eastAsia="en-US"/>
              </w:rPr>
            </w:pPr>
            <w:r>
              <w:rPr>
                <w:rFonts w:eastAsia="宋体"/>
                <w:b/>
                <w:bCs/>
                <w:sz w:val="18"/>
                <w:szCs w:val="18"/>
                <w:lang w:eastAsia="en-US"/>
              </w:rPr>
              <w:t>果</w:t>
            </w:r>
          </w:p>
        </w:tc>
        <w:tc>
          <w:tcPr>
            <w:tcW w:w="246" w:type="pct"/>
            <w:tcBorders>
              <w:top w:val="single" w:color="000000" w:sz="4" w:space="0"/>
              <w:left w:val="single" w:color="000000" w:sz="4" w:space="0"/>
              <w:right w:val="single" w:color="000000" w:sz="4" w:space="0"/>
            </w:tcBorders>
            <w:vAlign w:val="center"/>
          </w:tcPr>
          <w:p>
            <w:pPr>
              <w:pStyle w:val="122"/>
              <w:jc w:val="center"/>
              <w:rPr>
                <w:rFonts w:eastAsia="宋体"/>
                <w:b/>
                <w:bCs/>
                <w:sz w:val="18"/>
                <w:szCs w:val="18"/>
                <w:lang w:eastAsia="en-US"/>
              </w:rPr>
            </w:pPr>
            <w:r>
              <w:rPr>
                <w:rFonts w:eastAsia="宋体"/>
                <w:b/>
                <w:bCs/>
                <w:sz w:val="18"/>
                <w:szCs w:val="18"/>
                <w:lang w:eastAsia="en-US"/>
              </w:rPr>
              <w:t>是否美国</w:t>
            </w:r>
            <w:r>
              <w:rPr>
                <w:rFonts w:eastAsia="宋体"/>
                <w:b/>
                <w:bCs/>
                <w:spacing w:val="1"/>
                <w:sz w:val="18"/>
                <w:szCs w:val="18"/>
                <w:lang w:eastAsia="en-US"/>
              </w:rPr>
              <w:t>HAP</w:t>
            </w:r>
          </w:p>
        </w:tc>
        <w:tc>
          <w:tcPr>
            <w:tcW w:w="278" w:type="pct"/>
            <w:tcBorders>
              <w:top w:val="single" w:color="000000" w:sz="4" w:space="0"/>
              <w:left w:val="single" w:color="000000" w:sz="4" w:space="0"/>
              <w:right w:val="single" w:color="000000" w:sz="4" w:space="0"/>
            </w:tcBorders>
            <w:vAlign w:val="center"/>
          </w:tcPr>
          <w:p>
            <w:pPr>
              <w:pStyle w:val="122"/>
              <w:jc w:val="center"/>
              <w:rPr>
                <w:rFonts w:eastAsia="宋体"/>
                <w:b/>
                <w:bCs/>
                <w:sz w:val="18"/>
                <w:szCs w:val="18"/>
                <w:lang w:eastAsia="en-US"/>
              </w:rPr>
            </w:pPr>
            <w:r>
              <w:rPr>
                <w:rFonts w:eastAsia="宋体"/>
                <w:b/>
                <w:bCs/>
                <w:sz w:val="18"/>
                <w:szCs w:val="18"/>
                <w:lang w:eastAsia="en-US"/>
              </w:rPr>
              <w:t>产量/排放大小</w:t>
            </w:r>
          </w:p>
        </w:tc>
        <w:tc>
          <w:tcPr>
            <w:tcW w:w="250" w:type="pct"/>
            <w:tcBorders>
              <w:top w:val="single" w:color="000000" w:sz="4" w:space="0"/>
              <w:left w:val="single" w:color="000000" w:sz="4" w:space="0"/>
              <w:right w:val="single" w:color="000000" w:sz="4" w:space="0"/>
            </w:tcBorders>
            <w:vAlign w:val="center"/>
          </w:tcPr>
          <w:p>
            <w:pPr>
              <w:pStyle w:val="122"/>
              <w:jc w:val="center"/>
              <w:rPr>
                <w:rFonts w:eastAsia="宋体"/>
                <w:b/>
                <w:bCs/>
                <w:sz w:val="18"/>
                <w:szCs w:val="18"/>
                <w:lang w:eastAsia="en-US"/>
              </w:rPr>
            </w:pPr>
            <w:r>
              <w:rPr>
                <w:rFonts w:eastAsia="宋体"/>
                <w:b/>
                <w:bCs/>
                <w:sz w:val="18"/>
                <w:szCs w:val="18"/>
                <w:lang w:eastAsia="en-US"/>
              </w:rPr>
              <w:t>致癌性</w:t>
            </w:r>
          </w:p>
        </w:tc>
        <w:tc>
          <w:tcPr>
            <w:tcW w:w="284" w:type="pct"/>
            <w:tcBorders>
              <w:top w:val="single" w:color="000000" w:sz="4" w:space="0"/>
              <w:left w:val="single" w:color="000000" w:sz="4" w:space="0"/>
              <w:right w:val="single" w:color="000000" w:sz="4" w:space="0"/>
            </w:tcBorders>
            <w:vAlign w:val="center"/>
          </w:tcPr>
          <w:p>
            <w:pPr>
              <w:pStyle w:val="122"/>
              <w:jc w:val="center"/>
              <w:rPr>
                <w:rFonts w:eastAsia="宋体"/>
                <w:b/>
                <w:bCs/>
                <w:sz w:val="18"/>
                <w:szCs w:val="18"/>
                <w:lang w:eastAsia="en-US"/>
              </w:rPr>
            </w:pPr>
            <w:r>
              <w:rPr>
                <w:rFonts w:eastAsia="宋体"/>
                <w:b/>
                <w:bCs/>
                <w:sz w:val="18"/>
                <w:szCs w:val="18"/>
                <w:lang w:eastAsia="en-US"/>
              </w:rPr>
              <w:t>恶臭性</w:t>
            </w:r>
          </w:p>
        </w:tc>
        <w:tc>
          <w:tcPr>
            <w:tcW w:w="300" w:type="pct"/>
            <w:tcBorders>
              <w:top w:val="single" w:color="000000" w:sz="4" w:space="0"/>
              <w:left w:val="single" w:color="000000" w:sz="4" w:space="0"/>
              <w:right w:val="single" w:color="000000" w:sz="4" w:space="0"/>
            </w:tcBorders>
            <w:vAlign w:val="center"/>
          </w:tcPr>
          <w:p>
            <w:pPr>
              <w:pStyle w:val="122"/>
              <w:jc w:val="center"/>
              <w:rPr>
                <w:rFonts w:eastAsia="宋体"/>
                <w:b/>
                <w:bCs/>
                <w:sz w:val="18"/>
                <w:szCs w:val="18"/>
                <w:lang w:eastAsia="en-US"/>
              </w:rPr>
            </w:pPr>
            <w:r>
              <w:rPr>
                <w:rFonts w:eastAsia="宋体"/>
                <w:b/>
                <w:bCs/>
                <w:sz w:val="18"/>
                <w:szCs w:val="18"/>
                <w:lang w:eastAsia="en-US"/>
              </w:rPr>
              <w:t>欧盟分类等级</w:t>
            </w:r>
          </w:p>
        </w:tc>
        <w:tc>
          <w:tcPr>
            <w:tcW w:w="369" w:type="pct"/>
            <w:tcBorders>
              <w:top w:val="single" w:color="000000" w:sz="4" w:space="0"/>
              <w:left w:val="single" w:color="000000" w:sz="4" w:space="0"/>
              <w:right w:val="single" w:color="000000" w:sz="4" w:space="0"/>
            </w:tcBorders>
            <w:vAlign w:val="center"/>
          </w:tcPr>
          <w:p>
            <w:pPr>
              <w:pStyle w:val="122"/>
              <w:jc w:val="center"/>
              <w:rPr>
                <w:rFonts w:eastAsia="宋体"/>
                <w:b/>
                <w:bCs/>
                <w:sz w:val="18"/>
                <w:szCs w:val="18"/>
                <w:lang w:eastAsia="en-US"/>
              </w:rPr>
            </w:pPr>
            <w:r>
              <w:rPr>
                <w:rFonts w:eastAsia="宋体"/>
                <w:b/>
                <w:bCs/>
                <w:sz w:val="18"/>
                <w:szCs w:val="18"/>
                <w:lang w:eastAsia="en-US"/>
              </w:rPr>
              <w:t>环境空气检出率</w:t>
            </w:r>
          </w:p>
        </w:tc>
        <w:tc>
          <w:tcPr>
            <w:tcW w:w="233" w:type="pct"/>
            <w:tcBorders>
              <w:top w:val="single" w:color="000000" w:sz="4" w:space="0"/>
              <w:left w:val="single" w:color="000000" w:sz="4" w:space="0"/>
              <w:right w:val="single" w:color="000000" w:sz="4" w:space="0"/>
            </w:tcBorders>
            <w:vAlign w:val="center"/>
          </w:tcPr>
          <w:p>
            <w:pPr>
              <w:pStyle w:val="122"/>
              <w:jc w:val="center"/>
              <w:rPr>
                <w:rFonts w:eastAsia="宋体"/>
                <w:b/>
                <w:bCs/>
                <w:sz w:val="18"/>
                <w:szCs w:val="18"/>
                <w:lang w:eastAsia="en-US"/>
              </w:rPr>
            </w:pPr>
            <w:r>
              <w:rPr>
                <w:rFonts w:eastAsia="宋体"/>
                <w:b/>
                <w:bCs/>
                <w:sz w:val="18"/>
                <w:szCs w:val="18"/>
                <w:lang w:eastAsia="en-US"/>
              </w:rPr>
              <w:t>污染源检出率</w:t>
            </w:r>
          </w:p>
        </w:tc>
        <w:tc>
          <w:tcPr>
            <w:tcW w:w="406" w:type="pct"/>
            <w:tcBorders>
              <w:top w:val="single" w:color="000000" w:sz="4" w:space="0"/>
              <w:left w:val="single" w:color="000000" w:sz="4" w:space="0"/>
              <w:right w:val="single" w:color="000000" w:sz="4" w:space="0"/>
            </w:tcBorders>
            <w:vAlign w:val="center"/>
          </w:tcPr>
          <w:p>
            <w:pPr>
              <w:pStyle w:val="122"/>
              <w:jc w:val="center"/>
              <w:rPr>
                <w:rFonts w:eastAsia="宋体"/>
                <w:b/>
                <w:bCs/>
                <w:sz w:val="18"/>
                <w:szCs w:val="18"/>
                <w:lang w:eastAsia="zh-CN"/>
              </w:rPr>
            </w:pPr>
            <w:r>
              <w:rPr>
                <w:rFonts w:eastAsia="宋体"/>
                <w:b/>
                <w:bCs/>
                <w:sz w:val="18"/>
                <w:szCs w:val="18"/>
                <w:lang w:eastAsia="zh-CN"/>
              </w:rPr>
              <w:t>对二次气溶胶和臭氧贡献（</w:t>
            </w:r>
            <w:r>
              <w:rPr>
                <w:rFonts w:eastAsia="宋体"/>
                <w:b/>
                <w:bCs/>
                <w:spacing w:val="1"/>
                <w:sz w:val="18"/>
                <w:szCs w:val="18"/>
                <w:lang w:eastAsia="zh-CN"/>
              </w:rPr>
              <w:t>PO</w:t>
            </w:r>
            <w:r>
              <w:rPr>
                <w:rFonts w:eastAsia="宋体"/>
                <w:b/>
                <w:bCs/>
                <w:spacing w:val="-2"/>
                <w:sz w:val="18"/>
                <w:szCs w:val="18"/>
                <w:lang w:eastAsia="zh-CN"/>
              </w:rPr>
              <w:t>C</w:t>
            </w:r>
            <w:r>
              <w:rPr>
                <w:rFonts w:eastAsia="宋体"/>
                <w:b/>
                <w:bCs/>
                <w:spacing w:val="1"/>
                <w:sz w:val="18"/>
                <w:szCs w:val="18"/>
                <w:lang w:eastAsia="zh-CN"/>
              </w:rPr>
              <w:t>P</w:t>
            </w:r>
            <w:r>
              <w:rPr>
                <w:rFonts w:eastAsia="宋体"/>
                <w:b/>
                <w:bCs/>
                <w:sz w:val="18"/>
                <w:szCs w:val="18"/>
                <w:lang w:eastAsia="zh-CN"/>
              </w:rPr>
              <w:t>）</w:t>
            </w:r>
          </w:p>
        </w:tc>
        <w:tc>
          <w:tcPr>
            <w:tcW w:w="356" w:type="pct"/>
            <w:tcBorders>
              <w:top w:val="single" w:color="000000" w:sz="4" w:space="0"/>
              <w:left w:val="single" w:color="000000" w:sz="4" w:space="0"/>
              <w:right w:val="single" w:color="000000" w:sz="4" w:space="0"/>
            </w:tcBorders>
            <w:vAlign w:val="center"/>
          </w:tcPr>
          <w:p>
            <w:pPr>
              <w:pStyle w:val="122"/>
              <w:jc w:val="center"/>
              <w:rPr>
                <w:rFonts w:eastAsia="宋体"/>
                <w:b/>
                <w:bCs/>
                <w:sz w:val="18"/>
                <w:szCs w:val="18"/>
                <w:lang w:eastAsia="en-US"/>
              </w:rPr>
            </w:pPr>
            <w:r>
              <w:rPr>
                <w:rFonts w:eastAsia="宋体"/>
                <w:b/>
                <w:bCs/>
                <w:spacing w:val="50"/>
                <w:sz w:val="18"/>
                <w:szCs w:val="18"/>
                <w:lang w:eastAsia="en-US"/>
              </w:rPr>
              <w:t>国内行标准纳</w:t>
            </w:r>
            <w:r>
              <w:rPr>
                <w:rFonts w:eastAsia="宋体"/>
                <w:b/>
                <w:bCs/>
                <w:sz w:val="18"/>
                <w:szCs w:val="18"/>
                <w:lang w:eastAsia="en-US"/>
              </w:rPr>
              <w:t>入</w:t>
            </w:r>
            <w:r>
              <w:rPr>
                <w:rFonts w:eastAsia="宋体"/>
                <w:b/>
                <w:bCs/>
                <w:spacing w:val="-40"/>
                <w:sz w:val="18"/>
                <w:szCs w:val="18"/>
                <w:lang w:eastAsia="en-US"/>
              </w:rPr>
              <w:t xml:space="preserve"> </w:t>
            </w:r>
            <w:r>
              <w:rPr>
                <w:rFonts w:eastAsia="宋体"/>
                <w:b/>
                <w:bCs/>
                <w:sz w:val="18"/>
                <w:szCs w:val="18"/>
                <w:lang w:eastAsia="en-US"/>
              </w:rPr>
              <w:t>情况</w:t>
            </w:r>
          </w:p>
        </w:tc>
        <w:tc>
          <w:tcPr>
            <w:tcW w:w="559" w:type="pct"/>
            <w:tcBorders>
              <w:top w:val="single" w:color="000000" w:sz="4" w:space="0"/>
              <w:left w:val="single" w:color="000000" w:sz="4" w:space="0"/>
              <w:right w:val="single" w:color="000000" w:sz="4" w:space="0"/>
            </w:tcBorders>
            <w:vAlign w:val="center"/>
          </w:tcPr>
          <w:p>
            <w:pPr>
              <w:pStyle w:val="122"/>
              <w:jc w:val="center"/>
              <w:rPr>
                <w:rFonts w:eastAsia="宋体"/>
                <w:b/>
                <w:bCs/>
                <w:sz w:val="18"/>
                <w:szCs w:val="18"/>
                <w:lang w:eastAsia="en-US"/>
              </w:rPr>
            </w:pPr>
            <w:r>
              <w:rPr>
                <w:rFonts w:eastAsia="宋体"/>
                <w:b/>
                <w:bCs/>
                <w:sz w:val="18"/>
                <w:szCs w:val="18"/>
                <w:lang w:eastAsia="en-US"/>
              </w:rPr>
              <w:t>国外标准纳入情况</w:t>
            </w:r>
          </w:p>
        </w:tc>
        <w:tc>
          <w:tcPr>
            <w:tcW w:w="356" w:type="pct"/>
            <w:tcBorders>
              <w:top w:val="single" w:color="000000" w:sz="4" w:space="0"/>
              <w:left w:val="single" w:color="000000" w:sz="4" w:space="0"/>
              <w:right w:val="single" w:color="000000" w:sz="4" w:space="0"/>
            </w:tcBorders>
            <w:vAlign w:val="center"/>
          </w:tcPr>
          <w:p>
            <w:pPr>
              <w:pStyle w:val="122"/>
              <w:jc w:val="center"/>
              <w:rPr>
                <w:rFonts w:eastAsia="宋体"/>
                <w:b/>
                <w:bCs/>
                <w:sz w:val="18"/>
                <w:szCs w:val="18"/>
                <w:lang w:eastAsia="en-US"/>
              </w:rPr>
            </w:pPr>
            <w:r>
              <w:rPr>
                <w:rFonts w:eastAsia="宋体"/>
                <w:b/>
                <w:bCs/>
                <w:sz w:val="18"/>
                <w:szCs w:val="18"/>
                <w:lang w:eastAsia="en-US"/>
              </w:rPr>
              <w:t>国家综排纳入情况</w:t>
            </w:r>
          </w:p>
        </w:tc>
        <w:tc>
          <w:tcPr>
            <w:tcW w:w="580" w:type="pct"/>
            <w:tcBorders>
              <w:top w:val="single" w:color="000000" w:sz="4" w:space="0"/>
              <w:left w:val="single" w:color="000000" w:sz="4" w:space="0"/>
              <w:right w:val="single" w:color="000000" w:sz="4" w:space="0"/>
            </w:tcBorders>
            <w:vAlign w:val="center"/>
          </w:tcPr>
          <w:p>
            <w:pPr>
              <w:pStyle w:val="122"/>
              <w:jc w:val="center"/>
              <w:rPr>
                <w:rFonts w:eastAsia="宋体"/>
                <w:b/>
                <w:bCs/>
                <w:sz w:val="18"/>
                <w:szCs w:val="18"/>
                <w:lang w:eastAsia="en-US"/>
              </w:rPr>
            </w:pPr>
            <w:r>
              <w:rPr>
                <w:rFonts w:eastAsia="宋体"/>
                <w:b/>
                <w:bCs/>
                <w:sz w:val="18"/>
                <w:szCs w:val="18"/>
                <w:lang w:eastAsia="en-US"/>
              </w:rPr>
              <w:t>纳入原因</w:t>
            </w:r>
          </w:p>
        </w:tc>
      </w:tr>
      <w:tr>
        <w:tblPrEx>
          <w:tblCellMar>
            <w:top w:w="0" w:type="dxa"/>
            <w:left w:w="0" w:type="dxa"/>
            <w:bottom w:w="0" w:type="dxa"/>
            <w:right w:w="0" w:type="dxa"/>
          </w:tblCellMar>
        </w:tblPrEx>
        <w:trPr>
          <w:trHeight w:val="20" w:hRule="atLeast"/>
        </w:trPr>
        <w:tc>
          <w:tcPr>
            <w:tcW w:w="476" w:type="pct"/>
            <w:tcBorders>
              <w:top w:val="single" w:color="000000" w:sz="4" w:space="0"/>
              <w:left w:val="single" w:color="000000" w:sz="4" w:space="0"/>
              <w:bottom w:val="single" w:color="auto" w:sz="4" w:space="0"/>
              <w:right w:val="single" w:color="000000" w:sz="4" w:space="0"/>
            </w:tcBorders>
            <w:vAlign w:val="center"/>
          </w:tcPr>
          <w:p>
            <w:pPr>
              <w:pStyle w:val="122"/>
              <w:jc w:val="center"/>
              <w:rPr>
                <w:rFonts w:eastAsia="宋体"/>
                <w:sz w:val="18"/>
                <w:szCs w:val="18"/>
                <w:lang w:eastAsia="en-US"/>
              </w:rPr>
            </w:pPr>
            <w:r>
              <w:rPr>
                <w:rFonts w:eastAsia="宋体"/>
                <w:sz w:val="18"/>
                <w:szCs w:val="18"/>
                <w:lang w:eastAsia="en-US"/>
              </w:rPr>
              <w:t>苯</w:t>
            </w:r>
          </w:p>
        </w:tc>
        <w:tc>
          <w:tcPr>
            <w:tcW w:w="305" w:type="pct"/>
            <w:tcBorders>
              <w:top w:val="single" w:color="000000" w:sz="4" w:space="0"/>
              <w:left w:val="single" w:color="000000" w:sz="4" w:space="0"/>
              <w:bottom w:val="single" w:color="auto" w:sz="4" w:space="0"/>
              <w:right w:val="single" w:color="000000"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FF8B00"/>
                <w:sz w:val="21"/>
                <w:szCs w:val="21"/>
                <w:lang w:eastAsia="en-US"/>
              </w:rPr>
              <w:t>T</w:t>
            </w:r>
          </w:p>
        </w:tc>
        <w:tc>
          <w:tcPr>
            <w:tcW w:w="246" w:type="pct"/>
            <w:tcBorders>
              <w:top w:val="single" w:color="000000" w:sz="4" w:space="0"/>
              <w:left w:val="single" w:color="000000" w:sz="4" w:space="0"/>
              <w:bottom w:val="single" w:color="auto" w:sz="4" w:space="0"/>
              <w:right w:val="single" w:color="000000"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lang w:eastAsia="zh-CN"/>
              </w:rPr>
            </w:pPr>
            <w:r>
              <w:rPr>
                <w:rFonts w:ascii="Times New Roman" w:hAnsi="Times New Roman"/>
                <w:lang w:eastAsia="zh-CN"/>
              </w:rPr>
              <w:t>/</w:t>
            </w:r>
          </w:p>
        </w:tc>
        <w:tc>
          <w:tcPr>
            <w:tcW w:w="250" w:type="pct"/>
            <w:tcBorders>
              <w:top w:val="single" w:color="000000" w:sz="4" w:space="0"/>
              <w:left w:val="single" w:color="000000" w:sz="4" w:space="0"/>
              <w:bottom w:val="single" w:color="auto" w:sz="4" w:space="0"/>
              <w:right w:val="single" w:color="000000" w:sz="4" w:space="0"/>
            </w:tcBorders>
            <w:vAlign w:val="center"/>
          </w:tcPr>
          <w:p>
            <w:pPr>
              <w:pStyle w:val="122"/>
              <w:jc w:val="center"/>
              <w:rPr>
                <w:rFonts w:eastAsia="宋体"/>
                <w:sz w:val="18"/>
                <w:szCs w:val="18"/>
                <w:lang w:eastAsia="en-US"/>
              </w:rPr>
            </w:pPr>
            <w:r>
              <w:rPr>
                <w:rFonts w:eastAsia="宋体"/>
                <w:spacing w:val="1"/>
                <w:sz w:val="18"/>
                <w:szCs w:val="18"/>
                <w:lang w:eastAsia="en-US"/>
              </w:rPr>
              <w:t>Ca</w:t>
            </w:r>
            <w:r>
              <w:rPr>
                <w:rFonts w:eastAsia="宋体"/>
                <w:spacing w:val="-2"/>
                <w:sz w:val="18"/>
                <w:szCs w:val="18"/>
                <w:lang w:eastAsia="en-US"/>
              </w:rPr>
              <w:t>t</w:t>
            </w:r>
            <w:r>
              <w:rPr>
                <w:rFonts w:eastAsia="宋体"/>
                <w:sz w:val="18"/>
                <w:szCs w:val="18"/>
                <w:lang w:eastAsia="en-US"/>
              </w:rPr>
              <w:t>1</w:t>
            </w:r>
          </w:p>
        </w:tc>
        <w:tc>
          <w:tcPr>
            <w:tcW w:w="284" w:type="pct"/>
            <w:tcBorders>
              <w:top w:val="single" w:color="000000" w:sz="4" w:space="0"/>
              <w:left w:val="single" w:color="000000" w:sz="4" w:space="0"/>
              <w:bottom w:val="single" w:color="auto" w:sz="4" w:space="0"/>
              <w:right w:val="single" w:color="000000" w:sz="4" w:space="0"/>
            </w:tcBorders>
            <w:vAlign w:val="center"/>
          </w:tcPr>
          <w:p>
            <w:pPr>
              <w:pStyle w:val="122"/>
              <w:jc w:val="center"/>
              <w:rPr>
                <w:rFonts w:eastAsia="宋体"/>
                <w:sz w:val="18"/>
                <w:szCs w:val="18"/>
                <w:lang w:eastAsia="en-US"/>
              </w:rPr>
            </w:pPr>
            <w:r>
              <w:rPr>
                <w:rFonts w:eastAsia="宋体"/>
                <w:spacing w:val="1"/>
                <w:sz w:val="18"/>
                <w:szCs w:val="18"/>
                <w:lang w:eastAsia="en-US"/>
              </w:rPr>
              <w:t>8.</w:t>
            </w:r>
            <w:r>
              <w:rPr>
                <w:rFonts w:eastAsia="宋体"/>
                <w:spacing w:val="-2"/>
                <w:sz w:val="18"/>
                <w:szCs w:val="18"/>
                <w:lang w:eastAsia="en-US"/>
              </w:rPr>
              <w:t>6</w:t>
            </w:r>
            <w:r>
              <w:rPr>
                <w:rFonts w:eastAsia="宋体"/>
                <w:sz w:val="18"/>
                <w:szCs w:val="18"/>
                <w:lang w:eastAsia="en-US"/>
              </w:rPr>
              <w:t>5</w:t>
            </w:r>
          </w:p>
        </w:tc>
        <w:tc>
          <w:tcPr>
            <w:tcW w:w="300" w:type="pct"/>
            <w:tcBorders>
              <w:top w:val="single" w:color="000000" w:sz="4" w:space="0"/>
              <w:left w:val="single" w:color="000000" w:sz="4" w:space="0"/>
              <w:bottom w:val="single" w:color="auto" w:sz="4" w:space="0"/>
              <w:right w:val="single" w:color="000000" w:sz="4" w:space="0"/>
            </w:tcBorders>
            <w:vAlign w:val="center"/>
          </w:tcPr>
          <w:p>
            <w:pPr>
              <w:pStyle w:val="122"/>
              <w:jc w:val="center"/>
              <w:rPr>
                <w:rFonts w:eastAsia="宋体"/>
                <w:sz w:val="18"/>
                <w:szCs w:val="18"/>
                <w:lang w:eastAsia="en-US"/>
              </w:rPr>
            </w:pPr>
            <w:r>
              <w:rPr>
                <w:rFonts w:eastAsia="宋体"/>
                <w:sz w:val="18"/>
                <w:szCs w:val="18"/>
                <w:lang w:eastAsia="en-US"/>
              </w:rPr>
              <w:t>高毒害</w:t>
            </w:r>
          </w:p>
        </w:tc>
        <w:tc>
          <w:tcPr>
            <w:tcW w:w="369" w:type="pct"/>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lang w:eastAsia="en-US"/>
              </w:rPr>
            </w:pPr>
            <w:r>
              <w:rPr>
                <w:rFonts w:ascii="Times New Roman" w:hAnsi="Times New Roman"/>
                <w:lang w:eastAsia="zh-CN"/>
              </w:rPr>
              <w:t>/</w:t>
            </w:r>
          </w:p>
        </w:tc>
        <w:tc>
          <w:tcPr>
            <w:tcW w:w="233" w:type="pct"/>
            <w:tcBorders>
              <w:top w:val="single" w:color="000000" w:sz="4" w:space="0"/>
              <w:left w:val="single" w:color="000000" w:sz="4" w:space="0"/>
              <w:bottom w:val="single" w:color="auto" w:sz="4" w:space="0"/>
              <w:right w:val="single" w:color="000000" w:sz="4" w:space="0"/>
            </w:tcBorders>
            <w:vAlign w:val="center"/>
          </w:tcPr>
          <w:p>
            <w:pPr>
              <w:pStyle w:val="122"/>
              <w:jc w:val="center"/>
              <w:rPr>
                <w:rFonts w:eastAsia="宋体"/>
                <w:sz w:val="18"/>
                <w:szCs w:val="18"/>
                <w:lang w:eastAsia="en-US"/>
              </w:rPr>
            </w:pPr>
            <w:r>
              <w:rPr>
                <w:rFonts w:eastAsia="宋体"/>
                <w:sz w:val="18"/>
                <w:szCs w:val="18"/>
                <w:lang w:eastAsia="en-US"/>
              </w:rPr>
              <w:t>高</w:t>
            </w:r>
          </w:p>
        </w:tc>
        <w:tc>
          <w:tcPr>
            <w:tcW w:w="406" w:type="pct"/>
            <w:tcBorders>
              <w:top w:val="single" w:color="000000" w:sz="4" w:space="0"/>
              <w:left w:val="single" w:color="000000" w:sz="4" w:space="0"/>
              <w:bottom w:val="single" w:color="auto" w:sz="4" w:space="0"/>
              <w:right w:val="single" w:color="000000" w:sz="4" w:space="0"/>
            </w:tcBorders>
            <w:vAlign w:val="center"/>
          </w:tcPr>
          <w:p>
            <w:pPr>
              <w:pStyle w:val="122"/>
              <w:jc w:val="center"/>
              <w:rPr>
                <w:rFonts w:eastAsia="宋体"/>
                <w:sz w:val="18"/>
                <w:szCs w:val="18"/>
                <w:lang w:eastAsia="en-US"/>
              </w:rPr>
            </w:pPr>
            <w:r>
              <w:rPr>
                <w:rFonts w:eastAsia="宋体"/>
                <w:sz w:val="18"/>
                <w:szCs w:val="18"/>
                <w:lang w:eastAsia="en-US"/>
              </w:rPr>
              <w:t>是</w:t>
            </w:r>
            <w:r>
              <w:rPr>
                <w:rFonts w:eastAsia="宋体"/>
                <w:sz w:val="18"/>
                <w:szCs w:val="18"/>
                <w:lang w:eastAsia="zh-CN"/>
              </w:rPr>
              <w:t>（</w:t>
            </w:r>
            <w:r>
              <w:rPr>
                <w:rFonts w:eastAsia="宋体"/>
                <w:spacing w:val="1"/>
                <w:sz w:val="18"/>
                <w:szCs w:val="18"/>
                <w:lang w:eastAsia="en-US"/>
              </w:rPr>
              <w:t>3</w:t>
            </w:r>
            <w:r>
              <w:rPr>
                <w:rFonts w:eastAsia="宋体"/>
                <w:spacing w:val="-2"/>
                <w:sz w:val="18"/>
                <w:szCs w:val="18"/>
                <w:lang w:eastAsia="en-US"/>
              </w:rPr>
              <w:t>2</w:t>
            </w:r>
            <w:r>
              <w:rPr>
                <w:rFonts w:eastAsia="宋体"/>
                <w:sz w:val="18"/>
                <w:szCs w:val="18"/>
                <w:lang w:eastAsia="zh-CN"/>
              </w:rPr>
              <w:t>）</w:t>
            </w:r>
          </w:p>
        </w:tc>
        <w:tc>
          <w:tcPr>
            <w:tcW w:w="356" w:type="pct"/>
            <w:tcBorders>
              <w:top w:val="single" w:color="000000" w:sz="4" w:space="0"/>
              <w:left w:val="single" w:color="000000" w:sz="4" w:space="0"/>
              <w:bottom w:val="single" w:color="auto" w:sz="4" w:space="0"/>
              <w:right w:val="single" w:color="000000"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000000" w:sz="4" w:space="0"/>
              <w:left w:val="single" w:color="000000" w:sz="4" w:space="0"/>
              <w:bottom w:val="single" w:color="auto" w:sz="4" w:space="0"/>
              <w:right w:val="single" w:color="000000" w:sz="4" w:space="0"/>
            </w:tcBorders>
            <w:vAlign w:val="center"/>
          </w:tcPr>
          <w:p>
            <w:pPr>
              <w:pStyle w:val="122"/>
              <w:jc w:val="center"/>
              <w:rPr>
                <w:rFonts w:eastAsia="宋体"/>
                <w:sz w:val="18"/>
                <w:szCs w:val="18"/>
                <w:lang w:eastAsia="en-US"/>
              </w:rPr>
            </w:pPr>
            <w:r>
              <w:rPr>
                <w:rFonts w:eastAsia="宋体"/>
                <w:sz w:val="18"/>
                <w:szCs w:val="18"/>
                <w:lang w:eastAsia="en-US"/>
              </w:rPr>
              <w:t>大部分国家有</w:t>
            </w:r>
          </w:p>
        </w:tc>
        <w:tc>
          <w:tcPr>
            <w:tcW w:w="356" w:type="pct"/>
            <w:tcBorders>
              <w:top w:val="single" w:color="000000" w:sz="4" w:space="0"/>
              <w:left w:val="single" w:color="000000" w:sz="4" w:space="0"/>
              <w:bottom w:val="single" w:color="auto" w:sz="4" w:space="0"/>
              <w:right w:val="single" w:color="000000"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80" w:type="pct"/>
            <w:tcBorders>
              <w:top w:val="single" w:color="000000" w:sz="4" w:space="0"/>
              <w:left w:val="single" w:color="000000" w:sz="4" w:space="0"/>
              <w:bottom w:val="single" w:color="auto" w:sz="4" w:space="0"/>
              <w:right w:val="single" w:color="000000" w:sz="4" w:space="0"/>
            </w:tcBorders>
            <w:vAlign w:val="center"/>
          </w:tcPr>
          <w:p>
            <w:pPr>
              <w:pStyle w:val="122"/>
              <w:jc w:val="center"/>
              <w:rPr>
                <w:lang w:eastAsia="en-US"/>
              </w:rPr>
            </w:pPr>
            <w:r>
              <w:rPr>
                <w:rFonts w:eastAsia="宋体"/>
                <w:sz w:val="18"/>
                <w:szCs w:val="18"/>
                <w:lang w:eastAsia="zh-CN"/>
              </w:rPr>
              <w:t>高毒性</w:t>
            </w: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甲苯</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FF8B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G3</w:t>
            </w:r>
          </w:p>
        </w:tc>
        <w:tc>
          <w:tcPr>
            <w:tcW w:w="284"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0.</w:t>
            </w:r>
            <w:r>
              <w:rPr>
                <w:rFonts w:eastAsia="宋体"/>
                <w:spacing w:val="-2"/>
                <w:sz w:val="18"/>
                <w:szCs w:val="18"/>
                <w:lang w:eastAsia="en-US"/>
              </w:rPr>
              <w:t>1</w:t>
            </w:r>
            <w:r>
              <w:rPr>
                <w:rFonts w:eastAsia="宋体"/>
                <w:sz w:val="18"/>
                <w:szCs w:val="18"/>
                <w:lang w:eastAsia="en-US"/>
              </w:rPr>
              <w:t>6</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高毒害</w:t>
            </w:r>
          </w:p>
        </w:tc>
        <w:tc>
          <w:tcPr>
            <w:tcW w:w="36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高</w:t>
            </w:r>
          </w:p>
        </w:tc>
        <w:tc>
          <w:tcPr>
            <w:tcW w:w="233"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高</w:t>
            </w:r>
          </w:p>
        </w:tc>
        <w:tc>
          <w:tcPr>
            <w:tcW w:w="40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r>
              <w:rPr>
                <w:rFonts w:eastAsia="宋体"/>
                <w:spacing w:val="1"/>
                <w:sz w:val="18"/>
                <w:szCs w:val="18"/>
                <w:lang w:eastAsia="en-US"/>
              </w:rPr>
              <w:t>77</w:t>
            </w:r>
            <w:r>
              <w:rPr>
                <w:rFonts w:eastAsia="宋体"/>
                <w:sz w:val="18"/>
                <w:szCs w:val="18"/>
                <w:lang w:eastAsia="en-US"/>
              </w:rPr>
              <w:t>）</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大部分国家有</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80" w:type="pct"/>
            <w:vMerge w:val="restart"/>
            <w:tcBorders>
              <w:top w:val="single" w:color="auto" w:sz="4" w:space="0"/>
              <w:left w:val="single" w:color="auto" w:sz="4" w:space="0"/>
              <w:right w:val="single" w:color="auto" w:sz="4" w:space="0"/>
            </w:tcBorders>
            <w:vAlign w:val="center"/>
          </w:tcPr>
          <w:p>
            <w:pPr>
              <w:pStyle w:val="122"/>
              <w:jc w:val="center"/>
              <w:rPr>
                <w:rFonts w:eastAsia="宋体"/>
                <w:sz w:val="18"/>
                <w:szCs w:val="18"/>
                <w:lang w:eastAsia="zh-CN"/>
              </w:rPr>
            </w:pPr>
            <w:r>
              <w:rPr>
                <w:rFonts w:eastAsia="宋体"/>
                <w:sz w:val="18"/>
                <w:szCs w:val="18"/>
                <w:lang w:eastAsia="zh-CN"/>
              </w:rPr>
              <w:t>对二次污染贡献大，归为苯系物（包括苯、甲苯、二甲苯、三甲苯、乙苯、苯乙烯）</w:t>
            </w: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对二甲苯</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FF8B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G3</w:t>
            </w:r>
          </w:p>
        </w:tc>
        <w:tc>
          <w:tcPr>
            <w:tcW w:w="28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中等</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sz w:val="18"/>
                <w:szCs w:val="18"/>
                <w:lang w:eastAsia="en-US"/>
              </w:rPr>
              <w:t>高</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r>
              <w:rPr>
                <w:rFonts w:eastAsia="宋体"/>
                <w:spacing w:val="1"/>
                <w:sz w:val="18"/>
                <w:szCs w:val="18"/>
                <w:lang w:eastAsia="en-US"/>
              </w:rPr>
              <w:t>109</w:t>
            </w:r>
            <w:r>
              <w:rPr>
                <w:rFonts w:eastAsia="宋体"/>
                <w:sz w:val="18"/>
                <w:szCs w:val="18"/>
                <w:lang w:eastAsia="en-US"/>
              </w:rPr>
              <w:t>）</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大部分国家有</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80" w:type="pct"/>
            <w:vMerge w:val="continue"/>
            <w:tcBorders>
              <w:left w:val="single" w:color="auto" w:sz="4" w:space="0"/>
              <w:right w:val="single" w:color="auto" w:sz="4" w:space="0"/>
            </w:tcBorders>
            <w:vAlign w:val="center"/>
          </w:tcPr>
          <w:p>
            <w:pPr>
              <w:pStyle w:val="122"/>
              <w:jc w:val="center"/>
              <w:rPr>
                <w:rFonts w:eastAsia="宋体"/>
                <w:sz w:val="18"/>
                <w:szCs w:val="18"/>
                <w:lang w:eastAsia="zh-CN"/>
              </w:rPr>
            </w:pP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间二甲苯</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FF8B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G3</w:t>
            </w:r>
          </w:p>
        </w:tc>
        <w:tc>
          <w:tcPr>
            <w:tcW w:w="28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中等</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sz w:val="18"/>
                <w:szCs w:val="18"/>
                <w:lang w:eastAsia="en-US"/>
              </w:rPr>
              <w:t>高</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r>
              <w:rPr>
                <w:rFonts w:eastAsia="宋体"/>
                <w:spacing w:val="1"/>
                <w:sz w:val="18"/>
                <w:szCs w:val="18"/>
                <w:lang w:eastAsia="en-US"/>
              </w:rPr>
              <w:t>109</w:t>
            </w:r>
            <w:r>
              <w:rPr>
                <w:rFonts w:eastAsia="宋体"/>
                <w:sz w:val="18"/>
                <w:szCs w:val="18"/>
                <w:lang w:eastAsia="en-US"/>
              </w:rPr>
              <w:t>）</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大部分国家有</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80" w:type="pct"/>
            <w:vMerge w:val="continue"/>
            <w:tcBorders>
              <w:left w:val="single" w:color="auto" w:sz="4" w:space="0"/>
              <w:right w:val="single" w:color="auto" w:sz="4" w:space="0"/>
            </w:tcBorders>
            <w:vAlign w:val="center"/>
          </w:tcPr>
          <w:p>
            <w:pPr>
              <w:pStyle w:val="122"/>
              <w:jc w:val="center"/>
              <w:rPr>
                <w:rFonts w:eastAsia="宋体"/>
                <w:sz w:val="18"/>
                <w:szCs w:val="18"/>
                <w:lang w:eastAsia="zh-CN"/>
              </w:rPr>
            </w:pP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邻二甲苯</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FF8B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G3</w:t>
            </w:r>
          </w:p>
        </w:tc>
        <w:tc>
          <w:tcPr>
            <w:tcW w:w="28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低毒害</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sz w:val="18"/>
                <w:szCs w:val="18"/>
                <w:lang w:eastAsia="en-US"/>
              </w:rPr>
              <w:t>高</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r>
              <w:rPr>
                <w:rFonts w:eastAsia="宋体"/>
                <w:spacing w:val="1"/>
                <w:sz w:val="18"/>
                <w:szCs w:val="18"/>
                <w:lang w:eastAsia="en-US"/>
              </w:rPr>
              <w:t>109</w:t>
            </w:r>
            <w:r>
              <w:rPr>
                <w:rFonts w:eastAsia="宋体"/>
                <w:sz w:val="18"/>
                <w:szCs w:val="18"/>
                <w:lang w:eastAsia="en-US"/>
              </w:rPr>
              <w:t>）</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大部分国家有</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80" w:type="pct"/>
            <w:vMerge w:val="continue"/>
            <w:tcBorders>
              <w:left w:val="single" w:color="auto" w:sz="4" w:space="0"/>
              <w:right w:val="single" w:color="auto" w:sz="4" w:space="0"/>
            </w:tcBorders>
            <w:vAlign w:val="center"/>
          </w:tcPr>
          <w:p>
            <w:pPr>
              <w:pStyle w:val="122"/>
              <w:jc w:val="center"/>
              <w:rPr>
                <w:rFonts w:eastAsia="宋体"/>
                <w:sz w:val="18"/>
                <w:szCs w:val="18"/>
                <w:lang w:eastAsia="zh-CN"/>
              </w:rPr>
            </w:pP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三甲苯</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FF8B00"/>
                <w:sz w:val="21"/>
                <w:szCs w:val="21"/>
                <w:lang w:eastAsia="en-US"/>
              </w:rPr>
              <w:t>P</w:t>
            </w:r>
            <w:r>
              <w:rPr>
                <w:rFonts w:eastAsia="Arial"/>
                <w:b/>
                <w:bCs/>
                <w:color w:val="008000"/>
                <w:spacing w:val="-2"/>
                <w:sz w:val="21"/>
                <w:szCs w:val="21"/>
                <w:lang w:eastAsia="en-US"/>
              </w:rPr>
              <w:t>B</w:t>
            </w:r>
            <w:r>
              <w:rPr>
                <w:rFonts w:eastAsia="Arial"/>
                <w:b/>
                <w:bCs/>
                <w:color w:val="FF8B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8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中等</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r>
              <w:rPr>
                <w:rFonts w:eastAsia="宋体"/>
                <w:spacing w:val="1"/>
                <w:sz w:val="18"/>
                <w:szCs w:val="18"/>
                <w:lang w:eastAsia="en-US"/>
              </w:rPr>
              <w:t>130</w:t>
            </w:r>
            <w:r>
              <w:rPr>
                <w:rFonts w:eastAsia="宋体"/>
                <w:sz w:val="18"/>
                <w:szCs w:val="18"/>
                <w:lang w:eastAsia="en-US"/>
              </w:rPr>
              <w:t>）</w:t>
            </w:r>
          </w:p>
        </w:tc>
        <w:tc>
          <w:tcPr>
            <w:tcW w:w="356" w:type="pct"/>
            <w:tcBorders>
              <w:top w:val="single" w:color="auto" w:sz="4" w:space="0"/>
              <w:left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50"/>
                <w:sz w:val="18"/>
                <w:szCs w:val="18"/>
                <w:lang w:eastAsia="en-US"/>
              </w:rPr>
              <w:t>上海地</w:t>
            </w:r>
            <w:r>
              <w:rPr>
                <w:rFonts w:eastAsia="宋体"/>
                <w:sz w:val="18"/>
                <w:szCs w:val="18"/>
                <w:lang w:eastAsia="en-US"/>
              </w:rPr>
              <w:t>方</w:t>
            </w:r>
            <w:r>
              <w:rPr>
                <w:rFonts w:eastAsia="宋体"/>
                <w:spacing w:val="-40"/>
                <w:sz w:val="18"/>
                <w:szCs w:val="18"/>
                <w:lang w:eastAsia="en-US"/>
              </w:rPr>
              <w:t xml:space="preserve"> </w:t>
            </w:r>
            <w:r>
              <w:rPr>
                <w:rFonts w:eastAsia="宋体"/>
                <w:sz w:val="18"/>
                <w:szCs w:val="18"/>
                <w:lang w:eastAsia="en-US"/>
              </w:rPr>
              <w:t>标准</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欧盟</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80" w:type="pct"/>
            <w:vMerge w:val="continue"/>
            <w:tcBorders>
              <w:left w:val="single" w:color="auto" w:sz="4" w:space="0"/>
              <w:right w:val="single" w:color="auto" w:sz="4" w:space="0"/>
            </w:tcBorders>
            <w:vAlign w:val="center"/>
          </w:tcPr>
          <w:p>
            <w:pPr>
              <w:pStyle w:val="122"/>
              <w:jc w:val="center"/>
              <w:rPr>
                <w:rFonts w:eastAsia="宋体"/>
                <w:sz w:val="18"/>
                <w:szCs w:val="18"/>
                <w:lang w:eastAsia="zh-CN"/>
              </w:rPr>
            </w:pP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乙苯</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FF8B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G2B</w:t>
            </w:r>
          </w:p>
        </w:tc>
        <w:tc>
          <w:tcPr>
            <w:tcW w:w="28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低毒害</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sz w:val="18"/>
                <w:szCs w:val="18"/>
                <w:lang w:eastAsia="en-US"/>
              </w:rPr>
              <w:t>高</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5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80" w:type="pct"/>
            <w:vMerge w:val="continue"/>
            <w:tcBorders>
              <w:left w:val="single" w:color="auto" w:sz="4" w:space="0"/>
              <w:right w:val="single" w:color="auto" w:sz="4" w:space="0"/>
            </w:tcBorders>
            <w:vAlign w:val="center"/>
          </w:tcPr>
          <w:p>
            <w:pPr>
              <w:pStyle w:val="122"/>
              <w:jc w:val="center"/>
              <w:rPr>
                <w:rFonts w:eastAsia="宋体"/>
                <w:sz w:val="18"/>
                <w:szCs w:val="18"/>
                <w:lang w:eastAsia="zh-CN"/>
              </w:rPr>
            </w:pP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zh-CN"/>
              </w:rPr>
              <w:t>苯乙烯</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b/>
                <w:bCs/>
                <w:color w:val="008000"/>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FF8B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zh-CN"/>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pacing w:val="1"/>
                <w:sz w:val="18"/>
                <w:szCs w:val="18"/>
                <w:lang w:eastAsia="en-US"/>
              </w:rPr>
            </w:pPr>
            <w:r>
              <w:rPr>
                <w:rFonts w:eastAsia="宋体"/>
                <w:spacing w:val="1"/>
                <w:sz w:val="18"/>
                <w:szCs w:val="18"/>
                <w:lang w:eastAsia="en-US"/>
              </w:rPr>
              <w:t>G2B</w:t>
            </w:r>
          </w:p>
        </w:tc>
        <w:tc>
          <w:tcPr>
            <w:tcW w:w="28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lang w:eastAsia="zh-CN"/>
              </w:rPr>
              <w:t>/</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18"/>
                <w:szCs w:val="18"/>
                <w:lang w:eastAsia="en-US"/>
              </w:rPr>
            </w:pPr>
            <w:r>
              <w:rPr>
                <w:rFonts w:ascii="Times New Roman" w:hAnsi="Times New Roman"/>
                <w:lang w:eastAsia="zh-CN"/>
              </w:rPr>
              <w:t>/</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是</w:t>
            </w:r>
          </w:p>
        </w:tc>
        <w:tc>
          <w:tcPr>
            <w:tcW w:w="55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80" w:type="pct"/>
            <w:vMerge w:val="continue"/>
            <w:tcBorders>
              <w:left w:val="single" w:color="auto" w:sz="4" w:space="0"/>
              <w:bottom w:val="single" w:color="auto" w:sz="4" w:space="0"/>
              <w:right w:val="single" w:color="auto" w:sz="4" w:space="0"/>
            </w:tcBorders>
            <w:vAlign w:val="center"/>
          </w:tcPr>
          <w:p>
            <w:pPr>
              <w:pStyle w:val="122"/>
              <w:jc w:val="center"/>
              <w:rPr>
                <w:rFonts w:eastAsia="宋体"/>
                <w:sz w:val="18"/>
                <w:szCs w:val="18"/>
                <w:lang w:eastAsia="zh-CN"/>
              </w:rPr>
            </w:pP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非甲烷总烃</w:t>
            </w:r>
          </w:p>
        </w:tc>
        <w:tc>
          <w:tcPr>
            <w:tcW w:w="3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4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8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0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6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高</w:t>
            </w:r>
          </w:p>
        </w:tc>
        <w:tc>
          <w:tcPr>
            <w:tcW w:w="233"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高</w:t>
            </w:r>
          </w:p>
        </w:tc>
        <w:tc>
          <w:tcPr>
            <w:tcW w:w="40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高</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8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zh-CN"/>
              </w:rPr>
            </w:pPr>
            <w:r>
              <w:rPr>
                <w:rFonts w:eastAsia="宋体"/>
                <w:sz w:val="18"/>
                <w:szCs w:val="18"/>
                <w:lang w:eastAsia="zh-CN"/>
              </w:rPr>
              <w:t>综合性指标</w:t>
            </w: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zh-CN"/>
              </w:rPr>
            </w:pPr>
            <w:r>
              <w:rPr>
                <w:rFonts w:eastAsia="宋体"/>
                <w:sz w:val="18"/>
                <w:szCs w:val="18"/>
                <w:lang w:eastAsia="zh-CN"/>
              </w:rPr>
              <w:t>TVOC</w:t>
            </w:r>
          </w:p>
        </w:tc>
        <w:tc>
          <w:tcPr>
            <w:tcW w:w="3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4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zh-CN"/>
              </w:rPr>
              <w:t>是</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8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0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6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zh-CN"/>
              </w:rPr>
              <w:t>是</w:t>
            </w:r>
          </w:p>
        </w:tc>
        <w:tc>
          <w:tcPr>
            <w:tcW w:w="233"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zh-CN"/>
              </w:rPr>
              <w:t>高</w:t>
            </w:r>
          </w:p>
        </w:tc>
        <w:tc>
          <w:tcPr>
            <w:tcW w:w="40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高</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p>
        </w:tc>
        <w:tc>
          <w:tcPr>
            <w:tcW w:w="58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zh-CN"/>
              </w:rPr>
            </w:pPr>
            <w:r>
              <w:rPr>
                <w:rFonts w:eastAsia="宋体"/>
                <w:sz w:val="18"/>
                <w:szCs w:val="18"/>
                <w:lang w:eastAsia="zh-CN"/>
              </w:rPr>
              <w:t>综合性指标</w:t>
            </w: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甲醛</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FF8B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45"/>
                <w:sz w:val="18"/>
                <w:szCs w:val="18"/>
                <w:lang w:eastAsia="en-US"/>
              </w:rPr>
              <w:t xml:space="preserve"> </w:t>
            </w:r>
            <w:r>
              <w:rPr>
                <w:rFonts w:eastAsia="宋体"/>
                <w:spacing w:val="1"/>
                <w:sz w:val="18"/>
                <w:szCs w:val="18"/>
                <w:lang w:eastAsia="en-US"/>
              </w:rPr>
              <w:t>G1</w:t>
            </w:r>
          </w:p>
        </w:tc>
        <w:tc>
          <w:tcPr>
            <w:tcW w:w="284"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0.2</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中等</w:t>
            </w:r>
          </w:p>
        </w:tc>
        <w:tc>
          <w:tcPr>
            <w:tcW w:w="36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33"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40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r>
              <w:rPr>
                <w:rFonts w:eastAsia="宋体"/>
                <w:sz w:val="18"/>
                <w:szCs w:val="18"/>
                <w:lang w:eastAsia="zh-CN"/>
              </w:rPr>
              <w:t>（</w:t>
            </w:r>
            <w:r>
              <w:rPr>
                <w:rFonts w:eastAsia="宋体"/>
                <w:spacing w:val="1"/>
                <w:sz w:val="18"/>
                <w:szCs w:val="18"/>
                <w:lang w:eastAsia="en-US"/>
              </w:rPr>
              <w:t>55</w:t>
            </w:r>
            <w:r>
              <w:rPr>
                <w:rFonts w:eastAsia="宋体"/>
                <w:sz w:val="18"/>
                <w:szCs w:val="18"/>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全部有</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8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zh-CN"/>
              </w:rPr>
            </w:pPr>
            <w:r>
              <w:rPr>
                <w:rFonts w:eastAsia="宋体"/>
                <w:sz w:val="18"/>
                <w:szCs w:val="18"/>
                <w:lang w:eastAsia="zh-CN"/>
              </w:rPr>
              <w:t>致癌性</w:t>
            </w: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乙醛</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0080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G2B</w:t>
            </w:r>
          </w:p>
        </w:tc>
        <w:tc>
          <w:tcPr>
            <w:tcW w:w="284"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0.</w:t>
            </w:r>
            <w:r>
              <w:rPr>
                <w:rFonts w:eastAsia="宋体"/>
                <w:spacing w:val="-2"/>
                <w:sz w:val="18"/>
                <w:szCs w:val="18"/>
                <w:lang w:eastAsia="en-US"/>
              </w:rPr>
              <w:t>0</w:t>
            </w:r>
            <w:r>
              <w:rPr>
                <w:rFonts w:eastAsia="宋体"/>
                <w:spacing w:val="1"/>
                <w:sz w:val="18"/>
                <w:szCs w:val="18"/>
                <w:lang w:eastAsia="en-US"/>
              </w:rPr>
              <w:t>6</w:t>
            </w:r>
            <w:r>
              <w:rPr>
                <w:rFonts w:eastAsia="宋体"/>
                <w:sz w:val="18"/>
                <w:szCs w:val="18"/>
                <w:lang w:eastAsia="en-US"/>
              </w:rPr>
              <w:t>6</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中等</w:t>
            </w:r>
          </w:p>
        </w:tc>
        <w:tc>
          <w:tcPr>
            <w:tcW w:w="36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33"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40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65</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德国、日本、美国</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p>
        </w:tc>
        <w:tc>
          <w:tcPr>
            <w:tcW w:w="58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zh-CN"/>
              </w:rPr>
            </w:pPr>
            <w:r>
              <w:rPr>
                <w:lang w:eastAsia="zh-CN"/>
              </w:rPr>
              <w:t>/</w:t>
            </w:r>
          </w:p>
        </w:tc>
      </w:tr>
      <w:tr>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丙烯醛</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FF00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G3</w:t>
            </w:r>
          </w:p>
        </w:tc>
        <w:tc>
          <w:tcPr>
            <w:tcW w:w="28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0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德国、美国</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p>
        </w:tc>
        <w:tc>
          <w:tcPr>
            <w:tcW w:w="58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zh-CN"/>
              </w:rPr>
            </w:pPr>
            <w:r>
              <w:rPr>
                <w:rFonts w:eastAsia="宋体"/>
                <w:sz w:val="18"/>
                <w:szCs w:val="18"/>
                <w:lang w:eastAsia="zh-CN"/>
              </w:rPr>
              <w:t>强毒性</w:t>
            </w: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9"/>
                <w:szCs w:val="9"/>
                <w:lang w:eastAsia="en-US"/>
              </w:rPr>
            </w:pPr>
            <w:r>
              <w:rPr>
                <w:rFonts w:eastAsia="宋体"/>
                <w:sz w:val="18"/>
                <w:szCs w:val="18"/>
                <w:lang w:eastAsia="en-US"/>
              </w:rPr>
              <w:t>环氧乙烷</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FF00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84"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260</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高毒害</w:t>
            </w:r>
          </w:p>
        </w:tc>
        <w:tc>
          <w:tcPr>
            <w:tcW w:w="36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33"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全部有</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1</w:t>
            </w:r>
            <w:r>
              <w:rPr>
                <w:rFonts w:eastAsia="宋体"/>
                <w:sz w:val="18"/>
                <w:szCs w:val="18"/>
                <w:lang w:eastAsia="en-US"/>
              </w:rPr>
              <w:t>，</w:t>
            </w:r>
            <w:r>
              <w:rPr>
                <w:rFonts w:eastAsia="宋体"/>
                <w:spacing w:val="1"/>
                <w:sz w:val="18"/>
                <w:szCs w:val="18"/>
                <w:lang w:eastAsia="en-US"/>
              </w:rPr>
              <w:t>3-</w:t>
            </w:r>
            <w:r>
              <w:rPr>
                <w:rFonts w:eastAsia="宋体"/>
                <w:sz w:val="18"/>
                <w:szCs w:val="18"/>
                <w:lang w:eastAsia="en-US"/>
              </w:rPr>
              <w:t>丁二烯</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FF8B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CA</w:t>
            </w:r>
            <w:r>
              <w:rPr>
                <w:rFonts w:eastAsia="宋体"/>
                <w:spacing w:val="-2"/>
                <w:sz w:val="18"/>
                <w:szCs w:val="18"/>
                <w:lang w:eastAsia="en-US"/>
              </w:rPr>
              <w:t>T</w:t>
            </w:r>
            <w:r>
              <w:rPr>
                <w:rFonts w:eastAsia="宋体"/>
                <w:sz w:val="18"/>
                <w:szCs w:val="18"/>
                <w:lang w:eastAsia="en-US"/>
              </w:rPr>
              <w:t>2</w:t>
            </w:r>
          </w:p>
        </w:tc>
        <w:tc>
          <w:tcPr>
            <w:tcW w:w="284"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0.</w:t>
            </w:r>
            <w:r>
              <w:rPr>
                <w:rFonts w:eastAsia="宋体"/>
                <w:spacing w:val="-2"/>
                <w:sz w:val="18"/>
                <w:szCs w:val="18"/>
                <w:lang w:eastAsia="en-US"/>
              </w:rPr>
              <w:t>4</w:t>
            </w:r>
            <w:r>
              <w:rPr>
                <w:rFonts w:eastAsia="宋体"/>
                <w:sz w:val="18"/>
                <w:szCs w:val="18"/>
                <w:lang w:eastAsia="en-US"/>
              </w:rPr>
              <w:t>5</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高毒害</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美国、德国、日本</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r>
      <w:tr>
        <w:trPr>
          <w:trHeight w:val="283"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1</w:t>
            </w:r>
            <w:r>
              <w:rPr>
                <w:rFonts w:eastAsia="宋体"/>
                <w:sz w:val="18"/>
                <w:szCs w:val="18"/>
                <w:lang w:eastAsia="en-US"/>
              </w:rPr>
              <w:t>，</w:t>
            </w:r>
            <w:r>
              <w:rPr>
                <w:rFonts w:eastAsia="宋体"/>
                <w:spacing w:val="1"/>
                <w:sz w:val="18"/>
                <w:szCs w:val="18"/>
                <w:lang w:eastAsia="en-US"/>
              </w:rPr>
              <w:t>2-</w:t>
            </w:r>
            <w:r>
              <w:rPr>
                <w:rFonts w:eastAsia="宋体"/>
                <w:sz w:val="18"/>
                <w:szCs w:val="18"/>
                <w:lang w:eastAsia="en-US"/>
              </w:rPr>
              <w:t>二氯乙烷</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0080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CA</w:t>
            </w:r>
            <w:r>
              <w:rPr>
                <w:rFonts w:eastAsia="宋体"/>
                <w:spacing w:val="-2"/>
                <w:sz w:val="18"/>
                <w:szCs w:val="18"/>
                <w:lang w:eastAsia="en-US"/>
              </w:rPr>
              <w:t>T</w:t>
            </w:r>
            <w:r>
              <w:rPr>
                <w:rFonts w:eastAsia="宋体"/>
                <w:sz w:val="18"/>
                <w:szCs w:val="18"/>
                <w:lang w:eastAsia="en-US"/>
              </w:rPr>
              <w:t>2</w:t>
            </w:r>
          </w:p>
        </w:tc>
        <w:tc>
          <w:tcPr>
            <w:tcW w:w="284"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0.</w:t>
            </w:r>
            <w:r>
              <w:rPr>
                <w:rFonts w:eastAsia="宋体"/>
                <w:spacing w:val="-2"/>
                <w:sz w:val="18"/>
                <w:szCs w:val="18"/>
                <w:lang w:eastAsia="en-US"/>
              </w:rPr>
              <w:t>0</w:t>
            </w:r>
            <w:r>
              <w:rPr>
                <w:rFonts w:eastAsia="宋体"/>
                <w:spacing w:val="1"/>
                <w:sz w:val="18"/>
                <w:szCs w:val="18"/>
                <w:lang w:eastAsia="en-US"/>
              </w:rPr>
              <w:t>0</w:t>
            </w:r>
            <w:r>
              <w:rPr>
                <w:rFonts w:eastAsia="宋体"/>
                <w:spacing w:val="-2"/>
                <w:sz w:val="18"/>
                <w:szCs w:val="18"/>
                <w:lang w:eastAsia="en-US"/>
              </w:rPr>
              <w:t>3</w:t>
            </w:r>
            <w:r>
              <w:rPr>
                <w:rFonts w:eastAsia="宋体"/>
                <w:sz w:val="18"/>
                <w:szCs w:val="18"/>
                <w:lang w:eastAsia="en-US"/>
              </w:rPr>
              <w:t>3</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高毒害</w:t>
            </w:r>
          </w:p>
        </w:tc>
        <w:tc>
          <w:tcPr>
            <w:tcW w:w="36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33"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德国、美国</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r>
      <w:tr>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丙烯腈</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FF8B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G2B</w:t>
            </w:r>
          </w:p>
        </w:tc>
        <w:tc>
          <w:tcPr>
            <w:tcW w:w="284"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1.</w:t>
            </w:r>
            <w:r>
              <w:rPr>
                <w:rFonts w:eastAsia="宋体"/>
                <w:spacing w:val="-2"/>
                <w:sz w:val="18"/>
                <w:szCs w:val="18"/>
                <w:lang w:eastAsia="en-US"/>
              </w:rPr>
              <w:t>9</w:t>
            </w:r>
            <w:r>
              <w:rPr>
                <w:rFonts w:eastAsia="宋体"/>
                <w:sz w:val="18"/>
                <w:szCs w:val="18"/>
                <w:lang w:eastAsia="en-US"/>
              </w:rPr>
              <w:t>6</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高毒害</w:t>
            </w:r>
          </w:p>
        </w:tc>
        <w:tc>
          <w:tcPr>
            <w:tcW w:w="36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33"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全部有</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80" w:type="pct"/>
            <w:tcBorders>
              <w:top w:val="single" w:color="auto" w:sz="4" w:space="0"/>
              <w:left w:val="single" w:color="auto" w:sz="4" w:space="0"/>
              <w:bottom w:val="single" w:color="auto" w:sz="4" w:space="0"/>
              <w:right w:val="single" w:color="auto" w:sz="4" w:space="0"/>
            </w:tcBorders>
            <w:vAlign w:val="center"/>
          </w:tcPr>
          <w:p>
            <w:pPr>
              <w:pStyle w:val="122"/>
              <w:jc w:val="center"/>
              <w:rPr>
                <w:lang w:eastAsia="en-US"/>
              </w:rPr>
            </w:pPr>
            <w:r>
              <w:rPr>
                <w:rFonts w:eastAsia="宋体"/>
                <w:sz w:val="18"/>
                <w:szCs w:val="18"/>
                <w:lang w:eastAsia="zh-CN"/>
              </w:rPr>
              <w:t>高毒性，排放量大</w:t>
            </w: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氯乙烯</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0080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CA</w:t>
            </w:r>
            <w:r>
              <w:rPr>
                <w:rFonts w:eastAsia="宋体"/>
                <w:spacing w:val="-2"/>
                <w:sz w:val="18"/>
                <w:szCs w:val="18"/>
                <w:lang w:eastAsia="en-US"/>
              </w:rPr>
              <w:t>T</w:t>
            </w:r>
            <w:r>
              <w:rPr>
                <w:rFonts w:eastAsia="宋体"/>
                <w:sz w:val="18"/>
                <w:szCs w:val="18"/>
                <w:lang w:eastAsia="en-US"/>
              </w:rPr>
              <w:t>1</w:t>
            </w:r>
          </w:p>
        </w:tc>
        <w:tc>
          <w:tcPr>
            <w:tcW w:w="284"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190</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高毒害</w:t>
            </w:r>
          </w:p>
        </w:tc>
        <w:tc>
          <w:tcPr>
            <w:tcW w:w="36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33"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40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27</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全部有</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80" w:type="pct"/>
            <w:tcBorders>
              <w:top w:val="single" w:color="auto" w:sz="4" w:space="0"/>
              <w:left w:val="single" w:color="auto" w:sz="4" w:space="0"/>
              <w:bottom w:val="single" w:color="auto" w:sz="4" w:space="0"/>
              <w:right w:val="single" w:color="auto" w:sz="4" w:space="0"/>
            </w:tcBorders>
            <w:vAlign w:val="center"/>
          </w:tcPr>
          <w:p>
            <w:pPr>
              <w:pStyle w:val="122"/>
              <w:jc w:val="center"/>
              <w:rPr>
                <w:lang w:eastAsia="zh-CN"/>
              </w:rPr>
            </w:pPr>
            <w:r>
              <w:rPr>
                <w:lang w:eastAsia="zh-CN"/>
              </w:rPr>
              <w:t>/</w:t>
            </w: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9"/>
                <w:szCs w:val="9"/>
                <w:lang w:eastAsia="en-US"/>
              </w:rPr>
            </w:pPr>
            <w:r>
              <w:rPr>
                <w:rFonts w:eastAsia="宋体"/>
                <w:sz w:val="18"/>
                <w:szCs w:val="18"/>
                <w:lang w:eastAsia="en-US"/>
              </w:rPr>
              <w:t>二硝基苯</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FF8B00"/>
                <w:sz w:val="21"/>
                <w:szCs w:val="21"/>
                <w:lang w:eastAsia="en-US"/>
              </w:rPr>
              <w:t>P</w:t>
            </w:r>
            <w:r>
              <w:rPr>
                <w:rFonts w:eastAsia="Arial"/>
                <w:b/>
                <w:bCs/>
                <w:color w:val="008000"/>
                <w:spacing w:val="-2"/>
                <w:sz w:val="21"/>
                <w:szCs w:val="21"/>
                <w:lang w:eastAsia="en-US"/>
              </w:rPr>
              <w:t>B</w:t>
            </w:r>
            <w:r>
              <w:rPr>
                <w:rFonts w:eastAsia="Arial"/>
                <w:b/>
                <w:bCs/>
                <w:color w:val="FF00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G2A</w:t>
            </w:r>
            <w:r>
              <w:rPr>
                <w:rFonts w:eastAsia="宋体"/>
                <w:sz w:val="18"/>
                <w:szCs w:val="18"/>
                <w:lang w:eastAsia="en-US"/>
              </w:rPr>
              <w:t>、</w:t>
            </w:r>
            <w:r>
              <w:rPr>
                <w:rFonts w:eastAsia="宋体"/>
                <w:spacing w:val="1"/>
                <w:sz w:val="18"/>
                <w:szCs w:val="18"/>
                <w:lang w:eastAsia="en-US"/>
              </w:rPr>
              <w:t>G2</w:t>
            </w:r>
          </w:p>
        </w:tc>
        <w:tc>
          <w:tcPr>
            <w:tcW w:w="28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高毒害</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德国</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80" w:type="pct"/>
            <w:tcBorders>
              <w:top w:val="single" w:color="auto" w:sz="4" w:space="0"/>
              <w:left w:val="single" w:color="auto" w:sz="4" w:space="0"/>
              <w:bottom w:val="single" w:color="auto" w:sz="4" w:space="0"/>
              <w:right w:val="single" w:color="auto" w:sz="4" w:space="0"/>
            </w:tcBorders>
            <w:vAlign w:val="center"/>
          </w:tcPr>
          <w:p>
            <w:pPr>
              <w:pStyle w:val="122"/>
              <w:jc w:val="center"/>
              <w:rPr>
                <w:lang w:eastAsia="zh-CN"/>
              </w:rPr>
            </w:pPr>
            <w:r>
              <w:rPr>
                <w:lang w:eastAsia="zh-CN"/>
              </w:rPr>
              <w:t>/</w:t>
            </w:r>
          </w:p>
        </w:tc>
      </w:tr>
      <w:tr>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硝基苯</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0080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84"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0.</w:t>
            </w:r>
            <w:r>
              <w:rPr>
                <w:rFonts w:eastAsia="宋体"/>
                <w:spacing w:val="-2"/>
                <w:sz w:val="18"/>
                <w:szCs w:val="18"/>
                <w:lang w:eastAsia="en-US"/>
              </w:rPr>
              <w:t>0</w:t>
            </w:r>
            <w:r>
              <w:rPr>
                <w:rFonts w:eastAsia="宋体"/>
                <w:spacing w:val="1"/>
                <w:sz w:val="18"/>
                <w:szCs w:val="18"/>
                <w:lang w:eastAsia="en-US"/>
              </w:rPr>
              <w:t>1</w:t>
            </w:r>
            <w:r>
              <w:rPr>
                <w:rFonts w:eastAsia="宋体"/>
                <w:sz w:val="18"/>
                <w:szCs w:val="18"/>
                <w:lang w:eastAsia="en-US"/>
              </w:rPr>
              <w:t>8</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高毒害</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auto" w:sz="4" w:space="0"/>
              <w:left w:val="single" w:color="auto" w:sz="4" w:space="0"/>
              <w:right w:val="single" w:color="auto" w:sz="4" w:space="0"/>
            </w:tcBorders>
            <w:vAlign w:val="center"/>
          </w:tcPr>
          <w:p>
            <w:pPr>
              <w:pStyle w:val="122"/>
              <w:jc w:val="center"/>
              <w:rPr>
                <w:rFonts w:eastAsia="宋体"/>
                <w:sz w:val="18"/>
                <w:szCs w:val="18"/>
                <w:lang w:eastAsia="zh-CN"/>
              </w:rPr>
            </w:pPr>
            <w:r>
              <w:rPr>
                <w:rFonts w:eastAsia="宋体"/>
                <w:sz w:val="18"/>
                <w:szCs w:val="18"/>
                <w:lang w:eastAsia="zh-CN"/>
              </w:rPr>
              <w:t>美国、德国、日本、世界银行</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80" w:type="pct"/>
            <w:vMerge w:val="restart"/>
            <w:tcBorders>
              <w:top w:val="single" w:color="auto" w:sz="4" w:space="0"/>
              <w:left w:val="single" w:color="auto" w:sz="4" w:space="0"/>
              <w:right w:val="single" w:color="auto" w:sz="4" w:space="0"/>
            </w:tcBorders>
            <w:vAlign w:val="center"/>
          </w:tcPr>
          <w:p>
            <w:pPr>
              <w:pStyle w:val="122"/>
              <w:jc w:val="center"/>
              <w:rPr>
                <w:sz w:val="18"/>
                <w:szCs w:val="18"/>
                <w:lang w:eastAsia="zh-CN"/>
              </w:rPr>
            </w:pPr>
            <w:r>
              <w:rPr>
                <w:rFonts w:eastAsia="宋体"/>
                <w:sz w:val="18"/>
                <w:szCs w:val="18"/>
                <w:lang w:eastAsia="zh-CN"/>
              </w:rPr>
              <w:t>持久性，高毒性，归于硝基苯类</w:t>
            </w:r>
          </w:p>
        </w:tc>
      </w:tr>
      <w:tr>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对硝基甲苯</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FF8B00"/>
                <w:sz w:val="21"/>
                <w:szCs w:val="21"/>
                <w:lang w:eastAsia="en-US"/>
              </w:rPr>
              <w:t>P</w:t>
            </w:r>
            <w:r>
              <w:rPr>
                <w:rFonts w:eastAsia="Arial"/>
                <w:b/>
                <w:bCs/>
                <w:color w:val="008000"/>
                <w:spacing w:val="-2"/>
                <w:sz w:val="21"/>
                <w:szCs w:val="21"/>
                <w:lang w:eastAsia="en-US"/>
              </w:rPr>
              <w:t>B</w:t>
            </w:r>
            <w:r>
              <w:rPr>
                <w:rFonts w:eastAsia="Arial"/>
                <w:b/>
                <w:bCs/>
                <w:color w:val="FF8B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G3</w:t>
            </w:r>
          </w:p>
        </w:tc>
        <w:tc>
          <w:tcPr>
            <w:tcW w:w="28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0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美国</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80" w:type="pct"/>
            <w:vMerge w:val="continue"/>
            <w:tcBorders>
              <w:left w:val="single" w:color="auto" w:sz="4" w:space="0"/>
              <w:right w:val="single" w:color="auto" w:sz="4" w:space="0"/>
            </w:tcBorders>
            <w:vAlign w:val="center"/>
          </w:tcPr>
          <w:p>
            <w:pPr>
              <w:jc w:val="center"/>
              <w:rPr>
                <w:rFonts w:ascii="Times New Roman" w:hAnsi="Times New Roman"/>
                <w:lang w:eastAsia="en-US"/>
              </w:rPr>
            </w:pP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硝基氯苯</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b/>
                <w:bCs/>
                <w:color w:val="FF8B00"/>
                <w:sz w:val="21"/>
                <w:szCs w:val="21"/>
                <w:lang w:eastAsia="en-US"/>
              </w:rPr>
            </w:pPr>
            <w:r>
              <w:rPr>
                <w:rFonts w:eastAsia="Arial"/>
                <w:b/>
                <w:bCs/>
                <w:color w:val="FF8B00"/>
                <w:sz w:val="21"/>
                <w:szCs w:val="21"/>
                <w:lang w:eastAsia="en-US"/>
              </w:rPr>
              <w:t>P</w:t>
            </w:r>
            <w:r>
              <w:rPr>
                <w:rFonts w:eastAsia="Arial"/>
                <w:b/>
                <w:bCs/>
                <w:color w:val="008000"/>
                <w:spacing w:val="-2"/>
                <w:sz w:val="21"/>
                <w:szCs w:val="21"/>
                <w:lang w:eastAsia="en-US"/>
              </w:rPr>
              <w:t>B</w:t>
            </w:r>
            <w:r>
              <w:rPr>
                <w:rFonts w:eastAsia="Arial"/>
                <w:b/>
                <w:bCs/>
                <w:color w:val="FF8B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lang w:eastAsia="zh-CN"/>
              </w:rPr>
              <w:t>/</w:t>
            </w:r>
          </w:p>
        </w:tc>
        <w:tc>
          <w:tcPr>
            <w:tcW w:w="250" w:type="pct"/>
            <w:tcBorders>
              <w:top w:val="single" w:color="auto" w:sz="4" w:space="0"/>
              <w:left w:val="single" w:color="auto" w:sz="4" w:space="0"/>
              <w:bottom w:val="single" w:color="auto" w:sz="4" w:space="0"/>
              <w:right w:val="single" w:color="auto" w:sz="4" w:space="0"/>
            </w:tcBorders>
          </w:tcPr>
          <w:p>
            <w:pPr>
              <w:pStyle w:val="122"/>
              <w:jc w:val="center"/>
              <w:rPr>
                <w:rFonts w:eastAsia="宋体"/>
                <w:spacing w:val="1"/>
                <w:sz w:val="18"/>
                <w:szCs w:val="18"/>
                <w:lang w:eastAsia="en-US"/>
              </w:rPr>
            </w:pPr>
            <w:r>
              <w:rPr>
                <w:lang w:eastAsia="zh-CN"/>
              </w:rPr>
              <w:t>/</w:t>
            </w:r>
          </w:p>
        </w:tc>
        <w:tc>
          <w:tcPr>
            <w:tcW w:w="284" w:type="pct"/>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zh-CN"/>
              </w:rPr>
              <w:t>/</w:t>
            </w:r>
          </w:p>
        </w:tc>
        <w:tc>
          <w:tcPr>
            <w:tcW w:w="300" w:type="pct"/>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zh-CN"/>
              </w:rPr>
              <w:t>/</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美国</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80" w:type="pct"/>
            <w:vMerge w:val="continue"/>
            <w:tcBorders>
              <w:left w:val="single" w:color="auto" w:sz="4" w:space="0"/>
              <w:bottom w:val="single" w:color="auto" w:sz="4" w:space="0"/>
              <w:right w:val="single" w:color="auto" w:sz="4" w:space="0"/>
            </w:tcBorders>
            <w:vAlign w:val="center"/>
          </w:tcPr>
          <w:p>
            <w:pPr>
              <w:jc w:val="center"/>
              <w:rPr>
                <w:rFonts w:ascii="Times New Roman" w:hAnsi="Times New Roman"/>
                <w:lang w:eastAsia="en-US"/>
              </w:rPr>
            </w:pP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2</w:t>
            </w:r>
            <w:r>
              <w:rPr>
                <w:rFonts w:eastAsia="宋体"/>
                <w:sz w:val="18"/>
                <w:szCs w:val="18"/>
                <w:lang w:eastAsia="en-US"/>
              </w:rPr>
              <w:t>，</w:t>
            </w:r>
            <w:r>
              <w:rPr>
                <w:rFonts w:eastAsia="宋体"/>
                <w:spacing w:val="1"/>
                <w:sz w:val="18"/>
                <w:szCs w:val="18"/>
                <w:lang w:eastAsia="en-US"/>
              </w:rPr>
              <w:t>4-</w:t>
            </w:r>
            <w:r>
              <w:rPr>
                <w:rFonts w:eastAsia="宋体"/>
                <w:sz w:val="18"/>
                <w:szCs w:val="18"/>
                <w:lang w:eastAsia="en-US"/>
              </w:rPr>
              <w:t>二硝基甲苯</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FF8B00"/>
                <w:sz w:val="21"/>
                <w:szCs w:val="21"/>
                <w:lang w:eastAsia="en-US"/>
              </w:rPr>
              <w:t>P</w:t>
            </w:r>
            <w:r>
              <w:rPr>
                <w:rFonts w:eastAsia="Arial"/>
                <w:b/>
                <w:bCs/>
                <w:color w:val="008000"/>
                <w:spacing w:val="-2"/>
                <w:sz w:val="21"/>
                <w:szCs w:val="21"/>
                <w:lang w:eastAsia="en-US"/>
              </w:rPr>
              <w:t>B</w:t>
            </w:r>
            <w:r>
              <w:rPr>
                <w:rFonts w:eastAsia="Arial"/>
                <w:b/>
                <w:bCs/>
                <w:color w:val="FF00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G2B</w:t>
            </w:r>
          </w:p>
        </w:tc>
        <w:tc>
          <w:tcPr>
            <w:tcW w:w="28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0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59" w:type="pct"/>
            <w:tcBorders>
              <w:top w:val="single" w:color="auto" w:sz="4" w:space="0"/>
              <w:left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美国、德国、日本</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9"/>
                <w:szCs w:val="9"/>
                <w:lang w:eastAsia="en-US"/>
              </w:rPr>
            </w:pPr>
            <w:r>
              <w:rPr>
                <w:rFonts w:eastAsia="宋体"/>
                <w:sz w:val="18"/>
                <w:szCs w:val="18"/>
                <w:lang w:eastAsia="en-US"/>
              </w:rPr>
              <w:t>溴乙烷</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0080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G2A</w:t>
            </w:r>
          </w:p>
        </w:tc>
        <w:tc>
          <w:tcPr>
            <w:tcW w:w="284" w:type="pct"/>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zh-CN"/>
              </w:rPr>
              <w:t>/</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中等</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德国</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r>
      <w:tr>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二溴乙烷</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0080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G2A</w:t>
            </w:r>
          </w:p>
        </w:tc>
        <w:tc>
          <w:tcPr>
            <w:tcW w:w="284" w:type="pct"/>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zh-CN"/>
              </w:rPr>
              <w:t>/</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低毒害</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德国、日本、欧盟</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9"/>
                <w:szCs w:val="9"/>
                <w:lang w:eastAsia="en-US"/>
              </w:rPr>
            </w:pPr>
            <w:r>
              <w:rPr>
                <w:rFonts w:eastAsia="宋体"/>
                <w:sz w:val="18"/>
                <w:szCs w:val="18"/>
                <w:lang w:eastAsia="en-US"/>
              </w:rPr>
              <w:t>溴甲烷</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0080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G3</w:t>
            </w:r>
          </w:p>
        </w:tc>
        <w:tc>
          <w:tcPr>
            <w:tcW w:w="284" w:type="pct"/>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zh-CN"/>
              </w:rPr>
              <w:t>/</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中毒害</w:t>
            </w:r>
          </w:p>
        </w:tc>
        <w:tc>
          <w:tcPr>
            <w:tcW w:w="36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33"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美国、德国、日本</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9"/>
                <w:szCs w:val="9"/>
                <w:lang w:eastAsia="en-US"/>
              </w:rPr>
            </w:pPr>
            <w:r>
              <w:rPr>
                <w:rFonts w:eastAsia="宋体"/>
                <w:spacing w:val="1"/>
                <w:sz w:val="18"/>
                <w:szCs w:val="18"/>
                <w:lang w:eastAsia="en-US"/>
              </w:rPr>
              <w:t>1</w:t>
            </w:r>
            <w:r>
              <w:rPr>
                <w:rFonts w:eastAsia="宋体"/>
                <w:sz w:val="18"/>
                <w:szCs w:val="18"/>
                <w:lang w:eastAsia="en-US"/>
              </w:rPr>
              <w:t>，</w:t>
            </w:r>
            <w:r>
              <w:rPr>
                <w:rFonts w:eastAsia="宋体"/>
                <w:spacing w:val="1"/>
                <w:sz w:val="18"/>
                <w:szCs w:val="18"/>
                <w:lang w:eastAsia="en-US"/>
              </w:rPr>
              <w:t>2-</w:t>
            </w:r>
            <w:r>
              <w:rPr>
                <w:rFonts w:eastAsia="宋体"/>
                <w:sz w:val="18"/>
                <w:szCs w:val="18"/>
                <w:lang w:eastAsia="en-US"/>
              </w:rPr>
              <w:t>环氧</w:t>
            </w:r>
            <w:r>
              <w:rPr>
                <w:rFonts w:eastAsia="宋体"/>
                <w:sz w:val="18"/>
                <w:szCs w:val="18"/>
                <w:lang w:eastAsia="zh-CN"/>
              </w:rPr>
              <w:t>丙烷</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FF00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G2B</w:t>
            </w:r>
          </w:p>
        </w:tc>
        <w:tc>
          <w:tcPr>
            <w:tcW w:w="284"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23</w:t>
            </w:r>
            <w:r>
              <w:rPr>
                <w:rFonts w:eastAsia="宋体"/>
                <w:spacing w:val="-2"/>
                <w:sz w:val="18"/>
                <w:szCs w:val="18"/>
                <w:lang w:eastAsia="en-US"/>
              </w:rPr>
              <w:t>.</w:t>
            </w:r>
            <w:r>
              <w:rPr>
                <w:rFonts w:eastAsia="宋体"/>
                <w:spacing w:val="1"/>
                <w:sz w:val="18"/>
                <w:szCs w:val="18"/>
                <w:lang w:eastAsia="en-US"/>
              </w:rPr>
              <w:t>5</w:t>
            </w:r>
            <w:r>
              <w:rPr>
                <w:rFonts w:eastAsia="宋体"/>
                <w:sz w:val="18"/>
                <w:szCs w:val="18"/>
                <w:lang w:eastAsia="en-US"/>
              </w:rPr>
              <w:t>3</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高毒害</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美国、德国、日本</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氧化苯乙烯</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FF00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8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0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美国</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r>
      <w:tr>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9"/>
                <w:szCs w:val="9"/>
                <w:lang w:eastAsia="en-US"/>
              </w:rPr>
            </w:pPr>
            <w:r>
              <w:rPr>
                <w:rFonts w:eastAsia="宋体"/>
                <w:sz w:val="18"/>
                <w:szCs w:val="18"/>
                <w:lang w:eastAsia="en-US"/>
              </w:rPr>
              <w:t>邻甲苯胺</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FF8B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8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0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美国、德国</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9"/>
                <w:szCs w:val="9"/>
                <w:lang w:eastAsia="en-US"/>
              </w:rPr>
            </w:pPr>
            <w:r>
              <w:rPr>
                <w:rFonts w:eastAsia="宋体"/>
                <w:sz w:val="18"/>
                <w:szCs w:val="18"/>
                <w:lang w:eastAsia="en-US"/>
              </w:rPr>
              <w:t>三氯乙烯</w:t>
            </w:r>
            <w:r>
              <w:rPr>
                <w:rFonts w:eastAsia="宋体"/>
                <w:spacing w:val="-43"/>
                <w:sz w:val="18"/>
                <w:szCs w:val="18"/>
                <w:lang w:eastAsia="en-US"/>
              </w:rPr>
              <w:t xml:space="preserve"> </w:t>
            </w:r>
            <w:r>
              <w:rPr>
                <w:rFonts w:eastAsia="宋体"/>
                <w:position w:val="9"/>
                <w:sz w:val="9"/>
                <w:szCs w:val="9"/>
                <w:lang w:eastAsia="en-US"/>
              </w:rPr>
              <w:t>2）</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FF8B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G2A</w:t>
            </w:r>
          </w:p>
        </w:tc>
        <w:tc>
          <w:tcPr>
            <w:tcW w:w="284"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1.</w:t>
            </w:r>
            <w:r>
              <w:rPr>
                <w:rFonts w:eastAsia="宋体"/>
                <w:spacing w:val="-2"/>
                <w:sz w:val="18"/>
                <w:szCs w:val="18"/>
                <w:lang w:eastAsia="en-US"/>
              </w:rPr>
              <w:t>3</w:t>
            </w:r>
            <w:r>
              <w:rPr>
                <w:rFonts w:eastAsia="宋体"/>
                <w:sz w:val="18"/>
                <w:szCs w:val="18"/>
                <w:lang w:eastAsia="en-US"/>
              </w:rPr>
              <w:t>4</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中等</w:t>
            </w:r>
          </w:p>
        </w:tc>
        <w:tc>
          <w:tcPr>
            <w:tcW w:w="36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33"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40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8</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zh-CN"/>
              </w:rPr>
            </w:pPr>
            <w:r>
              <w:rPr>
                <w:rFonts w:eastAsia="宋体"/>
                <w:sz w:val="18"/>
                <w:szCs w:val="18"/>
                <w:lang w:eastAsia="zh-CN"/>
              </w:rPr>
              <w:t>美国、德国、欧盟、日本、世界银行</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zh-CN"/>
              </w:rPr>
            </w:pPr>
            <w:r>
              <w:rPr>
                <w:rFonts w:ascii="Times New Roman" w:hAnsi="Times New Roman"/>
                <w:lang w:eastAsia="zh-CN"/>
              </w:rPr>
              <w:t>/</w:t>
            </w:r>
          </w:p>
        </w:tc>
        <w:tc>
          <w:tcPr>
            <w:tcW w:w="5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zh-CN"/>
              </w:rPr>
            </w:pPr>
            <w:r>
              <w:rPr>
                <w:rFonts w:ascii="Times New Roman" w:hAnsi="Times New Roman"/>
                <w:lang w:eastAsia="zh-CN"/>
              </w:rPr>
              <w:t>/</w:t>
            </w: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环氧氯丙烷</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FF8B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G2A</w:t>
            </w:r>
          </w:p>
        </w:tc>
        <w:tc>
          <w:tcPr>
            <w:tcW w:w="284"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0.</w:t>
            </w:r>
            <w:r>
              <w:rPr>
                <w:rFonts w:eastAsia="宋体"/>
                <w:spacing w:val="-2"/>
                <w:sz w:val="18"/>
                <w:szCs w:val="18"/>
                <w:lang w:eastAsia="en-US"/>
              </w:rPr>
              <w:t>9</w:t>
            </w:r>
            <w:r>
              <w:rPr>
                <w:rFonts w:eastAsia="宋体"/>
                <w:sz w:val="18"/>
                <w:szCs w:val="18"/>
                <w:lang w:eastAsia="en-US"/>
              </w:rPr>
              <w:t>3</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高毒害</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美国、日本</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酚类</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FF8B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G3</w:t>
            </w:r>
          </w:p>
        </w:tc>
        <w:tc>
          <w:tcPr>
            <w:tcW w:w="284"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0.</w:t>
            </w:r>
            <w:r>
              <w:rPr>
                <w:rFonts w:eastAsia="宋体"/>
                <w:spacing w:val="-2"/>
                <w:sz w:val="18"/>
                <w:szCs w:val="18"/>
                <w:lang w:eastAsia="en-US"/>
              </w:rPr>
              <w:t>0</w:t>
            </w:r>
            <w:r>
              <w:rPr>
                <w:rFonts w:eastAsia="宋体"/>
                <w:sz w:val="18"/>
                <w:szCs w:val="18"/>
                <w:lang w:eastAsia="en-US"/>
              </w:rPr>
              <w:t>1</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高毒害</w:t>
            </w:r>
          </w:p>
        </w:tc>
        <w:tc>
          <w:tcPr>
            <w:tcW w:w="36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33"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zh-CN"/>
              </w:rPr>
            </w:pPr>
            <w:r>
              <w:rPr>
                <w:rFonts w:eastAsia="宋体"/>
                <w:sz w:val="18"/>
                <w:szCs w:val="18"/>
                <w:lang w:eastAsia="zh-CN"/>
              </w:rPr>
              <w:t>德国、日本、美国、世界银行</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zh-CN"/>
              </w:rPr>
            </w:pPr>
            <w:r>
              <w:rPr>
                <w:rFonts w:ascii="Times New Roman" w:hAnsi="Times New Roman"/>
                <w:lang w:eastAsia="zh-CN"/>
              </w:rPr>
              <w:t>/</w:t>
            </w:r>
          </w:p>
        </w:tc>
        <w:tc>
          <w:tcPr>
            <w:tcW w:w="58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zh-CN"/>
              </w:rPr>
            </w:pPr>
            <w:r>
              <w:rPr>
                <w:lang w:eastAsia="zh-CN"/>
              </w:rPr>
              <w:t>/</w:t>
            </w:r>
          </w:p>
        </w:tc>
      </w:tr>
      <w:tr>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苯胺类</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FF8B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G3</w:t>
            </w:r>
          </w:p>
        </w:tc>
        <w:tc>
          <w:tcPr>
            <w:tcW w:w="284"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0.2</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中等</w:t>
            </w:r>
          </w:p>
        </w:tc>
        <w:tc>
          <w:tcPr>
            <w:tcW w:w="36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33"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美国、德国、日本</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8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zh-CN"/>
              </w:rPr>
            </w:pPr>
            <w:r>
              <w:rPr>
                <w:lang w:eastAsia="zh-CN"/>
              </w:rPr>
              <w:t>/</w:t>
            </w: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9"/>
                <w:szCs w:val="9"/>
                <w:lang w:eastAsia="en-US"/>
              </w:rPr>
            </w:pPr>
            <w:r>
              <w:rPr>
                <w:rFonts w:eastAsia="宋体"/>
                <w:sz w:val="18"/>
                <w:szCs w:val="18"/>
                <w:lang w:eastAsia="en-US"/>
              </w:rPr>
              <w:t>氯甲烷</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0080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G3</w:t>
            </w:r>
          </w:p>
        </w:tc>
        <w:tc>
          <w:tcPr>
            <w:tcW w:w="28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中等</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美国、德国、日本</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p>
        </w:tc>
        <w:tc>
          <w:tcPr>
            <w:tcW w:w="5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氯苯类</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FF8B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G2B</w:t>
            </w:r>
          </w:p>
        </w:tc>
        <w:tc>
          <w:tcPr>
            <w:tcW w:w="284"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0.</w:t>
            </w:r>
            <w:r>
              <w:rPr>
                <w:rFonts w:eastAsia="宋体"/>
                <w:spacing w:val="-2"/>
                <w:sz w:val="18"/>
                <w:szCs w:val="18"/>
                <w:lang w:eastAsia="en-US"/>
              </w:rPr>
              <w:t>6</w:t>
            </w:r>
            <w:r>
              <w:rPr>
                <w:rFonts w:eastAsia="宋体"/>
                <w:sz w:val="18"/>
                <w:szCs w:val="18"/>
                <w:lang w:eastAsia="en-US"/>
              </w:rPr>
              <w:t>4</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低毒害</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zh-CN"/>
              </w:rPr>
            </w:pPr>
            <w:r>
              <w:rPr>
                <w:rFonts w:eastAsia="宋体"/>
                <w:sz w:val="18"/>
                <w:szCs w:val="18"/>
                <w:lang w:eastAsia="zh-CN"/>
              </w:rPr>
              <w:t>美国、德国、欧盟、世界银行</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zh-CN"/>
              </w:rPr>
            </w:pPr>
            <w:r>
              <w:rPr>
                <w:rFonts w:ascii="Times New Roman" w:hAnsi="Times New Roman"/>
                <w:lang w:eastAsia="zh-CN"/>
              </w:rPr>
              <w:t>/</w:t>
            </w:r>
          </w:p>
        </w:tc>
        <w:tc>
          <w:tcPr>
            <w:tcW w:w="58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zh-CN"/>
              </w:rPr>
            </w:pPr>
            <w:r>
              <w:rPr>
                <w:lang w:eastAsia="zh-CN"/>
              </w:rPr>
              <w:t>/</w:t>
            </w: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甲醇</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0080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84"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4</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低毒害</w:t>
            </w:r>
          </w:p>
        </w:tc>
        <w:tc>
          <w:tcPr>
            <w:tcW w:w="36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33"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40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21</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zh-CN"/>
              </w:rPr>
            </w:pPr>
            <w:r>
              <w:rPr>
                <w:rFonts w:eastAsia="宋体"/>
                <w:sz w:val="18"/>
                <w:szCs w:val="18"/>
                <w:lang w:eastAsia="zh-CN"/>
              </w:rPr>
              <w:t>德国、美国、日本、世界银行</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zh-CN"/>
              </w:rPr>
            </w:pPr>
            <w:r>
              <w:rPr>
                <w:rFonts w:ascii="Times New Roman" w:hAnsi="Times New Roman"/>
                <w:lang w:eastAsia="zh-CN"/>
              </w:rPr>
              <w:t>/</w:t>
            </w:r>
          </w:p>
        </w:tc>
        <w:tc>
          <w:tcPr>
            <w:tcW w:w="58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zh-CN"/>
              </w:rPr>
            </w:pPr>
            <w:r>
              <w:rPr>
                <w:lang w:eastAsia="zh-CN"/>
              </w:rPr>
              <w:t>/</w:t>
            </w:r>
          </w:p>
        </w:tc>
      </w:tr>
      <w:tr>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乙腈</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0080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84"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1.</w:t>
            </w:r>
            <w:r>
              <w:rPr>
                <w:rFonts w:eastAsia="宋体"/>
                <w:spacing w:val="-2"/>
                <w:sz w:val="18"/>
                <w:szCs w:val="18"/>
                <w:lang w:eastAsia="en-US"/>
              </w:rPr>
              <w:t>9</w:t>
            </w:r>
            <w:r>
              <w:rPr>
                <w:rFonts w:eastAsia="宋体"/>
                <w:sz w:val="18"/>
                <w:szCs w:val="18"/>
                <w:lang w:eastAsia="en-US"/>
              </w:rPr>
              <w:t>6</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中等</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33"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美国、日本</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乙酸乙酯</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FF8B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lang w:eastAsia="zh-CN"/>
              </w:rPr>
              <w:t>/</w:t>
            </w:r>
          </w:p>
        </w:tc>
        <w:tc>
          <w:tcPr>
            <w:tcW w:w="28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低毒害</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日本</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乙酸乙烯酯</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18"/>
                <w:szCs w:val="18"/>
                <w:lang w:eastAsia="en-US"/>
              </w:rPr>
            </w:pPr>
            <w:r>
              <w:rPr>
                <w:rFonts w:eastAsia="Arial"/>
                <w:b/>
                <w:bCs/>
                <w:color w:val="008000"/>
                <w:spacing w:val="-1"/>
                <w:sz w:val="18"/>
                <w:szCs w:val="18"/>
                <w:lang w:eastAsia="en-US"/>
              </w:rPr>
              <w:t>PB</w:t>
            </w:r>
            <w:r>
              <w:rPr>
                <w:rFonts w:eastAsia="Arial"/>
                <w:b/>
                <w:bCs/>
                <w:color w:val="FF0000"/>
                <w:sz w:val="18"/>
                <w:szCs w:val="18"/>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G2B</w:t>
            </w:r>
          </w:p>
        </w:tc>
        <w:tc>
          <w:tcPr>
            <w:tcW w:w="28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0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美国、德国、日本</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丙烯酸</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0080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G3</w:t>
            </w:r>
          </w:p>
        </w:tc>
        <w:tc>
          <w:tcPr>
            <w:tcW w:w="284"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0.</w:t>
            </w:r>
            <w:r>
              <w:rPr>
                <w:rFonts w:eastAsia="宋体"/>
                <w:spacing w:val="-2"/>
                <w:sz w:val="18"/>
                <w:szCs w:val="18"/>
                <w:lang w:eastAsia="en-US"/>
              </w:rPr>
              <w:t>0</w:t>
            </w:r>
            <w:r>
              <w:rPr>
                <w:rFonts w:eastAsia="宋体"/>
                <w:spacing w:val="1"/>
                <w:sz w:val="18"/>
                <w:szCs w:val="18"/>
                <w:lang w:eastAsia="en-US"/>
              </w:rPr>
              <w:t>0</w:t>
            </w:r>
            <w:r>
              <w:rPr>
                <w:rFonts w:eastAsia="宋体"/>
                <w:spacing w:val="-2"/>
                <w:sz w:val="18"/>
                <w:szCs w:val="18"/>
                <w:lang w:eastAsia="en-US"/>
              </w:rPr>
              <w:t>0</w:t>
            </w:r>
            <w:r>
              <w:rPr>
                <w:rFonts w:eastAsia="宋体"/>
                <w:sz w:val="18"/>
                <w:szCs w:val="18"/>
                <w:lang w:eastAsia="en-US"/>
              </w:rPr>
              <w:t>4</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低毒害</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德国、美国、日本</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r>
      <w:tr>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二氯甲烷</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0080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G2B</w:t>
            </w:r>
          </w:p>
        </w:tc>
        <w:tc>
          <w:tcPr>
            <w:tcW w:w="284"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0.</w:t>
            </w:r>
            <w:r>
              <w:rPr>
                <w:rFonts w:eastAsia="宋体"/>
                <w:spacing w:val="-2"/>
                <w:sz w:val="18"/>
                <w:szCs w:val="18"/>
                <w:lang w:eastAsia="en-US"/>
              </w:rPr>
              <w:t>9</w:t>
            </w:r>
            <w:r>
              <w:rPr>
                <w:rFonts w:eastAsia="宋体"/>
                <w:spacing w:val="1"/>
                <w:sz w:val="18"/>
                <w:szCs w:val="18"/>
                <w:lang w:eastAsia="en-US"/>
              </w:rPr>
              <w:t>1</w:t>
            </w:r>
            <w:r>
              <w:rPr>
                <w:rFonts w:eastAsia="宋体"/>
                <w:sz w:val="18"/>
                <w:szCs w:val="18"/>
                <w:lang w:eastAsia="en-US"/>
              </w:rPr>
              <w:t>2</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中等</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3</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zh-CN"/>
              </w:rPr>
            </w:pPr>
            <w:r>
              <w:rPr>
                <w:rFonts w:eastAsia="宋体"/>
                <w:sz w:val="18"/>
                <w:szCs w:val="18"/>
                <w:lang w:eastAsia="zh-CN"/>
              </w:rPr>
              <w:t>美国、德国、日本、世界银行</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zh-CN"/>
              </w:rPr>
            </w:pPr>
            <w:r>
              <w:rPr>
                <w:rFonts w:ascii="Times New Roman" w:hAnsi="Times New Roman"/>
                <w:lang w:eastAsia="zh-CN"/>
              </w:rPr>
              <w:t>/</w:t>
            </w:r>
          </w:p>
        </w:tc>
        <w:tc>
          <w:tcPr>
            <w:tcW w:w="5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zh-CN"/>
              </w:rPr>
            </w:pPr>
            <w:r>
              <w:rPr>
                <w:rFonts w:ascii="Times New Roman" w:hAnsi="Times New Roman"/>
                <w:lang w:eastAsia="zh-CN"/>
              </w:rPr>
              <w:t>/</w:t>
            </w: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三氯甲烷</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0080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G2</w:t>
            </w:r>
            <w:r>
              <w:rPr>
                <w:rFonts w:eastAsia="宋体"/>
                <w:sz w:val="18"/>
                <w:szCs w:val="18"/>
                <w:lang w:eastAsia="en-US"/>
              </w:rPr>
              <w:t>B</w:t>
            </w:r>
          </w:p>
        </w:tc>
        <w:tc>
          <w:tcPr>
            <w:tcW w:w="284"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85</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中等</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美国、德国、日本</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四氯化碳</w:t>
            </w:r>
          </w:p>
        </w:tc>
        <w:tc>
          <w:tcPr>
            <w:tcW w:w="3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G2B</w:t>
            </w:r>
          </w:p>
        </w:tc>
        <w:tc>
          <w:tcPr>
            <w:tcW w:w="284"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40</w:t>
            </w:r>
            <w:r>
              <w:rPr>
                <w:rFonts w:eastAsia="宋体"/>
                <w:spacing w:val="-2"/>
                <w:sz w:val="18"/>
                <w:szCs w:val="18"/>
                <w:lang w:eastAsia="en-US"/>
              </w:rPr>
              <w:t>.</w:t>
            </w:r>
            <w:r>
              <w:rPr>
                <w:rFonts w:eastAsia="宋体"/>
                <w:spacing w:val="1"/>
                <w:sz w:val="18"/>
                <w:szCs w:val="18"/>
                <w:lang w:eastAsia="en-US"/>
              </w:rPr>
              <w:t>7</w:t>
            </w:r>
            <w:r>
              <w:rPr>
                <w:rFonts w:eastAsia="宋体"/>
                <w:sz w:val="18"/>
                <w:szCs w:val="18"/>
                <w:lang w:eastAsia="en-US"/>
              </w:rPr>
              <w:t>3</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中等</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zh-CN"/>
              </w:rPr>
            </w:pPr>
            <w:r>
              <w:rPr>
                <w:rFonts w:eastAsia="宋体"/>
                <w:sz w:val="18"/>
                <w:szCs w:val="18"/>
                <w:lang w:eastAsia="zh-CN"/>
              </w:rPr>
              <w:t>美国、国、日本、世界银行</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zh-CN"/>
              </w:rPr>
            </w:pPr>
            <w:r>
              <w:rPr>
                <w:rFonts w:ascii="Times New Roman" w:hAnsi="Times New Roman"/>
                <w:lang w:eastAsia="zh-CN"/>
              </w:rPr>
              <w:t>/</w:t>
            </w:r>
          </w:p>
        </w:tc>
        <w:tc>
          <w:tcPr>
            <w:tcW w:w="5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zh-CN"/>
              </w:rPr>
            </w:pPr>
            <w:r>
              <w:rPr>
                <w:rFonts w:ascii="Times New Roman" w:hAnsi="Times New Roman"/>
                <w:lang w:eastAsia="zh-CN"/>
              </w:rPr>
              <w:t>/</w:t>
            </w: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1</w:t>
            </w:r>
            <w:r>
              <w:rPr>
                <w:rFonts w:eastAsia="宋体"/>
                <w:sz w:val="18"/>
                <w:szCs w:val="18"/>
                <w:lang w:eastAsia="en-US"/>
              </w:rPr>
              <w:t>，</w:t>
            </w:r>
            <w:r>
              <w:rPr>
                <w:rFonts w:eastAsia="宋体"/>
                <w:spacing w:val="1"/>
                <w:sz w:val="18"/>
                <w:szCs w:val="18"/>
                <w:lang w:eastAsia="en-US"/>
              </w:rPr>
              <w:t>1-</w:t>
            </w:r>
            <w:r>
              <w:rPr>
                <w:rFonts w:eastAsia="宋体"/>
                <w:sz w:val="18"/>
                <w:szCs w:val="18"/>
                <w:lang w:eastAsia="en-US"/>
              </w:rPr>
              <w:t>二氯乙</w:t>
            </w:r>
          </w:p>
          <w:p>
            <w:pPr>
              <w:pStyle w:val="122"/>
              <w:jc w:val="center"/>
              <w:rPr>
                <w:rFonts w:eastAsia="宋体"/>
                <w:sz w:val="18"/>
                <w:szCs w:val="18"/>
                <w:lang w:eastAsia="en-US"/>
              </w:rPr>
            </w:pPr>
            <w:r>
              <w:rPr>
                <w:rFonts w:eastAsia="宋体"/>
                <w:sz w:val="18"/>
                <w:szCs w:val="18"/>
                <w:lang w:eastAsia="en-US"/>
              </w:rPr>
              <w:t>烷</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0080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8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低毒害</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美国、欧盟、德国</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r>
      <w:tr>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四氯乙烯</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18"/>
                <w:szCs w:val="18"/>
                <w:lang w:eastAsia="en-US"/>
              </w:rPr>
            </w:pPr>
            <w:r>
              <w:rPr>
                <w:rFonts w:eastAsia="Arial"/>
                <w:b/>
                <w:bCs/>
                <w:color w:val="008000"/>
                <w:spacing w:val="-1"/>
                <w:sz w:val="18"/>
                <w:szCs w:val="18"/>
                <w:lang w:eastAsia="en-US"/>
              </w:rPr>
              <w:t>PB</w:t>
            </w:r>
            <w:r>
              <w:rPr>
                <w:rFonts w:eastAsia="Arial"/>
                <w:b/>
                <w:bCs/>
                <w:color w:val="FF0000"/>
                <w:sz w:val="18"/>
                <w:szCs w:val="18"/>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G2A</w:t>
            </w:r>
          </w:p>
        </w:tc>
        <w:tc>
          <w:tcPr>
            <w:tcW w:w="284"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4.</w:t>
            </w:r>
            <w:r>
              <w:rPr>
                <w:rFonts w:eastAsia="宋体"/>
                <w:spacing w:val="-2"/>
                <w:sz w:val="18"/>
                <w:szCs w:val="18"/>
                <w:lang w:eastAsia="en-US"/>
              </w:rPr>
              <w:t>6</w:t>
            </w:r>
            <w:r>
              <w:rPr>
                <w:rFonts w:eastAsia="宋体"/>
                <w:sz w:val="18"/>
                <w:szCs w:val="18"/>
                <w:lang w:eastAsia="en-US"/>
              </w:rPr>
              <w:t>8</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中等</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4</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zh-CN"/>
              </w:rPr>
            </w:pPr>
            <w:r>
              <w:rPr>
                <w:rFonts w:eastAsia="宋体"/>
                <w:sz w:val="18"/>
                <w:szCs w:val="18"/>
                <w:lang w:eastAsia="zh-CN"/>
              </w:rPr>
              <w:t>美国、德国、日本、世界银行</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zh-CN"/>
              </w:rPr>
            </w:pPr>
            <w:r>
              <w:rPr>
                <w:rFonts w:ascii="Times New Roman" w:hAnsi="Times New Roman"/>
                <w:lang w:eastAsia="zh-CN"/>
              </w:rPr>
              <w:t>/</w:t>
            </w:r>
          </w:p>
        </w:tc>
        <w:tc>
          <w:tcPr>
            <w:tcW w:w="5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zh-CN"/>
              </w:rPr>
            </w:pPr>
            <w:r>
              <w:rPr>
                <w:rFonts w:ascii="Times New Roman" w:hAnsi="Times New Roman"/>
                <w:lang w:eastAsia="zh-CN"/>
              </w:rPr>
              <w:t>/</w:t>
            </w: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2-</w:t>
            </w:r>
            <w:r>
              <w:rPr>
                <w:rFonts w:eastAsia="宋体"/>
                <w:sz w:val="18"/>
                <w:szCs w:val="18"/>
                <w:lang w:eastAsia="en-US"/>
              </w:rPr>
              <w:t>硝基丙烷</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0080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G2B</w:t>
            </w:r>
          </w:p>
        </w:tc>
        <w:tc>
          <w:tcPr>
            <w:tcW w:w="28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高毒害</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美国、欧盟、荷兰</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丙烯酸甲酯</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FF00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84"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0.</w:t>
            </w:r>
            <w:r>
              <w:rPr>
                <w:rFonts w:eastAsia="宋体"/>
                <w:spacing w:val="-2"/>
                <w:sz w:val="18"/>
                <w:szCs w:val="18"/>
                <w:lang w:eastAsia="en-US"/>
              </w:rPr>
              <w:t>0</w:t>
            </w:r>
            <w:r>
              <w:rPr>
                <w:rFonts w:eastAsia="宋体"/>
                <w:spacing w:val="1"/>
                <w:sz w:val="18"/>
                <w:szCs w:val="18"/>
                <w:lang w:eastAsia="en-US"/>
              </w:rPr>
              <w:t>4</w:t>
            </w:r>
            <w:r>
              <w:rPr>
                <w:rFonts w:eastAsia="宋体"/>
                <w:sz w:val="18"/>
                <w:szCs w:val="18"/>
                <w:lang w:eastAsia="en-US"/>
              </w:rPr>
              <w:t>8</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低毒害</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欧盟、德国、日本</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丙烯酸乙酯</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18"/>
                <w:szCs w:val="18"/>
                <w:lang w:eastAsia="en-US"/>
              </w:rPr>
            </w:pPr>
            <w:r>
              <w:rPr>
                <w:rFonts w:eastAsia="Arial"/>
                <w:b/>
                <w:bCs/>
                <w:color w:val="008000"/>
                <w:spacing w:val="-1"/>
                <w:sz w:val="18"/>
                <w:szCs w:val="18"/>
                <w:lang w:eastAsia="en-US"/>
              </w:rPr>
              <w:t>PB</w:t>
            </w:r>
            <w:r>
              <w:rPr>
                <w:rFonts w:eastAsia="Arial"/>
                <w:b/>
                <w:bCs/>
                <w:color w:val="FF0000"/>
                <w:sz w:val="18"/>
                <w:szCs w:val="18"/>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G2B</w:t>
            </w:r>
          </w:p>
        </w:tc>
        <w:tc>
          <w:tcPr>
            <w:tcW w:w="284"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0.</w:t>
            </w:r>
            <w:r>
              <w:rPr>
                <w:rFonts w:eastAsia="宋体"/>
                <w:spacing w:val="-2"/>
                <w:sz w:val="18"/>
                <w:szCs w:val="18"/>
                <w:lang w:eastAsia="en-US"/>
              </w:rPr>
              <w:t>0</w:t>
            </w:r>
            <w:r>
              <w:rPr>
                <w:rFonts w:eastAsia="宋体"/>
                <w:spacing w:val="1"/>
                <w:sz w:val="18"/>
                <w:szCs w:val="18"/>
                <w:lang w:eastAsia="en-US"/>
              </w:rPr>
              <w:t>0</w:t>
            </w:r>
            <w:r>
              <w:rPr>
                <w:rFonts w:eastAsia="宋体"/>
                <w:spacing w:val="-2"/>
                <w:sz w:val="18"/>
                <w:szCs w:val="18"/>
                <w:lang w:eastAsia="en-US"/>
              </w:rPr>
              <w:t>0</w:t>
            </w:r>
            <w:r>
              <w:rPr>
                <w:rFonts w:eastAsia="宋体"/>
                <w:sz w:val="18"/>
                <w:szCs w:val="18"/>
                <w:lang w:eastAsia="en-US"/>
              </w:rPr>
              <w:t>2</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中等</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美国、欧盟、德国</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丙烯酸丁酯</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18"/>
                <w:szCs w:val="18"/>
                <w:lang w:eastAsia="en-US"/>
              </w:rPr>
            </w:pPr>
            <w:r>
              <w:rPr>
                <w:rFonts w:eastAsia="Arial"/>
                <w:b/>
                <w:bCs/>
                <w:color w:val="008000"/>
                <w:spacing w:val="-1"/>
                <w:sz w:val="18"/>
                <w:szCs w:val="18"/>
                <w:lang w:eastAsia="en-US"/>
              </w:rPr>
              <w:t>PB</w:t>
            </w:r>
            <w:r>
              <w:rPr>
                <w:rFonts w:eastAsia="Arial"/>
                <w:b/>
                <w:bCs/>
                <w:color w:val="FF0000"/>
                <w:sz w:val="18"/>
                <w:szCs w:val="18"/>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7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5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84"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0.</w:t>
            </w:r>
            <w:r>
              <w:rPr>
                <w:rFonts w:eastAsia="宋体"/>
                <w:spacing w:val="-2"/>
                <w:sz w:val="18"/>
                <w:szCs w:val="18"/>
                <w:lang w:eastAsia="en-US"/>
              </w:rPr>
              <w:t>1</w:t>
            </w:r>
            <w:r>
              <w:rPr>
                <w:rFonts w:eastAsia="宋体"/>
                <w:sz w:val="18"/>
                <w:szCs w:val="18"/>
                <w:lang w:eastAsia="en-US"/>
              </w:rPr>
              <w:t>8</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低毒害</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德国、欧</w:t>
            </w:r>
          </w:p>
          <w:p>
            <w:pPr>
              <w:pStyle w:val="122"/>
              <w:jc w:val="center"/>
              <w:rPr>
                <w:rFonts w:eastAsia="宋体"/>
                <w:sz w:val="18"/>
                <w:szCs w:val="18"/>
                <w:lang w:eastAsia="en-US"/>
              </w:rPr>
            </w:pPr>
            <w:r>
              <w:rPr>
                <w:rFonts w:eastAsia="宋体"/>
                <w:sz w:val="18"/>
                <w:szCs w:val="18"/>
                <w:lang w:eastAsia="en-US"/>
              </w:rPr>
              <w:t>盟</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r>
      <w:tr>
        <w:tblPrEx>
          <w:tblCellMar>
            <w:top w:w="0" w:type="dxa"/>
            <w:left w:w="0" w:type="dxa"/>
            <w:bottom w:w="0" w:type="dxa"/>
            <w:right w:w="0" w:type="dxa"/>
          </w:tblCellMar>
        </w:tblPrEx>
        <w:trPr>
          <w:trHeight w:val="20" w:hRule="atLeast"/>
        </w:trPr>
        <w:tc>
          <w:tcPr>
            <w:tcW w:w="47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甲基丙烯酸甲酯</w:t>
            </w:r>
          </w:p>
        </w:tc>
        <w:tc>
          <w:tcPr>
            <w:tcW w:w="305"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Arial"/>
                <w:sz w:val="21"/>
                <w:szCs w:val="21"/>
                <w:lang w:eastAsia="en-US"/>
              </w:rPr>
            </w:pPr>
            <w:r>
              <w:rPr>
                <w:rFonts w:eastAsia="Arial"/>
                <w:b/>
                <w:bCs/>
                <w:color w:val="008000"/>
                <w:sz w:val="21"/>
                <w:szCs w:val="21"/>
                <w:lang w:eastAsia="en-US"/>
              </w:rPr>
              <w:t>P</w:t>
            </w:r>
            <w:r>
              <w:rPr>
                <w:rFonts w:eastAsia="Arial"/>
                <w:b/>
                <w:bCs/>
                <w:color w:val="008000"/>
                <w:spacing w:val="-2"/>
                <w:sz w:val="21"/>
                <w:szCs w:val="21"/>
                <w:lang w:eastAsia="en-US"/>
              </w:rPr>
              <w:t>B</w:t>
            </w:r>
            <w:r>
              <w:rPr>
                <w:rFonts w:eastAsia="Arial"/>
                <w:b/>
                <w:bCs/>
                <w:color w:val="FF8B00"/>
                <w:sz w:val="21"/>
                <w:szCs w:val="21"/>
                <w:lang w:eastAsia="en-US"/>
              </w:rPr>
              <w:t>T</w:t>
            </w:r>
          </w:p>
        </w:tc>
        <w:tc>
          <w:tcPr>
            <w:tcW w:w="24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78"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25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G</w:t>
            </w:r>
            <w:r>
              <w:rPr>
                <w:rFonts w:eastAsia="宋体"/>
                <w:sz w:val="18"/>
                <w:szCs w:val="18"/>
                <w:lang w:eastAsia="en-US"/>
              </w:rPr>
              <w:t>3</w:t>
            </w:r>
          </w:p>
        </w:tc>
        <w:tc>
          <w:tcPr>
            <w:tcW w:w="284"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pacing w:val="1"/>
                <w:sz w:val="18"/>
                <w:szCs w:val="18"/>
                <w:lang w:eastAsia="en-US"/>
              </w:rPr>
              <w:t>0.</w:t>
            </w:r>
            <w:r>
              <w:rPr>
                <w:rFonts w:eastAsia="宋体"/>
                <w:spacing w:val="-2"/>
                <w:sz w:val="18"/>
                <w:szCs w:val="18"/>
                <w:lang w:eastAsia="en-US"/>
              </w:rPr>
              <w:t>0</w:t>
            </w:r>
            <w:r>
              <w:rPr>
                <w:rFonts w:eastAsia="宋体"/>
                <w:spacing w:val="1"/>
                <w:sz w:val="18"/>
                <w:szCs w:val="18"/>
                <w:lang w:eastAsia="en-US"/>
              </w:rPr>
              <w:t>8</w:t>
            </w:r>
            <w:r>
              <w:rPr>
                <w:rFonts w:eastAsia="宋体"/>
                <w:sz w:val="18"/>
                <w:szCs w:val="18"/>
                <w:lang w:eastAsia="en-US"/>
              </w:rPr>
              <w:t>3</w:t>
            </w:r>
          </w:p>
        </w:tc>
        <w:tc>
          <w:tcPr>
            <w:tcW w:w="300"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低毒害</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233"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40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是</w:t>
            </w:r>
          </w:p>
        </w:tc>
        <w:tc>
          <w:tcPr>
            <w:tcW w:w="559" w:type="pct"/>
            <w:tcBorders>
              <w:top w:val="single" w:color="auto" w:sz="4" w:space="0"/>
              <w:left w:val="single" w:color="auto" w:sz="4" w:space="0"/>
              <w:bottom w:val="single" w:color="auto" w:sz="4" w:space="0"/>
              <w:right w:val="single" w:color="auto" w:sz="4" w:space="0"/>
            </w:tcBorders>
            <w:vAlign w:val="center"/>
          </w:tcPr>
          <w:p>
            <w:pPr>
              <w:pStyle w:val="122"/>
              <w:jc w:val="center"/>
              <w:rPr>
                <w:rFonts w:eastAsia="宋体"/>
                <w:sz w:val="18"/>
                <w:szCs w:val="18"/>
                <w:lang w:eastAsia="en-US"/>
              </w:rPr>
            </w:pPr>
            <w:r>
              <w:rPr>
                <w:rFonts w:eastAsia="宋体"/>
                <w:sz w:val="18"/>
                <w:szCs w:val="18"/>
                <w:lang w:eastAsia="en-US"/>
              </w:rPr>
              <w:t>德国、日本</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c>
          <w:tcPr>
            <w:tcW w:w="5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lang w:eastAsia="en-US"/>
              </w:rPr>
            </w:pPr>
            <w:r>
              <w:rPr>
                <w:rFonts w:ascii="Times New Roman" w:hAnsi="Times New Roman"/>
                <w:lang w:eastAsia="zh-CN"/>
              </w:rPr>
              <w:t>/</w:t>
            </w:r>
          </w:p>
        </w:tc>
      </w:tr>
    </w:tbl>
    <w:p>
      <w:pPr>
        <w:pStyle w:val="68"/>
        <w:ind w:firstLine="0" w:firstLineChars="0"/>
        <w:rPr>
          <w:rFonts w:cs="Times New Roman"/>
        </w:rPr>
      </w:pPr>
    </w:p>
    <w:p>
      <w:pPr>
        <w:pStyle w:val="68"/>
        <w:ind w:firstLine="0" w:firstLineChars="0"/>
        <w:rPr>
          <w:rFonts w:cs="Times New Roman"/>
        </w:rPr>
        <w:sectPr>
          <w:pgSz w:w="16838" w:h="11906" w:orient="landscape"/>
          <w:pgMar w:top="1800" w:right="1440" w:bottom="1800" w:left="1440" w:header="851" w:footer="992" w:gutter="0"/>
          <w:pgNumType w:fmt="numberInDash"/>
          <w:cols w:space="425" w:num="1"/>
          <w:docGrid w:type="lines" w:linePitch="312" w:charSpace="0"/>
        </w:sectPr>
      </w:pPr>
    </w:p>
    <w:p>
      <w:pPr>
        <w:pStyle w:val="3"/>
        <w:spacing w:line="720" w:lineRule="auto"/>
        <w:ind w:left="0" w:firstLine="0"/>
      </w:pPr>
      <w:bookmarkStart w:id="166" w:name="_Toc75787655"/>
      <w:r>
        <w:t>标准限值确定</w:t>
      </w:r>
      <w:bookmarkEnd w:id="166"/>
    </w:p>
    <w:p>
      <w:pPr>
        <w:pStyle w:val="4"/>
        <w:ind w:left="0" w:firstLine="0"/>
      </w:pPr>
      <w:bookmarkStart w:id="167" w:name="_Toc26350788"/>
      <w:r>
        <w:t>标准限值的确定方法</w:t>
      </w:r>
      <w:bookmarkEnd w:id="167"/>
    </w:p>
    <w:p>
      <w:pPr>
        <w:pStyle w:val="68"/>
        <w:rPr>
          <w:rFonts w:cs="Times New Roman"/>
        </w:rPr>
      </w:pPr>
      <w:r>
        <w:rPr>
          <w:rFonts w:cs="Times New Roman"/>
        </w:rPr>
        <w:t>（1）基于技术和经济可行性</w:t>
      </w:r>
    </w:p>
    <w:p>
      <w:pPr>
        <w:pStyle w:val="68"/>
        <w:rPr>
          <w:rFonts w:cs="Times New Roman"/>
        </w:rPr>
      </w:pPr>
      <w:r>
        <w:rPr>
          <w:rFonts w:cs="Times New Roman"/>
        </w:rPr>
        <w:t>排放浓度限值确定主要基于控制技术可行性，企业调研数据，然后根据与国内外相关标准比较，同时考虑当前采用技术的成本、经济可行性等因素，进行筛选和确定标准限值。</w:t>
      </w:r>
    </w:p>
    <w:p>
      <w:pPr>
        <w:pStyle w:val="68"/>
        <w:rPr>
          <w:rFonts w:cs="Times New Roman"/>
        </w:rPr>
      </w:pPr>
      <w:r>
        <w:rPr>
          <w:rFonts w:cs="Times New Roman"/>
        </w:rPr>
        <w:t>（2）多介质环境目标值</w:t>
      </w:r>
    </w:p>
    <w:p>
      <w:pPr>
        <w:pStyle w:val="68"/>
        <w:rPr>
          <w:rFonts w:cs="Times New Roman"/>
        </w:rPr>
      </w:pPr>
      <w:r>
        <w:rPr>
          <w:rFonts w:cs="Times New Roman"/>
        </w:rPr>
        <w:t>多介质环境目标值（Multimedia Environmental Goals，缩写为 MEG）是美国环保</w:t>
      </w:r>
      <w:r>
        <w:rPr>
          <w:rFonts w:hint="eastAsia" w:cs="Times New Roman"/>
        </w:rPr>
        <w:t>署（</w:t>
      </w:r>
      <w:r>
        <w:rPr>
          <w:rFonts w:cs="Times New Roman"/>
        </w:rPr>
        <w:t>EPA）工业环境实验室推算出的化学物质或其降解产物的环境介质（空气、水、土）中的含量以及排放量的限定值。早在1977年，美国环保</w:t>
      </w:r>
      <w:r>
        <w:rPr>
          <w:rFonts w:hint="eastAsia" w:cs="Times New Roman"/>
        </w:rPr>
        <w:t>署</w:t>
      </w:r>
      <w:r>
        <w:rPr>
          <w:rFonts w:cs="Times New Roman"/>
        </w:rPr>
        <w:t>工业环境实验室就建立了MEG方法，并在1980年对其进行了增补，其目的是为当时正在建立的一整套综合环境评价方法服务。即用这套方法进行环境评价时，是将所得的评价对象的环境监测数据与MEG进行比较，从而来衡量污染物对环境影响的程度。依据其影响程度给污染物“排队”，然后，再对排放流和产生排放流的工艺给环境带来的潜在影响，以及针对该工艺的污染控制设施的效果进行定量的评价。</w:t>
      </w:r>
    </w:p>
    <w:p>
      <w:pPr>
        <w:pStyle w:val="68"/>
        <w:rPr>
          <w:rFonts w:cs="Times New Roman"/>
        </w:rPr>
      </w:pPr>
      <w:r>
        <w:rPr>
          <w:rFonts w:cs="Times New Roman"/>
        </w:rPr>
        <w:t>MEG包括周围环境目标值（Ambient MEG，缩写为AMEG）和排放环境目标值（Discharge MEG，缩写为 DMEG）。周围环境目标值表示化学物质在环境介质中可以容许的最大浓度（估计生物体与这种浓度的化学物质终生接触都不会受其有害影响）。AMEG主要是由经验数据推算出来的，所以也叫估计容许浓度（Estimated Permissible Concentrations，缩写为 EPC）。排放环境目标值是指生物体与排放流短期接触时，排放流中化学物质的容许浓度。DMEG实际上是排放流中未被稀释的化学物质的最大容许浓度。在该浓度下，化学物质引起的急性毒副作用最小，所以又叫最小急性毒作用排放值（Minimum Acute Toxity Values，缩写为 MATE）。MEG值分别由阈限值、推荐值以及经验数据确定，此3种值互为补充，取其较小、保守值。</w:t>
      </w:r>
    </w:p>
    <w:p>
      <w:pPr>
        <w:pStyle w:val="4"/>
        <w:ind w:left="0" w:firstLine="0"/>
      </w:pPr>
      <w:bookmarkStart w:id="168" w:name="_Toc26350789"/>
      <w:r>
        <w:t>有组织排放浓度限值确定</w:t>
      </w:r>
      <w:bookmarkEnd w:id="168"/>
    </w:p>
    <w:p>
      <w:pPr>
        <w:pStyle w:val="68"/>
        <w:ind w:firstLine="482"/>
        <w:rPr>
          <w:rFonts w:cs="Times New Roman"/>
          <w:b/>
          <w:bCs/>
        </w:rPr>
      </w:pPr>
      <w:r>
        <w:rPr>
          <w:rFonts w:cs="Times New Roman"/>
          <w:b/>
          <w:bCs/>
        </w:rPr>
        <w:t>1. 苯</w:t>
      </w:r>
    </w:p>
    <w:p>
      <w:pPr>
        <w:pStyle w:val="68"/>
        <w:rPr>
          <w:rFonts w:cs="Times New Roman"/>
        </w:rPr>
      </w:pPr>
      <w:r>
        <w:rPr>
          <w:rFonts w:cs="Times New Roman"/>
        </w:rPr>
        <w:t>（1）苯的危害</w:t>
      </w:r>
    </w:p>
    <w:p>
      <w:pPr>
        <w:pStyle w:val="68"/>
        <w:rPr>
          <w:rFonts w:cs="Times New Roman"/>
        </w:rPr>
      </w:pPr>
      <w:r>
        <w:rPr>
          <w:rFonts w:cs="Times New Roman"/>
        </w:rPr>
        <w:t>苯为无色透明液体，有强烈芳香味；不溶于水，溶于醇、醚、丙酮等多数有机溶剂；属中等毒类；高浓度苯对</w:t>
      </w:r>
      <w:r>
        <w:rPr>
          <w:rFonts w:hint="eastAsia" w:cs="Times New Roman"/>
        </w:rPr>
        <w:t>人体</w:t>
      </w:r>
      <w:r>
        <w:rPr>
          <w:rFonts w:cs="Times New Roman"/>
        </w:rPr>
        <w:t>中枢神经系统有麻醉作用，引起急性中毒，还对造血系统会造成损害，引起慢性中毒；国际癌症研究中心（IARC）已确认为致癌物。</w:t>
      </w:r>
    </w:p>
    <w:p>
      <w:pPr>
        <w:pStyle w:val="68"/>
        <w:rPr>
          <w:rFonts w:cs="Times New Roman"/>
        </w:rPr>
      </w:pPr>
      <w:r>
        <w:rPr>
          <w:rFonts w:cs="Times New Roman"/>
        </w:rPr>
        <w:t>（2）企业调研结果</w:t>
      </w:r>
    </w:p>
    <w:p>
      <w:pPr>
        <w:pStyle w:val="68"/>
        <w:ind w:firstLine="0" w:firstLineChars="0"/>
        <w:rPr>
          <w:rFonts w:cs="Times New Roman"/>
        </w:rPr>
      </w:pPr>
      <w:r>
        <w:rPr>
          <w:rFonts w:cs="Times New Roman"/>
        </w:rPr>
        <w:drawing>
          <wp:inline distT="0" distB="0" distL="0" distR="0">
            <wp:extent cx="5297805" cy="27432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97805" cy="2743200"/>
                    </a:xfrm>
                    <a:prstGeom prst="rect">
                      <a:avLst/>
                    </a:prstGeom>
                    <a:noFill/>
                  </pic:spPr>
                </pic:pic>
              </a:graphicData>
            </a:graphic>
          </wp:inline>
        </w:drawing>
      </w:r>
    </w:p>
    <w:p>
      <w:pPr>
        <w:pStyle w:val="13"/>
        <w:spacing w:before="156" w:beforeLines="50" w:after="156" w:afterLines="50"/>
      </w:pPr>
      <w:r>
        <w:t>图7-1  苯的实测浓度分布</w:t>
      </w:r>
    </w:p>
    <w:p>
      <w:pPr>
        <w:pStyle w:val="68"/>
        <w:rPr>
          <w:rFonts w:cs="Times New Roman"/>
        </w:rPr>
      </w:pPr>
      <w:r>
        <w:rPr>
          <w:rFonts w:cs="Times New Roman"/>
        </w:rPr>
        <w:t>苯主要来自各种溶剂的使用，在监测企业中有一半企业有苯的检出，实测浓度分布如图7-1所示，最高实测浓度为13.0 mg/m</w:t>
      </w:r>
      <w:r>
        <w:rPr>
          <w:rFonts w:cs="Times New Roman"/>
          <w:vertAlign w:val="superscript"/>
        </w:rPr>
        <w:t>3</w:t>
      </w:r>
      <w:r>
        <w:rPr>
          <w:rFonts w:cs="Times New Roman"/>
        </w:rPr>
        <w:t>。实测企业苯浓度的第60百分位数为0.15 mg/m</w:t>
      </w:r>
      <w:r>
        <w:rPr>
          <w:rFonts w:cs="Times New Roman"/>
          <w:vertAlign w:val="superscript"/>
        </w:rPr>
        <w:t>3</w:t>
      </w:r>
      <w:r>
        <w:rPr>
          <w:rFonts w:cs="Times New Roman"/>
        </w:rPr>
        <w:t>，第80百分位数为0.45 mg/m</w:t>
      </w:r>
      <w:r>
        <w:rPr>
          <w:rFonts w:cs="Times New Roman"/>
          <w:vertAlign w:val="superscript"/>
        </w:rPr>
        <w:t>3</w:t>
      </w:r>
      <w:r>
        <w:rPr>
          <w:rFonts w:cs="Times New Roman"/>
        </w:rPr>
        <w:t>。有86%的实测企业苯排放浓度小于0.5mg/m</w:t>
      </w:r>
      <w:r>
        <w:rPr>
          <w:rFonts w:cs="Times New Roman"/>
          <w:vertAlign w:val="superscript"/>
        </w:rPr>
        <w:t>3</w:t>
      </w:r>
      <w:r>
        <w:rPr>
          <w:rFonts w:cs="Times New Roman"/>
        </w:rPr>
        <w:t>，实测浓度超过1 mg/m</w:t>
      </w:r>
      <w:r>
        <w:rPr>
          <w:rFonts w:cs="Times New Roman"/>
          <w:vertAlign w:val="superscript"/>
        </w:rPr>
        <w:t>3</w:t>
      </w:r>
      <w:r>
        <w:rPr>
          <w:rFonts w:cs="Times New Roman"/>
        </w:rPr>
        <w:t>、2 mg/m</w:t>
      </w:r>
      <w:r>
        <w:rPr>
          <w:rFonts w:cs="Times New Roman"/>
          <w:vertAlign w:val="superscript"/>
        </w:rPr>
        <w:t>3</w:t>
      </w:r>
      <w:r>
        <w:rPr>
          <w:rFonts w:cs="Times New Roman"/>
        </w:rPr>
        <w:t>、4 mg/m</w:t>
      </w:r>
      <w:r>
        <w:rPr>
          <w:rFonts w:cs="Times New Roman"/>
          <w:vertAlign w:val="superscript"/>
        </w:rPr>
        <w:t>3</w:t>
      </w:r>
      <w:r>
        <w:rPr>
          <w:rFonts w:cs="Times New Roman"/>
        </w:rPr>
        <w:t>的企业分别占实测企业总数的13.8%、7.7%和3.0%，总体上企业苯的控制水平较好。</w:t>
      </w:r>
    </w:p>
    <w:p>
      <w:pPr>
        <w:pStyle w:val="68"/>
        <w:rPr>
          <w:rFonts w:cs="Times New Roman"/>
        </w:rPr>
      </w:pPr>
      <w:r>
        <w:rPr>
          <w:rFonts w:cs="Times New Roman"/>
        </w:rPr>
        <w:t>（3）排放限值的确定</w:t>
      </w:r>
    </w:p>
    <w:p>
      <w:pPr>
        <w:pStyle w:val="68"/>
        <w:rPr>
          <w:rFonts w:cs="Times New Roman"/>
        </w:rPr>
      </w:pPr>
      <w:r>
        <w:rPr>
          <w:rFonts w:cs="Times New Roman"/>
        </w:rPr>
        <w:t>德国TA-LUFT规定的苯排放浓度限值（1mg/m</w:t>
      </w:r>
      <w:r>
        <w:rPr>
          <w:rFonts w:cs="Times New Roman"/>
          <w:vertAlign w:val="superscript"/>
        </w:rPr>
        <w:t>3</w:t>
      </w:r>
      <w:r>
        <w:rPr>
          <w:rFonts w:cs="Times New Roman"/>
        </w:rPr>
        <w:t>）为国际上最为严格的标准；国家大气污染物综合排放标准（1996）及广东省大气污染物排放限值（2001）均规定苯的排放限值为12 mg/m</w:t>
      </w:r>
      <w:r>
        <w:rPr>
          <w:rFonts w:cs="Times New Roman"/>
          <w:vertAlign w:val="superscript"/>
        </w:rPr>
        <w:t>3</w:t>
      </w:r>
      <w:r>
        <w:rPr>
          <w:rFonts w:cs="Times New Roman"/>
        </w:rPr>
        <w:t>，上海大气污染物综合排放标准（2015）规定苯的限值为1mg/m</w:t>
      </w:r>
      <w:r>
        <w:rPr>
          <w:rFonts w:cs="Times New Roman"/>
          <w:vertAlign w:val="superscript"/>
        </w:rPr>
        <w:t>3</w:t>
      </w:r>
      <w:r>
        <w:rPr>
          <w:rFonts w:cs="Times New Roman"/>
        </w:rPr>
        <w:t>，重庆大气污染物综合排放标准（2016）则要求相对宽松为6 mg/m</w:t>
      </w:r>
      <w:r>
        <w:rPr>
          <w:rFonts w:cs="Times New Roman"/>
          <w:vertAlign w:val="superscript"/>
        </w:rPr>
        <w:t>3</w:t>
      </w:r>
      <w:r>
        <w:rPr>
          <w:rFonts w:cs="Times New Roman"/>
        </w:rPr>
        <w:t>，北京大气污染物综合排放标准（2017）规定新建企业2018年1月1日起苯的排放限值为1 mg/m</w:t>
      </w:r>
      <w:r>
        <w:rPr>
          <w:rFonts w:cs="Times New Roman"/>
          <w:vertAlign w:val="superscript"/>
        </w:rPr>
        <w:t>3</w:t>
      </w:r>
      <w:r>
        <w:rPr>
          <w:rFonts w:cs="Times New Roman"/>
        </w:rPr>
        <w:t>；在VOCs综合排放标准方面，天津、河北和福建根据行业差异规定了不同的苯排放限值，苯的浓度限值为1~5 mg/m</w:t>
      </w:r>
      <w:r>
        <w:rPr>
          <w:rFonts w:cs="Times New Roman"/>
          <w:vertAlign w:val="superscript"/>
        </w:rPr>
        <w:t>3</w:t>
      </w:r>
      <w:r>
        <w:rPr>
          <w:rFonts w:cs="Times New Roman"/>
        </w:rPr>
        <w:t>，陕西和四川则规定苯的排放限值为1 mg/m</w:t>
      </w:r>
      <w:r>
        <w:rPr>
          <w:rFonts w:cs="Times New Roman"/>
          <w:vertAlign w:val="superscript"/>
        </w:rPr>
        <w:t>3</w:t>
      </w:r>
      <w:r>
        <w:rPr>
          <w:rFonts w:cs="Times New Roman"/>
        </w:rPr>
        <w:t>。从行业层面来看，除了纺织染整和有机化工外，其他行业苯的排放限值均为1 mg/m</w:t>
      </w:r>
      <w:r>
        <w:rPr>
          <w:rFonts w:cs="Times New Roman"/>
          <w:vertAlign w:val="superscript"/>
        </w:rPr>
        <w:t>3</w:t>
      </w:r>
      <w:r>
        <w:rPr>
          <w:rFonts w:cs="Times New Roman"/>
        </w:rPr>
        <w:t>，其中山东对新建表面涂装企业或生产设施涂装工序苯的限值要求为0.5 mg/m</w:t>
      </w:r>
      <w:r>
        <w:rPr>
          <w:rFonts w:cs="Times New Roman"/>
          <w:vertAlign w:val="superscript"/>
        </w:rPr>
        <w:t>3</w:t>
      </w:r>
      <w:r>
        <w:rPr>
          <w:rFonts w:cs="Times New Roman"/>
        </w:rPr>
        <w:t>。由于苯具有致癌性，且已经列为禁止人为加入的原料，需从严控制，</w:t>
      </w:r>
      <w:r>
        <w:rPr>
          <w:rFonts w:hint="eastAsia" w:cs="Times New Roman"/>
        </w:rPr>
        <w:t>我国大部分省市大气污染物综合排放标准中将苯的限值规定为1</w:t>
      </w:r>
      <w:r>
        <w:rPr>
          <w:rFonts w:cs="Times New Roman"/>
        </w:rPr>
        <w:t xml:space="preserve"> mg/m</w:t>
      </w:r>
      <w:r>
        <w:rPr>
          <w:rFonts w:cs="Times New Roman"/>
          <w:vertAlign w:val="superscript"/>
        </w:rPr>
        <w:t>3</w:t>
      </w:r>
      <w:r>
        <w:rPr>
          <w:rFonts w:hint="eastAsia" w:cs="Times New Roman"/>
        </w:rPr>
        <w:t>，</w:t>
      </w:r>
      <w:r>
        <w:rPr>
          <w:rFonts w:cs="Times New Roman"/>
        </w:rPr>
        <w:t>但考虑到综合排放标准覆盖的行业较广，部分行业苯的排放浓度可能仍在较高的水平。综合考虑企业实测数据统计与国内外相关标准，</w:t>
      </w:r>
      <w:r>
        <w:rPr>
          <w:rFonts w:hint="eastAsia" w:cs="Times New Roman"/>
        </w:rPr>
        <w:t>本标准适当放宽苯的排放浓度限值，</w:t>
      </w:r>
      <w:r>
        <w:rPr>
          <w:rFonts w:cs="Times New Roman"/>
        </w:rPr>
        <w:t>确定</w:t>
      </w:r>
      <w:r>
        <w:rPr>
          <w:rFonts w:hint="eastAsia" w:cs="Times New Roman"/>
        </w:rPr>
        <w:t>其</w:t>
      </w:r>
      <w:r>
        <w:rPr>
          <w:rFonts w:cs="Times New Roman"/>
        </w:rPr>
        <w:t>排放限值为2 mg/m</w:t>
      </w:r>
      <w:r>
        <w:rPr>
          <w:rFonts w:cs="Times New Roman"/>
          <w:vertAlign w:val="superscript"/>
        </w:rPr>
        <w:t>3</w:t>
      </w:r>
      <w:r>
        <w:rPr>
          <w:rFonts w:cs="Times New Roman"/>
        </w:rPr>
        <w:t>。</w:t>
      </w:r>
    </w:p>
    <w:p>
      <w:pPr>
        <w:pStyle w:val="13"/>
        <w:spacing w:before="156" w:beforeLines="50" w:after="156" w:afterLines="50"/>
      </w:pPr>
      <w:r>
        <w:t>表7-6  国内外相关标准苯的有组织排放限值</w:t>
      </w:r>
    </w:p>
    <w:tbl>
      <w:tblPr>
        <w:tblStyle w:val="10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1"/>
        <w:gridCol w:w="600"/>
        <w:gridCol w:w="3275"/>
        <w:gridCol w:w="1739"/>
        <w:gridCol w:w="1169"/>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Align w:val="center"/>
          </w:tcPr>
          <w:p>
            <w:pPr>
              <w:snapToGrid w:val="0"/>
              <w:jc w:val="center"/>
              <w:rPr>
                <w:rFonts w:ascii="Times New Roman" w:hAnsi="Times New Roman"/>
                <w:b/>
                <w:bCs/>
                <w:sz w:val="18"/>
                <w:szCs w:val="18"/>
              </w:rPr>
            </w:pPr>
            <w:r>
              <w:rPr>
                <w:rFonts w:ascii="Times New Roman" w:hAnsi="Times New Roman"/>
                <w:b/>
                <w:bCs/>
                <w:sz w:val="18"/>
                <w:szCs w:val="18"/>
              </w:rPr>
              <w:t>行业类别</w:t>
            </w:r>
          </w:p>
        </w:tc>
        <w:tc>
          <w:tcPr>
            <w:tcW w:w="600" w:type="dxa"/>
            <w:vAlign w:val="center"/>
          </w:tcPr>
          <w:p>
            <w:pPr>
              <w:snapToGrid w:val="0"/>
              <w:jc w:val="center"/>
              <w:rPr>
                <w:rFonts w:ascii="Times New Roman" w:hAnsi="Times New Roman"/>
                <w:b/>
                <w:bCs/>
                <w:sz w:val="18"/>
                <w:szCs w:val="18"/>
              </w:rPr>
            </w:pPr>
            <w:r>
              <w:rPr>
                <w:rFonts w:ascii="Times New Roman" w:hAnsi="Times New Roman"/>
                <w:b/>
                <w:bCs/>
                <w:sz w:val="18"/>
                <w:szCs w:val="18"/>
              </w:rPr>
              <w:t>国家/省市</w:t>
            </w:r>
          </w:p>
        </w:tc>
        <w:tc>
          <w:tcPr>
            <w:tcW w:w="3275" w:type="dxa"/>
            <w:vAlign w:val="center"/>
          </w:tcPr>
          <w:p>
            <w:pPr>
              <w:snapToGrid w:val="0"/>
              <w:jc w:val="center"/>
              <w:rPr>
                <w:rFonts w:ascii="Times New Roman" w:hAnsi="Times New Roman"/>
                <w:b/>
                <w:bCs/>
                <w:sz w:val="18"/>
                <w:szCs w:val="18"/>
              </w:rPr>
            </w:pPr>
            <w:r>
              <w:rPr>
                <w:rFonts w:ascii="Times New Roman" w:hAnsi="Times New Roman"/>
                <w:b/>
                <w:bCs/>
                <w:sz w:val="18"/>
                <w:szCs w:val="18"/>
              </w:rPr>
              <w:t>标准名称</w:t>
            </w:r>
          </w:p>
        </w:tc>
        <w:tc>
          <w:tcPr>
            <w:tcW w:w="1739" w:type="dxa"/>
            <w:vAlign w:val="center"/>
          </w:tcPr>
          <w:p>
            <w:pPr>
              <w:snapToGrid w:val="0"/>
              <w:jc w:val="center"/>
              <w:rPr>
                <w:rFonts w:ascii="Times New Roman" w:hAnsi="Times New Roman"/>
                <w:b/>
                <w:bCs/>
                <w:sz w:val="18"/>
                <w:szCs w:val="18"/>
              </w:rPr>
            </w:pPr>
            <w:r>
              <w:rPr>
                <w:rFonts w:ascii="Times New Roman" w:hAnsi="Times New Roman"/>
                <w:b/>
                <w:bCs/>
                <w:sz w:val="18"/>
                <w:szCs w:val="18"/>
              </w:rPr>
              <w:t>标准号</w:t>
            </w:r>
          </w:p>
        </w:tc>
        <w:tc>
          <w:tcPr>
            <w:tcW w:w="1169" w:type="dxa"/>
            <w:vAlign w:val="center"/>
          </w:tcPr>
          <w:p>
            <w:pPr>
              <w:snapToGrid w:val="0"/>
              <w:jc w:val="center"/>
              <w:rPr>
                <w:rFonts w:ascii="Times New Roman" w:hAnsi="Times New Roman"/>
                <w:b/>
                <w:bCs/>
                <w:sz w:val="18"/>
                <w:szCs w:val="18"/>
              </w:rPr>
            </w:pPr>
            <w:r>
              <w:rPr>
                <w:rFonts w:ascii="Times New Roman" w:hAnsi="Times New Roman"/>
                <w:b/>
                <w:bCs/>
                <w:sz w:val="18"/>
                <w:szCs w:val="18"/>
              </w:rPr>
              <w:t>分类</w:t>
            </w:r>
          </w:p>
        </w:tc>
        <w:tc>
          <w:tcPr>
            <w:tcW w:w="0" w:type="auto"/>
            <w:vAlign w:val="center"/>
          </w:tcPr>
          <w:p>
            <w:pPr>
              <w:snapToGrid w:val="0"/>
              <w:jc w:val="center"/>
              <w:rPr>
                <w:rFonts w:ascii="Times New Roman" w:hAnsi="Times New Roman"/>
                <w:b/>
                <w:bCs/>
                <w:sz w:val="18"/>
                <w:szCs w:val="18"/>
              </w:rPr>
            </w:pPr>
            <w:r>
              <w:rPr>
                <w:rFonts w:ascii="Times New Roman" w:hAnsi="Times New Roman"/>
                <w:b/>
                <w:bCs/>
                <w:sz w:val="18"/>
                <w:szCs w:val="18"/>
              </w:rPr>
              <w:t>有组织排放限值（mg/m3）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restart"/>
            <w:vAlign w:val="center"/>
          </w:tcPr>
          <w:p>
            <w:pPr>
              <w:snapToGrid w:val="0"/>
              <w:jc w:val="center"/>
              <w:rPr>
                <w:rFonts w:ascii="Times New Roman" w:hAnsi="Times New Roman"/>
                <w:sz w:val="18"/>
                <w:szCs w:val="18"/>
              </w:rPr>
            </w:pPr>
            <w:r>
              <w:rPr>
                <w:rFonts w:ascii="Times New Roman" w:hAnsi="Times New Roman"/>
                <w:color w:val="000000"/>
                <w:kern w:val="0"/>
                <w:sz w:val="18"/>
                <w:szCs w:val="18"/>
              </w:rPr>
              <w:t>大气综合标准</w:t>
            </w:r>
          </w:p>
        </w:tc>
        <w:tc>
          <w:tcPr>
            <w:tcW w:w="600"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国家</w:t>
            </w:r>
          </w:p>
        </w:tc>
        <w:tc>
          <w:tcPr>
            <w:tcW w:w="3275"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大气污染物综合排放标准</w:t>
            </w:r>
          </w:p>
        </w:tc>
        <w:tc>
          <w:tcPr>
            <w:tcW w:w="1739"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GB  16297-1996</w:t>
            </w: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现有</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Merge w:val="continue"/>
            <w:noWrap/>
            <w:vAlign w:val="center"/>
          </w:tcPr>
          <w:p>
            <w:pPr>
              <w:snapToGrid w:val="0"/>
              <w:jc w:val="center"/>
              <w:rPr>
                <w:rFonts w:ascii="Times New Roman" w:hAnsi="Times New Roman"/>
                <w:sz w:val="18"/>
                <w:szCs w:val="18"/>
              </w:rPr>
            </w:pPr>
          </w:p>
        </w:tc>
        <w:tc>
          <w:tcPr>
            <w:tcW w:w="3275" w:type="dxa"/>
            <w:vMerge w:val="continue"/>
            <w:noWrap/>
            <w:vAlign w:val="center"/>
          </w:tcPr>
          <w:p>
            <w:pPr>
              <w:snapToGrid w:val="0"/>
              <w:jc w:val="center"/>
              <w:rPr>
                <w:rFonts w:ascii="Times New Roman" w:hAnsi="Times New Roman"/>
                <w:sz w:val="18"/>
                <w:szCs w:val="18"/>
              </w:rPr>
            </w:pPr>
          </w:p>
        </w:tc>
        <w:tc>
          <w:tcPr>
            <w:tcW w:w="1739" w:type="dxa"/>
            <w:vMerge w:val="continue"/>
            <w:noWrap/>
            <w:vAlign w:val="center"/>
          </w:tcPr>
          <w:p>
            <w:pPr>
              <w:snapToGrid w:val="0"/>
              <w:jc w:val="center"/>
              <w:rPr>
                <w:rFonts w:ascii="Times New Roman" w:hAnsi="Times New Roman"/>
                <w:sz w:val="18"/>
                <w:szCs w:val="18"/>
              </w:rPr>
            </w:pP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新建</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广东</w:t>
            </w:r>
          </w:p>
        </w:tc>
        <w:tc>
          <w:tcPr>
            <w:tcW w:w="3275"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大气污染物排放限值</w:t>
            </w:r>
          </w:p>
        </w:tc>
        <w:tc>
          <w:tcPr>
            <w:tcW w:w="1739"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DB 44/ 27—2001</w:t>
            </w: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第I时段</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Merge w:val="continue"/>
            <w:noWrap/>
            <w:vAlign w:val="center"/>
          </w:tcPr>
          <w:p>
            <w:pPr>
              <w:snapToGrid w:val="0"/>
              <w:jc w:val="center"/>
              <w:rPr>
                <w:rFonts w:ascii="Times New Roman" w:hAnsi="Times New Roman"/>
                <w:sz w:val="18"/>
                <w:szCs w:val="18"/>
              </w:rPr>
            </w:pPr>
          </w:p>
        </w:tc>
        <w:tc>
          <w:tcPr>
            <w:tcW w:w="3275" w:type="dxa"/>
            <w:vMerge w:val="continue"/>
            <w:noWrap/>
            <w:vAlign w:val="center"/>
          </w:tcPr>
          <w:p>
            <w:pPr>
              <w:snapToGrid w:val="0"/>
              <w:jc w:val="center"/>
              <w:rPr>
                <w:rFonts w:ascii="Times New Roman" w:hAnsi="Times New Roman"/>
                <w:sz w:val="18"/>
                <w:szCs w:val="18"/>
              </w:rPr>
            </w:pPr>
          </w:p>
        </w:tc>
        <w:tc>
          <w:tcPr>
            <w:tcW w:w="1739" w:type="dxa"/>
            <w:vMerge w:val="continue"/>
            <w:noWrap/>
            <w:vAlign w:val="center"/>
          </w:tcPr>
          <w:p>
            <w:pPr>
              <w:snapToGrid w:val="0"/>
              <w:jc w:val="center"/>
              <w:rPr>
                <w:rFonts w:ascii="Times New Roman" w:hAnsi="Times New Roman"/>
                <w:sz w:val="18"/>
                <w:szCs w:val="18"/>
              </w:rPr>
            </w:pP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第II时段</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noWrap/>
            <w:vAlign w:val="center"/>
          </w:tcPr>
          <w:p>
            <w:pPr>
              <w:snapToGrid w:val="0"/>
              <w:jc w:val="center"/>
              <w:rPr>
                <w:rFonts w:ascii="Times New Roman" w:hAnsi="Times New Roman"/>
                <w:sz w:val="18"/>
                <w:szCs w:val="18"/>
              </w:rPr>
            </w:pPr>
            <w:r>
              <w:rPr>
                <w:rFonts w:ascii="Times New Roman" w:hAnsi="Times New Roman"/>
                <w:sz w:val="18"/>
                <w:szCs w:val="18"/>
              </w:rPr>
              <w:t>厦门</w:t>
            </w:r>
          </w:p>
        </w:tc>
        <w:tc>
          <w:tcPr>
            <w:tcW w:w="3275" w:type="dxa"/>
            <w:noWrap/>
            <w:vAlign w:val="center"/>
          </w:tcPr>
          <w:p>
            <w:pPr>
              <w:snapToGrid w:val="0"/>
              <w:jc w:val="center"/>
              <w:rPr>
                <w:rFonts w:ascii="Times New Roman" w:hAnsi="Times New Roman"/>
                <w:sz w:val="18"/>
                <w:szCs w:val="18"/>
              </w:rPr>
            </w:pPr>
            <w:r>
              <w:rPr>
                <w:rFonts w:ascii="Times New Roman" w:hAnsi="Times New Roman"/>
                <w:sz w:val="18"/>
                <w:szCs w:val="18"/>
              </w:rPr>
              <w:t>厦门市大气污染物排放标准</w:t>
            </w:r>
          </w:p>
        </w:tc>
        <w:tc>
          <w:tcPr>
            <w:tcW w:w="1739" w:type="dxa"/>
            <w:noWrap/>
            <w:vAlign w:val="center"/>
          </w:tcPr>
          <w:p>
            <w:pPr>
              <w:snapToGrid w:val="0"/>
              <w:jc w:val="center"/>
              <w:rPr>
                <w:rFonts w:ascii="Times New Roman" w:hAnsi="Times New Roman"/>
                <w:sz w:val="18"/>
                <w:szCs w:val="18"/>
              </w:rPr>
            </w:pPr>
            <w:r>
              <w:rPr>
                <w:rFonts w:ascii="Times New Roman" w:hAnsi="Times New Roman"/>
                <w:sz w:val="18"/>
                <w:szCs w:val="18"/>
              </w:rPr>
              <w:t>DB 35/323-2011</w:t>
            </w:r>
          </w:p>
        </w:tc>
        <w:tc>
          <w:tcPr>
            <w:tcW w:w="1169" w:type="dxa"/>
            <w:noWrap/>
            <w:vAlign w:val="center"/>
          </w:tcPr>
          <w:p>
            <w:pPr>
              <w:snapToGrid w:val="0"/>
              <w:jc w:val="center"/>
              <w:rPr>
                <w:rFonts w:ascii="Times New Roman" w:hAnsi="Times New Roman"/>
                <w:sz w:val="18"/>
                <w:szCs w:val="18"/>
              </w:rPr>
            </w:pPr>
            <w:r>
              <w:rPr>
                <w:rFonts w:hint="eastAsia" w:ascii="Times New Roman" w:hAnsi="Times New Roman"/>
                <w:sz w:val="18"/>
                <w:szCs w:val="18"/>
              </w:rPr>
              <w:t>/</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noWrap/>
            <w:vAlign w:val="center"/>
          </w:tcPr>
          <w:p>
            <w:pPr>
              <w:snapToGrid w:val="0"/>
              <w:jc w:val="center"/>
              <w:rPr>
                <w:rFonts w:ascii="Times New Roman" w:hAnsi="Times New Roman"/>
                <w:sz w:val="18"/>
                <w:szCs w:val="18"/>
              </w:rPr>
            </w:pPr>
            <w:r>
              <w:rPr>
                <w:rFonts w:ascii="Times New Roman" w:hAnsi="Times New Roman"/>
                <w:sz w:val="18"/>
                <w:szCs w:val="18"/>
              </w:rPr>
              <w:t>上海</w:t>
            </w:r>
          </w:p>
        </w:tc>
        <w:tc>
          <w:tcPr>
            <w:tcW w:w="3275" w:type="dxa"/>
            <w:noWrap/>
            <w:vAlign w:val="center"/>
          </w:tcPr>
          <w:p>
            <w:pPr>
              <w:snapToGrid w:val="0"/>
              <w:jc w:val="center"/>
              <w:rPr>
                <w:rFonts w:ascii="Times New Roman" w:hAnsi="Times New Roman"/>
                <w:sz w:val="18"/>
                <w:szCs w:val="18"/>
              </w:rPr>
            </w:pPr>
            <w:r>
              <w:rPr>
                <w:rFonts w:ascii="Times New Roman" w:hAnsi="Times New Roman"/>
                <w:sz w:val="18"/>
                <w:szCs w:val="18"/>
              </w:rPr>
              <w:t>大气污染物综合排放标准</w:t>
            </w:r>
          </w:p>
        </w:tc>
        <w:tc>
          <w:tcPr>
            <w:tcW w:w="1739" w:type="dxa"/>
            <w:noWrap/>
            <w:vAlign w:val="center"/>
          </w:tcPr>
          <w:p>
            <w:pPr>
              <w:snapToGrid w:val="0"/>
              <w:jc w:val="center"/>
              <w:rPr>
                <w:rFonts w:ascii="Times New Roman" w:hAnsi="Times New Roman"/>
                <w:sz w:val="18"/>
                <w:szCs w:val="18"/>
              </w:rPr>
            </w:pPr>
            <w:r>
              <w:rPr>
                <w:rFonts w:ascii="Times New Roman" w:hAnsi="Times New Roman"/>
                <w:sz w:val="18"/>
                <w:szCs w:val="18"/>
              </w:rPr>
              <w:t>DB 31/933—2015</w:t>
            </w:r>
          </w:p>
        </w:tc>
        <w:tc>
          <w:tcPr>
            <w:tcW w:w="1169" w:type="dxa"/>
            <w:noWrap/>
          </w:tcPr>
          <w:p>
            <w:pPr>
              <w:snapToGrid w:val="0"/>
              <w:jc w:val="center"/>
              <w:rPr>
                <w:rFonts w:ascii="Times New Roman" w:hAnsi="Times New Roman"/>
                <w:sz w:val="18"/>
                <w:szCs w:val="18"/>
              </w:rPr>
            </w:pPr>
            <w:r>
              <w:rPr>
                <w:rFonts w:hint="eastAsia" w:ascii="Times New Roman" w:hAnsi="Times New Roman"/>
                <w:sz w:val="18"/>
                <w:szCs w:val="18"/>
              </w:rPr>
              <w:t>/</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noWrap/>
            <w:vAlign w:val="center"/>
          </w:tcPr>
          <w:p>
            <w:pPr>
              <w:snapToGrid w:val="0"/>
              <w:jc w:val="center"/>
              <w:rPr>
                <w:rFonts w:ascii="Times New Roman" w:hAnsi="Times New Roman"/>
                <w:sz w:val="18"/>
                <w:szCs w:val="18"/>
              </w:rPr>
            </w:pPr>
            <w:r>
              <w:rPr>
                <w:rFonts w:ascii="Times New Roman" w:hAnsi="Times New Roman"/>
                <w:sz w:val="18"/>
                <w:szCs w:val="18"/>
              </w:rPr>
              <w:t>重庆</w:t>
            </w:r>
          </w:p>
        </w:tc>
        <w:tc>
          <w:tcPr>
            <w:tcW w:w="3275" w:type="dxa"/>
            <w:noWrap/>
            <w:vAlign w:val="center"/>
          </w:tcPr>
          <w:p>
            <w:pPr>
              <w:snapToGrid w:val="0"/>
              <w:jc w:val="center"/>
              <w:rPr>
                <w:rFonts w:ascii="Times New Roman" w:hAnsi="Times New Roman"/>
                <w:sz w:val="18"/>
                <w:szCs w:val="18"/>
              </w:rPr>
            </w:pPr>
            <w:r>
              <w:rPr>
                <w:rFonts w:ascii="Times New Roman" w:hAnsi="Times New Roman"/>
                <w:sz w:val="18"/>
                <w:szCs w:val="18"/>
              </w:rPr>
              <w:t>大气污染物综合排放标准</w:t>
            </w:r>
          </w:p>
        </w:tc>
        <w:tc>
          <w:tcPr>
            <w:tcW w:w="1739" w:type="dxa"/>
            <w:noWrap/>
            <w:vAlign w:val="center"/>
          </w:tcPr>
          <w:p>
            <w:pPr>
              <w:snapToGrid w:val="0"/>
              <w:jc w:val="center"/>
              <w:rPr>
                <w:rFonts w:ascii="Times New Roman" w:hAnsi="Times New Roman"/>
                <w:sz w:val="18"/>
                <w:szCs w:val="18"/>
              </w:rPr>
            </w:pPr>
            <w:r>
              <w:rPr>
                <w:rFonts w:ascii="Times New Roman" w:hAnsi="Times New Roman"/>
                <w:sz w:val="18"/>
                <w:szCs w:val="18"/>
              </w:rPr>
              <w:t>DB 50/418－2016</w:t>
            </w:r>
          </w:p>
        </w:tc>
        <w:tc>
          <w:tcPr>
            <w:tcW w:w="1169" w:type="dxa"/>
            <w:noWrap/>
          </w:tcPr>
          <w:p>
            <w:pPr>
              <w:snapToGrid w:val="0"/>
              <w:jc w:val="center"/>
              <w:rPr>
                <w:rFonts w:ascii="Times New Roman" w:hAnsi="Times New Roman"/>
                <w:sz w:val="18"/>
                <w:szCs w:val="18"/>
              </w:rPr>
            </w:pPr>
            <w:r>
              <w:rPr>
                <w:rFonts w:hint="eastAsia" w:ascii="Times New Roman" w:hAnsi="Times New Roman"/>
                <w:sz w:val="18"/>
                <w:szCs w:val="18"/>
              </w:rPr>
              <w:t>/</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北京</w:t>
            </w:r>
          </w:p>
        </w:tc>
        <w:tc>
          <w:tcPr>
            <w:tcW w:w="3275"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大气污染物综合排放标准</w:t>
            </w:r>
          </w:p>
        </w:tc>
        <w:tc>
          <w:tcPr>
            <w:tcW w:w="1739"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DB 11-501-2017</w:t>
            </w: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第I时段</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Merge w:val="continue"/>
            <w:noWrap/>
            <w:vAlign w:val="center"/>
          </w:tcPr>
          <w:p>
            <w:pPr>
              <w:snapToGrid w:val="0"/>
              <w:jc w:val="center"/>
              <w:rPr>
                <w:rFonts w:ascii="Times New Roman" w:hAnsi="Times New Roman"/>
                <w:sz w:val="18"/>
                <w:szCs w:val="18"/>
              </w:rPr>
            </w:pPr>
          </w:p>
        </w:tc>
        <w:tc>
          <w:tcPr>
            <w:tcW w:w="3275" w:type="dxa"/>
            <w:vMerge w:val="continue"/>
            <w:noWrap/>
            <w:vAlign w:val="center"/>
          </w:tcPr>
          <w:p>
            <w:pPr>
              <w:snapToGrid w:val="0"/>
              <w:jc w:val="center"/>
              <w:rPr>
                <w:rFonts w:ascii="Times New Roman" w:hAnsi="Times New Roman"/>
                <w:sz w:val="18"/>
                <w:szCs w:val="18"/>
              </w:rPr>
            </w:pPr>
          </w:p>
        </w:tc>
        <w:tc>
          <w:tcPr>
            <w:tcW w:w="1739" w:type="dxa"/>
            <w:vMerge w:val="continue"/>
            <w:noWrap/>
            <w:vAlign w:val="center"/>
          </w:tcPr>
          <w:p>
            <w:pPr>
              <w:snapToGrid w:val="0"/>
              <w:jc w:val="center"/>
              <w:rPr>
                <w:rFonts w:ascii="Times New Roman" w:hAnsi="Times New Roman"/>
                <w:sz w:val="18"/>
                <w:szCs w:val="18"/>
              </w:rPr>
            </w:pP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第II时段</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noWrap/>
            <w:vAlign w:val="center"/>
          </w:tcPr>
          <w:p>
            <w:pPr>
              <w:snapToGrid w:val="0"/>
              <w:jc w:val="center"/>
              <w:rPr>
                <w:rFonts w:ascii="Times New Roman" w:hAnsi="Times New Roman"/>
                <w:sz w:val="18"/>
                <w:szCs w:val="18"/>
              </w:rPr>
            </w:pPr>
            <w:r>
              <w:rPr>
                <w:rFonts w:hint="eastAsia" w:ascii="Times New Roman" w:hAnsi="Times New Roman"/>
                <w:sz w:val="18"/>
                <w:szCs w:val="18"/>
              </w:rPr>
              <w:t>江苏</w:t>
            </w:r>
          </w:p>
        </w:tc>
        <w:tc>
          <w:tcPr>
            <w:tcW w:w="3275" w:type="dxa"/>
            <w:noWrap/>
            <w:vAlign w:val="center"/>
          </w:tcPr>
          <w:p>
            <w:pPr>
              <w:snapToGrid w:val="0"/>
              <w:jc w:val="center"/>
              <w:rPr>
                <w:rFonts w:ascii="Times New Roman" w:hAnsi="Times New Roman"/>
                <w:sz w:val="18"/>
                <w:szCs w:val="18"/>
              </w:rPr>
            </w:pPr>
            <w:r>
              <w:rPr>
                <w:rFonts w:ascii="Times New Roman" w:hAnsi="Times New Roman"/>
                <w:sz w:val="18"/>
                <w:szCs w:val="18"/>
              </w:rPr>
              <w:t>大气污染物综合排放标准</w:t>
            </w:r>
          </w:p>
        </w:tc>
        <w:tc>
          <w:tcPr>
            <w:tcW w:w="1739" w:type="dxa"/>
            <w:noWrap/>
            <w:vAlign w:val="center"/>
          </w:tcPr>
          <w:p>
            <w:pPr>
              <w:snapToGrid w:val="0"/>
              <w:jc w:val="center"/>
              <w:rPr>
                <w:rFonts w:ascii="Times New Roman" w:hAnsi="Times New Roman"/>
                <w:sz w:val="18"/>
                <w:szCs w:val="18"/>
              </w:rPr>
            </w:pPr>
            <w:r>
              <w:rPr>
                <w:rFonts w:ascii="Times New Roman" w:hAnsi="Times New Roman"/>
                <w:sz w:val="18"/>
                <w:szCs w:val="18"/>
              </w:rPr>
              <w:t>DB 32</w:t>
            </w:r>
            <w:r>
              <w:rPr>
                <w:rFonts w:hint="eastAsia" w:ascii="Times New Roman" w:hAnsi="Times New Roman"/>
                <w:sz w:val="18"/>
                <w:szCs w:val="18"/>
              </w:rPr>
              <w:t>/</w:t>
            </w:r>
            <w:r>
              <w:rPr>
                <w:rFonts w:ascii="Times New Roman" w:hAnsi="Times New Roman"/>
                <w:sz w:val="18"/>
                <w:szCs w:val="18"/>
              </w:rPr>
              <w:t>4041-2021</w:t>
            </w:r>
          </w:p>
        </w:tc>
        <w:tc>
          <w:tcPr>
            <w:tcW w:w="1169" w:type="dxa"/>
            <w:noWrap/>
            <w:vAlign w:val="center"/>
          </w:tcPr>
          <w:p>
            <w:pPr>
              <w:snapToGrid w:val="0"/>
              <w:jc w:val="center"/>
              <w:rPr>
                <w:rFonts w:ascii="Times New Roman" w:hAnsi="Times New Roman"/>
                <w:sz w:val="18"/>
                <w:szCs w:val="18"/>
              </w:rPr>
            </w:pPr>
            <w:r>
              <w:rPr>
                <w:rFonts w:hint="eastAsia" w:ascii="Times New Roman" w:hAnsi="Times New Roman"/>
                <w:sz w:val="18"/>
                <w:szCs w:val="18"/>
              </w:rPr>
              <w:t>/</w:t>
            </w:r>
          </w:p>
        </w:tc>
        <w:tc>
          <w:tcPr>
            <w:tcW w:w="0" w:type="auto"/>
            <w:noWrap/>
            <w:vAlign w:val="center"/>
          </w:tcPr>
          <w:p>
            <w:pPr>
              <w:snapToGrid w:val="0"/>
              <w:jc w:val="center"/>
              <w:rPr>
                <w:rFonts w:ascii="Times New Roman" w:hAnsi="Times New Roman"/>
                <w:sz w:val="18"/>
                <w:szCs w:val="18"/>
              </w:rPr>
            </w:pPr>
            <w:r>
              <w:rPr>
                <w:rFonts w:hint="eastAsia"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VOCs综合标准</w:t>
            </w:r>
          </w:p>
        </w:tc>
        <w:tc>
          <w:tcPr>
            <w:tcW w:w="600"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天津</w:t>
            </w:r>
          </w:p>
        </w:tc>
        <w:tc>
          <w:tcPr>
            <w:tcW w:w="3275"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工业企业挥发性有机物排放控制标准</w:t>
            </w:r>
          </w:p>
        </w:tc>
        <w:tc>
          <w:tcPr>
            <w:tcW w:w="1739"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DB 12/ 524—2014</w:t>
            </w: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第I时段</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Merge w:val="continue"/>
            <w:noWrap/>
            <w:vAlign w:val="center"/>
          </w:tcPr>
          <w:p>
            <w:pPr>
              <w:snapToGrid w:val="0"/>
              <w:jc w:val="center"/>
              <w:rPr>
                <w:rFonts w:ascii="Times New Roman" w:hAnsi="Times New Roman"/>
                <w:sz w:val="18"/>
                <w:szCs w:val="18"/>
              </w:rPr>
            </w:pPr>
          </w:p>
        </w:tc>
        <w:tc>
          <w:tcPr>
            <w:tcW w:w="3275" w:type="dxa"/>
            <w:vMerge w:val="continue"/>
            <w:noWrap/>
            <w:vAlign w:val="center"/>
          </w:tcPr>
          <w:p>
            <w:pPr>
              <w:snapToGrid w:val="0"/>
              <w:jc w:val="center"/>
              <w:rPr>
                <w:rFonts w:ascii="Times New Roman" w:hAnsi="Times New Roman"/>
                <w:sz w:val="18"/>
                <w:szCs w:val="18"/>
              </w:rPr>
            </w:pPr>
          </w:p>
        </w:tc>
        <w:tc>
          <w:tcPr>
            <w:tcW w:w="1739" w:type="dxa"/>
            <w:vMerge w:val="continue"/>
            <w:noWrap/>
            <w:vAlign w:val="center"/>
          </w:tcPr>
          <w:p>
            <w:pPr>
              <w:snapToGrid w:val="0"/>
              <w:jc w:val="center"/>
              <w:rPr>
                <w:rFonts w:ascii="Times New Roman" w:hAnsi="Times New Roman"/>
                <w:sz w:val="18"/>
                <w:szCs w:val="18"/>
              </w:rPr>
            </w:pP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第II时段</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noWrap/>
            <w:vAlign w:val="center"/>
          </w:tcPr>
          <w:p>
            <w:pPr>
              <w:snapToGrid w:val="0"/>
              <w:jc w:val="center"/>
              <w:rPr>
                <w:rFonts w:ascii="Times New Roman" w:hAnsi="Times New Roman"/>
                <w:sz w:val="18"/>
                <w:szCs w:val="18"/>
              </w:rPr>
            </w:pPr>
            <w:r>
              <w:rPr>
                <w:rFonts w:ascii="Times New Roman" w:hAnsi="Times New Roman"/>
                <w:sz w:val="18"/>
                <w:szCs w:val="18"/>
              </w:rPr>
              <w:t>河北</w:t>
            </w:r>
          </w:p>
        </w:tc>
        <w:tc>
          <w:tcPr>
            <w:tcW w:w="3275" w:type="dxa"/>
            <w:noWrap/>
            <w:vAlign w:val="center"/>
          </w:tcPr>
          <w:p>
            <w:pPr>
              <w:snapToGrid w:val="0"/>
              <w:jc w:val="center"/>
              <w:rPr>
                <w:rFonts w:ascii="Times New Roman" w:hAnsi="Times New Roman"/>
                <w:sz w:val="18"/>
                <w:szCs w:val="18"/>
              </w:rPr>
            </w:pPr>
            <w:r>
              <w:rPr>
                <w:rFonts w:ascii="Times New Roman" w:hAnsi="Times New Roman"/>
                <w:sz w:val="18"/>
                <w:szCs w:val="18"/>
              </w:rPr>
              <w:t>工业企业挥发性有机物排放控制标准</w:t>
            </w:r>
          </w:p>
        </w:tc>
        <w:tc>
          <w:tcPr>
            <w:tcW w:w="1739" w:type="dxa"/>
            <w:noWrap/>
            <w:vAlign w:val="center"/>
          </w:tcPr>
          <w:p>
            <w:pPr>
              <w:snapToGrid w:val="0"/>
              <w:jc w:val="center"/>
              <w:rPr>
                <w:rFonts w:ascii="Times New Roman" w:hAnsi="Times New Roman"/>
                <w:sz w:val="18"/>
                <w:szCs w:val="18"/>
              </w:rPr>
            </w:pPr>
            <w:r>
              <w:rPr>
                <w:rFonts w:ascii="Times New Roman" w:hAnsi="Times New Roman"/>
                <w:sz w:val="18"/>
                <w:szCs w:val="18"/>
              </w:rPr>
              <w:t>DB 13/ 2322—2016</w:t>
            </w:r>
          </w:p>
        </w:tc>
        <w:tc>
          <w:tcPr>
            <w:tcW w:w="1169" w:type="dxa"/>
            <w:noWrap/>
          </w:tcPr>
          <w:p>
            <w:pPr>
              <w:snapToGrid w:val="0"/>
              <w:jc w:val="center"/>
              <w:rPr>
                <w:rFonts w:ascii="Times New Roman" w:hAnsi="Times New Roman"/>
                <w:sz w:val="18"/>
                <w:szCs w:val="18"/>
              </w:rPr>
            </w:pPr>
            <w:r>
              <w:rPr>
                <w:rFonts w:hint="eastAsia" w:ascii="Times New Roman" w:hAnsi="Times New Roman"/>
                <w:sz w:val="18"/>
                <w:szCs w:val="18"/>
              </w:rPr>
              <w:t>/</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noWrap/>
            <w:vAlign w:val="center"/>
          </w:tcPr>
          <w:p>
            <w:pPr>
              <w:snapToGrid w:val="0"/>
              <w:jc w:val="center"/>
              <w:rPr>
                <w:rFonts w:ascii="Times New Roman" w:hAnsi="Times New Roman"/>
                <w:sz w:val="18"/>
                <w:szCs w:val="18"/>
              </w:rPr>
            </w:pPr>
            <w:r>
              <w:rPr>
                <w:rFonts w:ascii="Times New Roman" w:hAnsi="Times New Roman"/>
                <w:sz w:val="18"/>
                <w:szCs w:val="18"/>
              </w:rPr>
              <w:t>陕西</w:t>
            </w:r>
          </w:p>
        </w:tc>
        <w:tc>
          <w:tcPr>
            <w:tcW w:w="3275" w:type="dxa"/>
            <w:noWrap/>
            <w:vAlign w:val="center"/>
          </w:tcPr>
          <w:p>
            <w:pPr>
              <w:snapToGrid w:val="0"/>
              <w:jc w:val="center"/>
              <w:rPr>
                <w:rFonts w:ascii="Times New Roman" w:hAnsi="Times New Roman"/>
                <w:sz w:val="18"/>
                <w:szCs w:val="18"/>
              </w:rPr>
            </w:pPr>
            <w:r>
              <w:rPr>
                <w:rFonts w:ascii="Times New Roman" w:hAnsi="Times New Roman"/>
                <w:sz w:val="18"/>
                <w:szCs w:val="18"/>
              </w:rPr>
              <w:t>陕西省挥发性有机物排放控制标准</w:t>
            </w:r>
          </w:p>
        </w:tc>
        <w:tc>
          <w:tcPr>
            <w:tcW w:w="1739" w:type="dxa"/>
            <w:noWrap/>
            <w:vAlign w:val="center"/>
          </w:tcPr>
          <w:p>
            <w:pPr>
              <w:snapToGrid w:val="0"/>
              <w:jc w:val="center"/>
              <w:rPr>
                <w:rFonts w:ascii="Times New Roman" w:hAnsi="Times New Roman"/>
                <w:sz w:val="18"/>
                <w:szCs w:val="18"/>
              </w:rPr>
            </w:pPr>
            <w:r>
              <w:rPr>
                <w:rFonts w:ascii="Times New Roman" w:hAnsi="Times New Roman"/>
                <w:sz w:val="18"/>
                <w:szCs w:val="18"/>
              </w:rPr>
              <w:t>DB 61/T 1061-2017</w:t>
            </w:r>
          </w:p>
        </w:tc>
        <w:tc>
          <w:tcPr>
            <w:tcW w:w="1169" w:type="dxa"/>
            <w:noWrap/>
          </w:tcPr>
          <w:p>
            <w:pPr>
              <w:snapToGrid w:val="0"/>
              <w:jc w:val="center"/>
              <w:rPr>
                <w:rFonts w:ascii="Times New Roman" w:hAnsi="Times New Roman"/>
                <w:sz w:val="18"/>
                <w:szCs w:val="18"/>
              </w:rPr>
            </w:pPr>
            <w:r>
              <w:rPr>
                <w:rFonts w:hint="eastAsia" w:ascii="Times New Roman" w:hAnsi="Times New Roman"/>
                <w:sz w:val="18"/>
                <w:szCs w:val="18"/>
              </w:rPr>
              <w:t>/</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四川</w:t>
            </w:r>
          </w:p>
        </w:tc>
        <w:tc>
          <w:tcPr>
            <w:tcW w:w="3275"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四川省固定污染源大气挥发性有机物排放标准</w:t>
            </w:r>
          </w:p>
        </w:tc>
        <w:tc>
          <w:tcPr>
            <w:tcW w:w="1739"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DB 51/ 2377—2017</w:t>
            </w: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第I时段</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Merge w:val="continue"/>
            <w:noWrap/>
            <w:vAlign w:val="center"/>
          </w:tcPr>
          <w:p>
            <w:pPr>
              <w:snapToGrid w:val="0"/>
              <w:jc w:val="center"/>
              <w:rPr>
                <w:rFonts w:ascii="Times New Roman" w:hAnsi="Times New Roman"/>
                <w:sz w:val="18"/>
                <w:szCs w:val="18"/>
              </w:rPr>
            </w:pPr>
          </w:p>
        </w:tc>
        <w:tc>
          <w:tcPr>
            <w:tcW w:w="3275" w:type="dxa"/>
            <w:vMerge w:val="continue"/>
            <w:noWrap/>
            <w:vAlign w:val="center"/>
          </w:tcPr>
          <w:p>
            <w:pPr>
              <w:snapToGrid w:val="0"/>
              <w:jc w:val="center"/>
              <w:rPr>
                <w:rFonts w:ascii="Times New Roman" w:hAnsi="Times New Roman"/>
                <w:sz w:val="18"/>
                <w:szCs w:val="18"/>
              </w:rPr>
            </w:pPr>
          </w:p>
        </w:tc>
        <w:tc>
          <w:tcPr>
            <w:tcW w:w="1739" w:type="dxa"/>
            <w:vMerge w:val="continue"/>
            <w:noWrap/>
            <w:vAlign w:val="center"/>
          </w:tcPr>
          <w:p>
            <w:pPr>
              <w:snapToGrid w:val="0"/>
              <w:jc w:val="center"/>
              <w:rPr>
                <w:rFonts w:ascii="Times New Roman" w:hAnsi="Times New Roman"/>
                <w:sz w:val="18"/>
                <w:szCs w:val="18"/>
              </w:rPr>
            </w:pP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第II时段</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noWrap/>
            <w:vAlign w:val="center"/>
          </w:tcPr>
          <w:p>
            <w:pPr>
              <w:snapToGrid w:val="0"/>
              <w:jc w:val="center"/>
              <w:rPr>
                <w:rFonts w:ascii="Times New Roman" w:hAnsi="Times New Roman"/>
                <w:sz w:val="18"/>
                <w:szCs w:val="18"/>
              </w:rPr>
            </w:pPr>
            <w:r>
              <w:rPr>
                <w:rFonts w:ascii="Times New Roman" w:hAnsi="Times New Roman"/>
                <w:sz w:val="18"/>
                <w:szCs w:val="18"/>
              </w:rPr>
              <w:t>福建</w:t>
            </w:r>
          </w:p>
        </w:tc>
        <w:tc>
          <w:tcPr>
            <w:tcW w:w="3275" w:type="dxa"/>
            <w:noWrap/>
            <w:vAlign w:val="center"/>
          </w:tcPr>
          <w:p>
            <w:pPr>
              <w:snapToGrid w:val="0"/>
              <w:jc w:val="center"/>
              <w:rPr>
                <w:rFonts w:ascii="Times New Roman" w:hAnsi="Times New Roman"/>
                <w:sz w:val="18"/>
                <w:szCs w:val="18"/>
              </w:rPr>
            </w:pPr>
            <w:r>
              <w:rPr>
                <w:rFonts w:ascii="Times New Roman" w:hAnsi="Times New Roman"/>
                <w:sz w:val="18"/>
                <w:szCs w:val="18"/>
              </w:rPr>
              <w:t>工业企业挥发性有机物排放标准</w:t>
            </w:r>
          </w:p>
        </w:tc>
        <w:tc>
          <w:tcPr>
            <w:tcW w:w="1739" w:type="dxa"/>
            <w:noWrap/>
            <w:vAlign w:val="center"/>
          </w:tcPr>
          <w:p>
            <w:pPr>
              <w:snapToGrid w:val="0"/>
              <w:jc w:val="center"/>
              <w:rPr>
                <w:rFonts w:ascii="Times New Roman" w:hAnsi="Times New Roman"/>
                <w:sz w:val="18"/>
                <w:szCs w:val="18"/>
              </w:rPr>
            </w:pPr>
            <w:r>
              <w:rPr>
                <w:rFonts w:ascii="Times New Roman" w:hAnsi="Times New Roman"/>
                <w:sz w:val="18"/>
                <w:szCs w:val="18"/>
              </w:rPr>
              <w:t>DB 35/1782—2018</w:t>
            </w:r>
          </w:p>
        </w:tc>
        <w:tc>
          <w:tcPr>
            <w:tcW w:w="1169" w:type="dxa"/>
            <w:noWrap/>
          </w:tcPr>
          <w:p>
            <w:pPr>
              <w:snapToGrid w:val="0"/>
              <w:jc w:val="center"/>
              <w:rPr>
                <w:rFonts w:ascii="Times New Roman" w:hAnsi="Times New Roman"/>
                <w:sz w:val="18"/>
                <w:szCs w:val="18"/>
              </w:rPr>
            </w:pPr>
            <w:r>
              <w:rPr>
                <w:rFonts w:hint="eastAsia" w:ascii="Times New Roman" w:hAnsi="Times New Roman"/>
                <w:sz w:val="18"/>
                <w:szCs w:val="18"/>
              </w:rPr>
              <w:t>/</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工业涂装工序</w:t>
            </w:r>
          </w:p>
        </w:tc>
        <w:tc>
          <w:tcPr>
            <w:tcW w:w="600" w:type="dxa"/>
            <w:noWrap/>
            <w:vAlign w:val="center"/>
          </w:tcPr>
          <w:p>
            <w:pPr>
              <w:snapToGrid w:val="0"/>
              <w:jc w:val="center"/>
              <w:rPr>
                <w:rFonts w:ascii="Times New Roman" w:hAnsi="Times New Roman"/>
                <w:sz w:val="18"/>
                <w:szCs w:val="18"/>
              </w:rPr>
            </w:pPr>
            <w:r>
              <w:rPr>
                <w:rFonts w:ascii="Times New Roman" w:hAnsi="Times New Roman"/>
                <w:sz w:val="18"/>
                <w:szCs w:val="18"/>
              </w:rPr>
              <w:t>北京</w:t>
            </w:r>
          </w:p>
        </w:tc>
        <w:tc>
          <w:tcPr>
            <w:tcW w:w="3275" w:type="dxa"/>
            <w:noWrap/>
            <w:vAlign w:val="center"/>
          </w:tcPr>
          <w:p>
            <w:pPr>
              <w:snapToGrid w:val="0"/>
              <w:jc w:val="center"/>
              <w:rPr>
                <w:rFonts w:ascii="Times New Roman" w:hAnsi="Times New Roman"/>
                <w:sz w:val="18"/>
                <w:szCs w:val="18"/>
              </w:rPr>
            </w:pPr>
            <w:r>
              <w:rPr>
                <w:rFonts w:ascii="Times New Roman" w:hAnsi="Times New Roman"/>
                <w:sz w:val="18"/>
                <w:szCs w:val="18"/>
              </w:rPr>
              <w:t>工业涂装工序挥发性有机物排放标准</w:t>
            </w:r>
          </w:p>
        </w:tc>
        <w:tc>
          <w:tcPr>
            <w:tcW w:w="1739" w:type="dxa"/>
            <w:noWrap/>
            <w:vAlign w:val="center"/>
          </w:tcPr>
          <w:p>
            <w:pPr>
              <w:snapToGrid w:val="0"/>
              <w:jc w:val="center"/>
              <w:rPr>
                <w:rFonts w:ascii="Times New Roman" w:hAnsi="Times New Roman"/>
                <w:sz w:val="18"/>
                <w:szCs w:val="18"/>
              </w:rPr>
            </w:pPr>
            <w:r>
              <w:rPr>
                <w:rFonts w:ascii="Times New Roman" w:hAnsi="Times New Roman"/>
                <w:sz w:val="18"/>
                <w:szCs w:val="18"/>
              </w:rPr>
              <w:t>DB 11/ 1226-2015</w:t>
            </w:r>
          </w:p>
        </w:tc>
        <w:tc>
          <w:tcPr>
            <w:tcW w:w="1169" w:type="dxa"/>
            <w:noWrap/>
          </w:tcPr>
          <w:p>
            <w:pPr>
              <w:snapToGrid w:val="0"/>
              <w:jc w:val="center"/>
              <w:rPr>
                <w:rFonts w:ascii="Times New Roman" w:hAnsi="Times New Roman"/>
                <w:sz w:val="18"/>
                <w:szCs w:val="18"/>
              </w:rPr>
            </w:pPr>
            <w:r>
              <w:rPr>
                <w:rFonts w:hint="eastAsia" w:ascii="Times New Roman" w:hAnsi="Times New Roman"/>
                <w:sz w:val="18"/>
                <w:szCs w:val="18"/>
              </w:rPr>
              <w:t>/</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天津</w:t>
            </w:r>
          </w:p>
        </w:tc>
        <w:tc>
          <w:tcPr>
            <w:tcW w:w="3275"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工业企业挥发性有机物排放控制标准</w:t>
            </w:r>
          </w:p>
        </w:tc>
        <w:tc>
          <w:tcPr>
            <w:tcW w:w="1739"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DB 12/ 524—2014</w:t>
            </w: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第I时段</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Merge w:val="continue"/>
            <w:noWrap/>
            <w:vAlign w:val="center"/>
          </w:tcPr>
          <w:p>
            <w:pPr>
              <w:snapToGrid w:val="0"/>
              <w:jc w:val="center"/>
              <w:rPr>
                <w:rFonts w:ascii="Times New Roman" w:hAnsi="Times New Roman"/>
                <w:sz w:val="18"/>
                <w:szCs w:val="18"/>
              </w:rPr>
            </w:pPr>
          </w:p>
        </w:tc>
        <w:tc>
          <w:tcPr>
            <w:tcW w:w="3275" w:type="dxa"/>
            <w:vMerge w:val="continue"/>
            <w:noWrap/>
            <w:vAlign w:val="center"/>
          </w:tcPr>
          <w:p>
            <w:pPr>
              <w:snapToGrid w:val="0"/>
              <w:jc w:val="center"/>
              <w:rPr>
                <w:rFonts w:ascii="Times New Roman" w:hAnsi="Times New Roman"/>
                <w:sz w:val="18"/>
                <w:szCs w:val="18"/>
              </w:rPr>
            </w:pPr>
          </w:p>
        </w:tc>
        <w:tc>
          <w:tcPr>
            <w:tcW w:w="1739" w:type="dxa"/>
            <w:vMerge w:val="continue"/>
            <w:noWrap/>
            <w:vAlign w:val="center"/>
          </w:tcPr>
          <w:p>
            <w:pPr>
              <w:snapToGrid w:val="0"/>
              <w:jc w:val="center"/>
              <w:rPr>
                <w:rFonts w:ascii="Times New Roman" w:hAnsi="Times New Roman"/>
                <w:sz w:val="18"/>
                <w:szCs w:val="18"/>
              </w:rPr>
            </w:pP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第II时段</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noWrap/>
            <w:vAlign w:val="center"/>
          </w:tcPr>
          <w:p>
            <w:pPr>
              <w:snapToGrid w:val="0"/>
              <w:jc w:val="center"/>
              <w:rPr>
                <w:rFonts w:ascii="Times New Roman" w:hAnsi="Times New Roman"/>
                <w:sz w:val="18"/>
                <w:szCs w:val="18"/>
              </w:rPr>
            </w:pPr>
            <w:r>
              <w:rPr>
                <w:rFonts w:ascii="Times New Roman" w:hAnsi="Times New Roman"/>
                <w:sz w:val="18"/>
                <w:szCs w:val="18"/>
              </w:rPr>
              <w:t>河北</w:t>
            </w:r>
          </w:p>
        </w:tc>
        <w:tc>
          <w:tcPr>
            <w:tcW w:w="3275" w:type="dxa"/>
            <w:noWrap/>
            <w:vAlign w:val="center"/>
          </w:tcPr>
          <w:p>
            <w:pPr>
              <w:snapToGrid w:val="0"/>
              <w:jc w:val="center"/>
              <w:rPr>
                <w:rFonts w:ascii="Times New Roman" w:hAnsi="Times New Roman"/>
                <w:sz w:val="18"/>
                <w:szCs w:val="18"/>
              </w:rPr>
            </w:pPr>
            <w:r>
              <w:rPr>
                <w:rFonts w:ascii="Times New Roman" w:hAnsi="Times New Roman"/>
                <w:sz w:val="18"/>
                <w:szCs w:val="18"/>
              </w:rPr>
              <w:t>工业企业挥发性有机物排放控制标准</w:t>
            </w:r>
          </w:p>
        </w:tc>
        <w:tc>
          <w:tcPr>
            <w:tcW w:w="1739" w:type="dxa"/>
            <w:noWrap/>
            <w:vAlign w:val="center"/>
          </w:tcPr>
          <w:p>
            <w:pPr>
              <w:snapToGrid w:val="0"/>
              <w:jc w:val="center"/>
              <w:rPr>
                <w:rFonts w:ascii="Times New Roman" w:hAnsi="Times New Roman"/>
                <w:sz w:val="18"/>
                <w:szCs w:val="18"/>
              </w:rPr>
            </w:pPr>
            <w:r>
              <w:rPr>
                <w:rFonts w:ascii="Times New Roman" w:hAnsi="Times New Roman"/>
                <w:sz w:val="18"/>
                <w:szCs w:val="18"/>
              </w:rPr>
              <w:t>DB 13/ 2322—2016</w:t>
            </w:r>
          </w:p>
        </w:tc>
        <w:tc>
          <w:tcPr>
            <w:tcW w:w="1169" w:type="dxa"/>
            <w:noWrap/>
            <w:vAlign w:val="center"/>
          </w:tcPr>
          <w:p>
            <w:pPr>
              <w:snapToGrid w:val="0"/>
              <w:jc w:val="center"/>
              <w:rPr>
                <w:rFonts w:ascii="Times New Roman" w:hAnsi="Times New Roman"/>
                <w:sz w:val="18"/>
                <w:szCs w:val="18"/>
              </w:rPr>
            </w:pPr>
            <w:r>
              <w:rPr>
                <w:rFonts w:ascii="Times New Roman" w:hAnsi="Times New Roman"/>
                <w:color w:val="000000"/>
                <w:kern w:val="0"/>
                <w:sz w:val="18"/>
                <w:szCs w:val="18"/>
              </w:rPr>
              <w:t>/</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noWrap/>
            <w:vAlign w:val="center"/>
          </w:tcPr>
          <w:p>
            <w:pPr>
              <w:snapToGrid w:val="0"/>
              <w:jc w:val="center"/>
              <w:rPr>
                <w:rFonts w:ascii="Times New Roman" w:hAnsi="Times New Roman"/>
                <w:sz w:val="18"/>
                <w:szCs w:val="18"/>
              </w:rPr>
            </w:pPr>
            <w:r>
              <w:rPr>
                <w:rFonts w:ascii="Times New Roman" w:hAnsi="Times New Roman"/>
                <w:sz w:val="18"/>
                <w:szCs w:val="18"/>
              </w:rPr>
              <w:t>陕西</w:t>
            </w:r>
          </w:p>
        </w:tc>
        <w:tc>
          <w:tcPr>
            <w:tcW w:w="3275" w:type="dxa"/>
            <w:noWrap/>
            <w:vAlign w:val="center"/>
          </w:tcPr>
          <w:p>
            <w:pPr>
              <w:snapToGrid w:val="0"/>
              <w:jc w:val="center"/>
              <w:rPr>
                <w:rFonts w:ascii="Times New Roman" w:hAnsi="Times New Roman"/>
                <w:sz w:val="18"/>
                <w:szCs w:val="18"/>
              </w:rPr>
            </w:pPr>
            <w:r>
              <w:rPr>
                <w:rFonts w:ascii="Times New Roman" w:hAnsi="Times New Roman"/>
                <w:sz w:val="18"/>
                <w:szCs w:val="18"/>
              </w:rPr>
              <w:t>陕西省挥发性有机物排放控制标准</w:t>
            </w:r>
          </w:p>
        </w:tc>
        <w:tc>
          <w:tcPr>
            <w:tcW w:w="1739" w:type="dxa"/>
            <w:noWrap/>
            <w:vAlign w:val="center"/>
          </w:tcPr>
          <w:p>
            <w:pPr>
              <w:snapToGrid w:val="0"/>
              <w:jc w:val="center"/>
              <w:rPr>
                <w:rFonts w:ascii="Times New Roman" w:hAnsi="Times New Roman"/>
                <w:sz w:val="18"/>
                <w:szCs w:val="18"/>
              </w:rPr>
            </w:pPr>
            <w:r>
              <w:rPr>
                <w:rFonts w:ascii="Times New Roman" w:hAnsi="Times New Roman"/>
                <w:sz w:val="18"/>
                <w:szCs w:val="18"/>
              </w:rPr>
              <w:t>DB 61/T 1061-2017</w:t>
            </w:r>
          </w:p>
        </w:tc>
        <w:tc>
          <w:tcPr>
            <w:tcW w:w="1169" w:type="dxa"/>
            <w:noWrap/>
            <w:vAlign w:val="center"/>
          </w:tcPr>
          <w:p>
            <w:pPr>
              <w:snapToGrid w:val="0"/>
              <w:jc w:val="center"/>
              <w:rPr>
                <w:rFonts w:ascii="Times New Roman" w:hAnsi="Times New Roman"/>
                <w:sz w:val="18"/>
                <w:szCs w:val="18"/>
              </w:rPr>
            </w:pPr>
            <w:r>
              <w:rPr>
                <w:rFonts w:ascii="Times New Roman" w:hAnsi="Times New Roman"/>
                <w:color w:val="000000"/>
                <w:kern w:val="0"/>
                <w:sz w:val="18"/>
                <w:szCs w:val="18"/>
              </w:rPr>
              <w:t>/</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四川</w:t>
            </w:r>
          </w:p>
        </w:tc>
        <w:tc>
          <w:tcPr>
            <w:tcW w:w="3275"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四川省固定污染源大气挥发性有机物排放标准</w:t>
            </w:r>
          </w:p>
        </w:tc>
        <w:tc>
          <w:tcPr>
            <w:tcW w:w="1739"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DB 51/ 2377—2017</w:t>
            </w: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第I时段</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Merge w:val="continue"/>
            <w:noWrap/>
            <w:vAlign w:val="center"/>
          </w:tcPr>
          <w:p>
            <w:pPr>
              <w:snapToGrid w:val="0"/>
              <w:jc w:val="center"/>
              <w:rPr>
                <w:rFonts w:ascii="Times New Roman" w:hAnsi="Times New Roman"/>
                <w:sz w:val="18"/>
                <w:szCs w:val="18"/>
              </w:rPr>
            </w:pPr>
          </w:p>
        </w:tc>
        <w:tc>
          <w:tcPr>
            <w:tcW w:w="3275" w:type="dxa"/>
            <w:vMerge w:val="continue"/>
            <w:noWrap/>
            <w:vAlign w:val="center"/>
          </w:tcPr>
          <w:p>
            <w:pPr>
              <w:snapToGrid w:val="0"/>
              <w:jc w:val="center"/>
              <w:rPr>
                <w:rFonts w:ascii="Times New Roman" w:hAnsi="Times New Roman"/>
                <w:sz w:val="18"/>
                <w:szCs w:val="18"/>
              </w:rPr>
            </w:pPr>
          </w:p>
        </w:tc>
        <w:tc>
          <w:tcPr>
            <w:tcW w:w="1739" w:type="dxa"/>
            <w:vMerge w:val="continue"/>
            <w:noWrap/>
            <w:vAlign w:val="center"/>
          </w:tcPr>
          <w:p>
            <w:pPr>
              <w:snapToGrid w:val="0"/>
              <w:jc w:val="center"/>
              <w:rPr>
                <w:rFonts w:ascii="Times New Roman" w:hAnsi="Times New Roman"/>
                <w:sz w:val="18"/>
                <w:szCs w:val="18"/>
              </w:rPr>
            </w:pP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第II时段</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山东</w:t>
            </w:r>
          </w:p>
        </w:tc>
        <w:tc>
          <w:tcPr>
            <w:tcW w:w="3275"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挥发性有机物排放标准 第5部分：表面涂装行业</w:t>
            </w:r>
          </w:p>
        </w:tc>
        <w:tc>
          <w:tcPr>
            <w:tcW w:w="1739"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DB 37/ 2801.5—2018</w:t>
            </w: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第I时段</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Merge w:val="continue"/>
            <w:noWrap/>
            <w:vAlign w:val="center"/>
          </w:tcPr>
          <w:p>
            <w:pPr>
              <w:snapToGrid w:val="0"/>
              <w:jc w:val="center"/>
              <w:rPr>
                <w:rFonts w:ascii="Times New Roman" w:hAnsi="Times New Roman"/>
                <w:sz w:val="18"/>
                <w:szCs w:val="18"/>
              </w:rPr>
            </w:pPr>
          </w:p>
        </w:tc>
        <w:tc>
          <w:tcPr>
            <w:tcW w:w="3275" w:type="dxa"/>
            <w:vMerge w:val="continue"/>
            <w:noWrap/>
            <w:vAlign w:val="center"/>
          </w:tcPr>
          <w:p>
            <w:pPr>
              <w:snapToGrid w:val="0"/>
              <w:jc w:val="center"/>
              <w:rPr>
                <w:rFonts w:ascii="Times New Roman" w:hAnsi="Times New Roman"/>
                <w:sz w:val="18"/>
                <w:szCs w:val="18"/>
              </w:rPr>
            </w:pPr>
          </w:p>
        </w:tc>
        <w:tc>
          <w:tcPr>
            <w:tcW w:w="1739" w:type="dxa"/>
            <w:vMerge w:val="continue"/>
            <w:noWrap/>
            <w:vAlign w:val="center"/>
          </w:tcPr>
          <w:p>
            <w:pPr>
              <w:snapToGrid w:val="0"/>
              <w:jc w:val="center"/>
              <w:rPr>
                <w:rFonts w:ascii="Times New Roman" w:hAnsi="Times New Roman"/>
                <w:sz w:val="18"/>
                <w:szCs w:val="18"/>
              </w:rPr>
            </w:pP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第II时段</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浙江</w:t>
            </w:r>
          </w:p>
        </w:tc>
        <w:tc>
          <w:tcPr>
            <w:tcW w:w="3275"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工业涂装工序大气污染物排放标准</w:t>
            </w:r>
          </w:p>
        </w:tc>
        <w:tc>
          <w:tcPr>
            <w:tcW w:w="1739"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DB 33 2146-2018</w:t>
            </w: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排放限值</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Merge w:val="continue"/>
            <w:noWrap/>
            <w:vAlign w:val="center"/>
          </w:tcPr>
          <w:p>
            <w:pPr>
              <w:snapToGrid w:val="0"/>
              <w:jc w:val="center"/>
              <w:rPr>
                <w:rFonts w:ascii="Times New Roman" w:hAnsi="Times New Roman"/>
                <w:sz w:val="18"/>
                <w:szCs w:val="18"/>
              </w:rPr>
            </w:pPr>
          </w:p>
        </w:tc>
        <w:tc>
          <w:tcPr>
            <w:tcW w:w="3275" w:type="dxa"/>
            <w:vMerge w:val="continue"/>
            <w:noWrap/>
            <w:vAlign w:val="center"/>
          </w:tcPr>
          <w:p>
            <w:pPr>
              <w:snapToGrid w:val="0"/>
              <w:jc w:val="center"/>
              <w:rPr>
                <w:rFonts w:ascii="Times New Roman" w:hAnsi="Times New Roman"/>
                <w:sz w:val="18"/>
                <w:szCs w:val="18"/>
              </w:rPr>
            </w:pPr>
          </w:p>
        </w:tc>
        <w:tc>
          <w:tcPr>
            <w:tcW w:w="1739" w:type="dxa"/>
            <w:vMerge w:val="continue"/>
            <w:noWrap/>
            <w:vAlign w:val="center"/>
          </w:tcPr>
          <w:p>
            <w:pPr>
              <w:snapToGrid w:val="0"/>
              <w:jc w:val="center"/>
              <w:rPr>
                <w:rFonts w:ascii="Times New Roman" w:hAnsi="Times New Roman"/>
                <w:sz w:val="18"/>
                <w:szCs w:val="18"/>
              </w:rPr>
            </w:pP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特别排放限值</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noWrap/>
            <w:vAlign w:val="center"/>
          </w:tcPr>
          <w:p>
            <w:pPr>
              <w:snapToGrid w:val="0"/>
              <w:jc w:val="center"/>
              <w:rPr>
                <w:rFonts w:ascii="Times New Roman" w:hAnsi="Times New Roman"/>
                <w:sz w:val="18"/>
                <w:szCs w:val="18"/>
              </w:rPr>
            </w:pPr>
            <w:r>
              <w:rPr>
                <w:rFonts w:ascii="Times New Roman" w:hAnsi="Times New Roman"/>
                <w:sz w:val="18"/>
                <w:szCs w:val="18"/>
              </w:rPr>
              <w:t>福建</w:t>
            </w:r>
          </w:p>
        </w:tc>
        <w:tc>
          <w:tcPr>
            <w:tcW w:w="3275" w:type="dxa"/>
            <w:noWrap/>
            <w:vAlign w:val="center"/>
          </w:tcPr>
          <w:p>
            <w:pPr>
              <w:snapToGrid w:val="0"/>
              <w:jc w:val="center"/>
              <w:rPr>
                <w:rFonts w:ascii="Times New Roman" w:hAnsi="Times New Roman"/>
                <w:sz w:val="18"/>
                <w:szCs w:val="18"/>
              </w:rPr>
            </w:pPr>
            <w:r>
              <w:rPr>
                <w:rFonts w:ascii="Times New Roman" w:hAnsi="Times New Roman"/>
                <w:sz w:val="18"/>
                <w:szCs w:val="18"/>
              </w:rPr>
              <w:t>工业涂装工序挥发性有机物排放标准</w:t>
            </w:r>
          </w:p>
        </w:tc>
        <w:tc>
          <w:tcPr>
            <w:tcW w:w="1739" w:type="dxa"/>
            <w:noWrap/>
            <w:vAlign w:val="center"/>
          </w:tcPr>
          <w:p>
            <w:pPr>
              <w:snapToGrid w:val="0"/>
              <w:jc w:val="center"/>
              <w:rPr>
                <w:rFonts w:ascii="Times New Roman" w:hAnsi="Times New Roman"/>
                <w:sz w:val="18"/>
                <w:szCs w:val="18"/>
              </w:rPr>
            </w:pPr>
            <w:r>
              <w:rPr>
                <w:rFonts w:ascii="Times New Roman" w:hAnsi="Times New Roman"/>
                <w:sz w:val="18"/>
                <w:szCs w:val="18"/>
              </w:rPr>
              <w:t>报批稿</w:t>
            </w:r>
          </w:p>
        </w:tc>
        <w:tc>
          <w:tcPr>
            <w:tcW w:w="1169" w:type="dxa"/>
            <w:noWrap/>
            <w:vAlign w:val="center"/>
          </w:tcPr>
          <w:p>
            <w:pPr>
              <w:snapToGrid w:val="0"/>
              <w:jc w:val="center"/>
              <w:rPr>
                <w:rFonts w:ascii="Times New Roman" w:hAnsi="Times New Roman"/>
                <w:sz w:val="18"/>
                <w:szCs w:val="18"/>
              </w:rPr>
            </w:pPr>
            <w:r>
              <w:rPr>
                <w:rFonts w:hint="eastAsia" w:ascii="Times New Roman" w:hAnsi="Times New Roman"/>
                <w:sz w:val="18"/>
                <w:szCs w:val="18"/>
              </w:rPr>
              <w:t>/</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电子工业</w:t>
            </w:r>
          </w:p>
        </w:tc>
        <w:tc>
          <w:tcPr>
            <w:tcW w:w="600"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国家</w:t>
            </w:r>
          </w:p>
        </w:tc>
        <w:tc>
          <w:tcPr>
            <w:tcW w:w="3275"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电子工业污染物排放标准</w:t>
            </w:r>
          </w:p>
        </w:tc>
        <w:tc>
          <w:tcPr>
            <w:tcW w:w="1739"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（二次征求意见稿）</w:t>
            </w: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排放限值</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Merge w:val="continue"/>
            <w:noWrap/>
            <w:vAlign w:val="center"/>
          </w:tcPr>
          <w:p>
            <w:pPr>
              <w:snapToGrid w:val="0"/>
              <w:jc w:val="center"/>
              <w:rPr>
                <w:rFonts w:ascii="Times New Roman" w:hAnsi="Times New Roman"/>
                <w:sz w:val="18"/>
                <w:szCs w:val="18"/>
              </w:rPr>
            </w:pPr>
          </w:p>
        </w:tc>
        <w:tc>
          <w:tcPr>
            <w:tcW w:w="3275" w:type="dxa"/>
            <w:vMerge w:val="continue"/>
            <w:noWrap/>
            <w:vAlign w:val="center"/>
          </w:tcPr>
          <w:p>
            <w:pPr>
              <w:snapToGrid w:val="0"/>
              <w:jc w:val="center"/>
              <w:rPr>
                <w:rFonts w:ascii="Times New Roman" w:hAnsi="Times New Roman"/>
                <w:sz w:val="18"/>
                <w:szCs w:val="18"/>
              </w:rPr>
            </w:pPr>
          </w:p>
        </w:tc>
        <w:tc>
          <w:tcPr>
            <w:tcW w:w="1739" w:type="dxa"/>
            <w:vMerge w:val="continue"/>
            <w:noWrap/>
            <w:vAlign w:val="center"/>
          </w:tcPr>
          <w:p>
            <w:pPr>
              <w:snapToGrid w:val="0"/>
              <w:jc w:val="center"/>
              <w:rPr>
                <w:rFonts w:ascii="Times New Roman" w:hAnsi="Times New Roman"/>
                <w:sz w:val="18"/>
                <w:szCs w:val="18"/>
              </w:rPr>
            </w:pP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特别排放限值</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天津</w:t>
            </w:r>
          </w:p>
        </w:tc>
        <w:tc>
          <w:tcPr>
            <w:tcW w:w="3275"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工业企业挥发性有机物排放控制标准</w:t>
            </w:r>
          </w:p>
        </w:tc>
        <w:tc>
          <w:tcPr>
            <w:tcW w:w="1739"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DB 12/ 524—2014</w:t>
            </w: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第I时段</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Merge w:val="continue"/>
            <w:noWrap/>
            <w:vAlign w:val="center"/>
          </w:tcPr>
          <w:p>
            <w:pPr>
              <w:snapToGrid w:val="0"/>
              <w:jc w:val="center"/>
              <w:rPr>
                <w:rFonts w:ascii="Times New Roman" w:hAnsi="Times New Roman"/>
                <w:sz w:val="18"/>
                <w:szCs w:val="18"/>
              </w:rPr>
            </w:pPr>
          </w:p>
        </w:tc>
        <w:tc>
          <w:tcPr>
            <w:tcW w:w="3275" w:type="dxa"/>
            <w:vMerge w:val="continue"/>
            <w:noWrap/>
            <w:vAlign w:val="center"/>
          </w:tcPr>
          <w:p>
            <w:pPr>
              <w:snapToGrid w:val="0"/>
              <w:jc w:val="center"/>
              <w:rPr>
                <w:rFonts w:ascii="Times New Roman" w:hAnsi="Times New Roman"/>
                <w:sz w:val="18"/>
                <w:szCs w:val="18"/>
              </w:rPr>
            </w:pPr>
          </w:p>
        </w:tc>
        <w:tc>
          <w:tcPr>
            <w:tcW w:w="1739" w:type="dxa"/>
            <w:vMerge w:val="continue"/>
            <w:noWrap/>
            <w:vAlign w:val="center"/>
          </w:tcPr>
          <w:p>
            <w:pPr>
              <w:snapToGrid w:val="0"/>
              <w:jc w:val="center"/>
              <w:rPr>
                <w:rFonts w:ascii="Times New Roman" w:hAnsi="Times New Roman"/>
                <w:sz w:val="18"/>
                <w:szCs w:val="18"/>
              </w:rPr>
            </w:pP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第II时段</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noWrap/>
            <w:vAlign w:val="center"/>
          </w:tcPr>
          <w:p>
            <w:pPr>
              <w:snapToGrid w:val="0"/>
              <w:jc w:val="center"/>
              <w:rPr>
                <w:rFonts w:ascii="Times New Roman" w:hAnsi="Times New Roman"/>
                <w:sz w:val="18"/>
                <w:szCs w:val="18"/>
              </w:rPr>
            </w:pPr>
            <w:r>
              <w:rPr>
                <w:rFonts w:ascii="Times New Roman" w:hAnsi="Times New Roman"/>
                <w:sz w:val="18"/>
                <w:szCs w:val="18"/>
              </w:rPr>
              <w:t>陕西</w:t>
            </w:r>
          </w:p>
        </w:tc>
        <w:tc>
          <w:tcPr>
            <w:tcW w:w="3275" w:type="dxa"/>
            <w:noWrap/>
            <w:vAlign w:val="center"/>
          </w:tcPr>
          <w:p>
            <w:pPr>
              <w:snapToGrid w:val="0"/>
              <w:jc w:val="center"/>
              <w:rPr>
                <w:rFonts w:ascii="Times New Roman" w:hAnsi="Times New Roman"/>
                <w:sz w:val="18"/>
                <w:szCs w:val="18"/>
              </w:rPr>
            </w:pPr>
            <w:r>
              <w:rPr>
                <w:rFonts w:ascii="Times New Roman" w:hAnsi="Times New Roman"/>
                <w:sz w:val="18"/>
                <w:szCs w:val="18"/>
              </w:rPr>
              <w:t>陕西省挥发性有机物排放控制标准</w:t>
            </w:r>
          </w:p>
        </w:tc>
        <w:tc>
          <w:tcPr>
            <w:tcW w:w="1739" w:type="dxa"/>
            <w:noWrap/>
            <w:vAlign w:val="center"/>
          </w:tcPr>
          <w:p>
            <w:pPr>
              <w:snapToGrid w:val="0"/>
              <w:jc w:val="center"/>
              <w:rPr>
                <w:rFonts w:ascii="Times New Roman" w:hAnsi="Times New Roman"/>
                <w:sz w:val="18"/>
                <w:szCs w:val="18"/>
              </w:rPr>
            </w:pPr>
            <w:r>
              <w:rPr>
                <w:rFonts w:ascii="Times New Roman" w:hAnsi="Times New Roman"/>
                <w:sz w:val="18"/>
                <w:szCs w:val="18"/>
              </w:rPr>
              <w:t>DB61/T 1061-2017</w:t>
            </w:r>
          </w:p>
        </w:tc>
        <w:tc>
          <w:tcPr>
            <w:tcW w:w="1169" w:type="dxa"/>
            <w:noWrap/>
            <w:vAlign w:val="center"/>
          </w:tcPr>
          <w:p>
            <w:pPr>
              <w:snapToGrid w:val="0"/>
              <w:jc w:val="center"/>
              <w:rPr>
                <w:rFonts w:ascii="Times New Roman" w:hAnsi="Times New Roman"/>
                <w:sz w:val="18"/>
                <w:szCs w:val="18"/>
              </w:rPr>
            </w:pPr>
            <w:r>
              <w:rPr>
                <w:rFonts w:ascii="Times New Roman" w:hAnsi="Times New Roman"/>
                <w:color w:val="000000"/>
                <w:kern w:val="0"/>
                <w:sz w:val="18"/>
                <w:szCs w:val="18"/>
              </w:rPr>
              <w:t>/</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四川</w:t>
            </w:r>
          </w:p>
        </w:tc>
        <w:tc>
          <w:tcPr>
            <w:tcW w:w="3275"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四川省固定污染源大气挥发性有机物排放标准</w:t>
            </w:r>
          </w:p>
        </w:tc>
        <w:tc>
          <w:tcPr>
            <w:tcW w:w="1739"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DB51/ 2377—2017</w:t>
            </w: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第I时段</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Merge w:val="continue"/>
            <w:noWrap/>
            <w:vAlign w:val="center"/>
          </w:tcPr>
          <w:p>
            <w:pPr>
              <w:snapToGrid w:val="0"/>
              <w:jc w:val="center"/>
              <w:rPr>
                <w:rFonts w:ascii="Times New Roman" w:hAnsi="Times New Roman"/>
                <w:sz w:val="18"/>
                <w:szCs w:val="18"/>
              </w:rPr>
            </w:pPr>
          </w:p>
        </w:tc>
        <w:tc>
          <w:tcPr>
            <w:tcW w:w="3275" w:type="dxa"/>
            <w:vMerge w:val="continue"/>
            <w:noWrap/>
            <w:vAlign w:val="center"/>
          </w:tcPr>
          <w:p>
            <w:pPr>
              <w:snapToGrid w:val="0"/>
              <w:jc w:val="center"/>
              <w:rPr>
                <w:rFonts w:ascii="Times New Roman" w:hAnsi="Times New Roman"/>
                <w:sz w:val="18"/>
                <w:szCs w:val="18"/>
              </w:rPr>
            </w:pPr>
          </w:p>
        </w:tc>
        <w:tc>
          <w:tcPr>
            <w:tcW w:w="1739" w:type="dxa"/>
            <w:vMerge w:val="continue"/>
            <w:noWrap/>
            <w:vAlign w:val="center"/>
          </w:tcPr>
          <w:p>
            <w:pPr>
              <w:snapToGrid w:val="0"/>
              <w:jc w:val="center"/>
              <w:rPr>
                <w:rFonts w:ascii="Times New Roman" w:hAnsi="Times New Roman"/>
                <w:sz w:val="18"/>
                <w:szCs w:val="18"/>
              </w:rPr>
            </w:pP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第II时段</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noWrap/>
            <w:vAlign w:val="center"/>
          </w:tcPr>
          <w:p>
            <w:pPr>
              <w:snapToGrid w:val="0"/>
              <w:jc w:val="center"/>
              <w:rPr>
                <w:rFonts w:ascii="Times New Roman" w:hAnsi="Times New Roman"/>
                <w:sz w:val="18"/>
                <w:szCs w:val="18"/>
              </w:rPr>
            </w:pPr>
            <w:r>
              <w:rPr>
                <w:rFonts w:ascii="Times New Roman" w:hAnsi="Times New Roman"/>
                <w:sz w:val="18"/>
                <w:szCs w:val="18"/>
              </w:rPr>
              <w:t>福建</w:t>
            </w:r>
          </w:p>
        </w:tc>
        <w:tc>
          <w:tcPr>
            <w:tcW w:w="3275" w:type="dxa"/>
            <w:noWrap/>
            <w:vAlign w:val="center"/>
          </w:tcPr>
          <w:p>
            <w:pPr>
              <w:snapToGrid w:val="0"/>
              <w:jc w:val="center"/>
              <w:rPr>
                <w:rFonts w:ascii="Times New Roman" w:hAnsi="Times New Roman"/>
                <w:sz w:val="18"/>
                <w:szCs w:val="18"/>
              </w:rPr>
            </w:pPr>
            <w:r>
              <w:rPr>
                <w:rFonts w:ascii="Times New Roman" w:hAnsi="Times New Roman"/>
                <w:sz w:val="18"/>
                <w:szCs w:val="18"/>
              </w:rPr>
              <w:t>工业企业挥发性有机物排放标准</w:t>
            </w:r>
          </w:p>
        </w:tc>
        <w:tc>
          <w:tcPr>
            <w:tcW w:w="1739" w:type="dxa"/>
            <w:noWrap/>
            <w:vAlign w:val="center"/>
          </w:tcPr>
          <w:p>
            <w:pPr>
              <w:snapToGrid w:val="0"/>
              <w:jc w:val="center"/>
              <w:rPr>
                <w:rFonts w:ascii="Times New Roman" w:hAnsi="Times New Roman"/>
                <w:sz w:val="18"/>
                <w:szCs w:val="18"/>
              </w:rPr>
            </w:pPr>
            <w:r>
              <w:rPr>
                <w:rFonts w:ascii="Times New Roman" w:hAnsi="Times New Roman"/>
                <w:sz w:val="18"/>
                <w:szCs w:val="18"/>
              </w:rPr>
              <w:t>DB35/1782—2018</w:t>
            </w:r>
          </w:p>
        </w:tc>
        <w:tc>
          <w:tcPr>
            <w:tcW w:w="1169" w:type="dxa"/>
            <w:noWrap/>
            <w:vAlign w:val="center"/>
          </w:tcPr>
          <w:p>
            <w:pPr>
              <w:snapToGrid w:val="0"/>
              <w:jc w:val="center"/>
              <w:rPr>
                <w:rFonts w:ascii="Times New Roman" w:hAnsi="Times New Roman"/>
                <w:sz w:val="18"/>
                <w:szCs w:val="18"/>
              </w:rPr>
            </w:pPr>
            <w:r>
              <w:rPr>
                <w:rFonts w:ascii="Times New Roman" w:hAnsi="Times New Roman"/>
                <w:color w:val="000000"/>
                <w:kern w:val="0"/>
                <w:sz w:val="18"/>
                <w:szCs w:val="18"/>
              </w:rPr>
              <w:t>/</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纺织印染</w:t>
            </w:r>
          </w:p>
        </w:tc>
        <w:tc>
          <w:tcPr>
            <w:tcW w:w="600"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国家</w:t>
            </w:r>
          </w:p>
        </w:tc>
        <w:tc>
          <w:tcPr>
            <w:tcW w:w="3275"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纺织印染工业大气污染物排放标准</w:t>
            </w:r>
          </w:p>
        </w:tc>
        <w:tc>
          <w:tcPr>
            <w:tcW w:w="1739"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征求意见稿</w:t>
            </w: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排放限值</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Merge w:val="continue"/>
            <w:noWrap/>
            <w:vAlign w:val="center"/>
          </w:tcPr>
          <w:p>
            <w:pPr>
              <w:snapToGrid w:val="0"/>
              <w:jc w:val="center"/>
              <w:rPr>
                <w:rFonts w:ascii="Times New Roman" w:hAnsi="Times New Roman"/>
                <w:sz w:val="18"/>
                <w:szCs w:val="18"/>
              </w:rPr>
            </w:pPr>
          </w:p>
        </w:tc>
        <w:tc>
          <w:tcPr>
            <w:tcW w:w="3275" w:type="dxa"/>
            <w:vMerge w:val="continue"/>
            <w:noWrap/>
            <w:vAlign w:val="center"/>
          </w:tcPr>
          <w:p>
            <w:pPr>
              <w:snapToGrid w:val="0"/>
              <w:jc w:val="center"/>
              <w:rPr>
                <w:rFonts w:ascii="Times New Roman" w:hAnsi="Times New Roman"/>
                <w:sz w:val="18"/>
                <w:szCs w:val="18"/>
              </w:rPr>
            </w:pPr>
          </w:p>
        </w:tc>
        <w:tc>
          <w:tcPr>
            <w:tcW w:w="1739" w:type="dxa"/>
            <w:vMerge w:val="continue"/>
            <w:noWrap/>
            <w:vAlign w:val="center"/>
          </w:tcPr>
          <w:p>
            <w:pPr>
              <w:snapToGrid w:val="0"/>
              <w:jc w:val="center"/>
              <w:rPr>
                <w:rFonts w:ascii="Times New Roman" w:hAnsi="Times New Roman"/>
                <w:sz w:val="18"/>
                <w:szCs w:val="18"/>
              </w:rPr>
            </w:pP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特别排放限值</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浙江</w:t>
            </w:r>
          </w:p>
        </w:tc>
        <w:tc>
          <w:tcPr>
            <w:tcW w:w="3275"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纺织染整工业大气污染物排放标准</w:t>
            </w:r>
          </w:p>
        </w:tc>
        <w:tc>
          <w:tcPr>
            <w:tcW w:w="1739"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DB 33 962-2015</w:t>
            </w: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现有企业</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Merge w:val="continue"/>
            <w:noWrap/>
            <w:vAlign w:val="center"/>
          </w:tcPr>
          <w:p>
            <w:pPr>
              <w:snapToGrid w:val="0"/>
              <w:jc w:val="center"/>
              <w:rPr>
                <w:rFonts w:ascii="Times New Roman" w:hAnsi="Times New Roman"/>
                <w:sz w:val="18"/>
                <w:szCs w:val="18"/>
              </w:rPr>
            </w:pPr>
          </w:p>
        </w:tc>
        <w:tc>
          <w:tcPr>
            <w:tcW w:w="3275" w:type="dxa"/>
            <w:vMerge w:val="continue"/>
            <w:noWrap/>
            <w:vAlign w:val="center"/>
          </w:tcPr>
          <w:p>
            <w:pPr>
              <w:snapToGrid w:val="0"/>
              <w:jc w:val="center"/>
              <w:rPr>
                <w:rFonts w:ascii="Times New Roman" w:hAnsi="Times New Roman"/>
                <w:sz w:val="18"/>
                <w:szCs w:val="18"/>
              </w:rPr>
            </w:pPr>
          </w:p>
        </w:tc>
        <w:tc>
          <w:tcPr>
            <w:tcW w:w="1739" w:type="dxa"/>
            <w:vMerge w:val="continue"/>
            <w:noWrap/>
            <w:vAlign w:val="center"/>
          </w:tcPr>
          <w:p>
            <w:pPr>
              <w:snapToGrid w:val="0"/>
              <w:jc w:val="center"/>
              <w:rPr>
                <w:rFonts w:ascii="Times New Roman" w:hAnsi="Times New Roman"/>
                <w:sz w:val="18"/>
                <w:szCs w:val="18"/>
              </w:rPr>
            </w:pP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新建企业</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Merge w:val="continue"/>
            <w:noWrap/>
            <w:vAlign w:val="center"/>
          </w:tcPr>
          <w:p>
            <w:pPr>
              <w:snapToGrid w:val="0"/>
              <w:jc w:val="center"/>
              <w:rPr>
                <w:rFonts w:ascii="Times New Roman" w:hAnsi="Times New Roman"/>
                <w:sz w:val="18"/>
                <w:szCs w:val="18"/>
              </w:rPr>
            </w:pPr>
          </w:p>
        </w:tc>
        <w:tc>
          <w:tcPr>
            <w:tcW w:w="3275" w:type="dxa"/>
            <w:vMerge w:val="continue"/>
            <w:noWrap/>
            <w:vAlign w:val="center"/>
          </w:tcPr>
          <w:p>
            <w:pPr>
              <w:snapToGrid w:val="0"/>
              <w:jc w:val="center"/>
              <w:rPr>
                <w:rFonts w:ascii="Times New Roman" w:hAnsi="Times New Roman"/>
                <w:sz w:val="18"/>
                <w:szCs w:val="18"/>
              </w:rPr>
            </w:pPr>
          </w:p>
        </w:tc>
        <w:tc>
          <w:tcPr>
            <w:tcW w:w="1739" w:type="dxa"/>
            <w:vMerge w:val="continue"/>
            <w:noWrap/>
            <w:vAlign w:val="center"/>
          </w:tcPr>
          <w:p>
            <w:pPr>
              <w:snapToGrid w:val="0"/>
              <w:jc w:val="center"/>
              <w:rPr>
                <w:rFonts w:ascii="Times New Roman" w:hAnsi="Times New Roman"/>
                <w:sz w:val="18"/>
                <w:szCs w:val="18"/>
              </w:rPr>
            </w:pP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特别排放限值</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船舶工业</w:t>
            </w:r>
          </w:p>
        </w:tc>
        <w:tc>
          <w:tcPr>
            <w:tcW w:w="600" w:type="dxa"/>
            <w:noWrap/>
            <w:vAlign w:val="center"/>
          </w:tcPr>
          <w:p>
            <w:pPr>
              <w:snapToGrid w:val="0"/>
              <w:jc w:val="center"/>
              <w:rPr>
                <w:rFonts w:ascii="Times New Roman" w:hAnsi="Times New Roman"/>
                <w:sz w:val="18"/>
                <w:szCs w:val="18"/>
              </w:rPr>
            </w:pPr>
            <w:r>
              <w:rPr>
                <w:rFonts w:ascii="Times New Roman" w:hAnsi="Times New Roman"/>
                <w:sz w:val="18"/>
                <w:szCs w:val="18"/>
              </w:rPr>
              <w:t>上海</w:t>
            </w:r>
          </w:p>
        </w:tc>
        <w:tc>
          <w:tcPr>
            <w:tcW w:w="3275" w:type="dxa"/>
            <w:noWrap/>
            <w:vAlign w:val="center"/>
          </w:tcPr>
          <w:p>
            <w:pPr>
              <w:snapToGrid w:val="0"/>
              <w:jc w:val="center"/>
              <w:rPr>
                <w:rFonts w:ascii="Times New Roman" w:hAnsi="Times New Roman"/>
                <w:sz w:val="18"/>
                <w:szCs w:val="18"/>
              </w:rPr>
            </w:pPr>
            <w:r>
              <w:rPr>
                <w:rFonts w:ascii="Times New Roman" w:hAnsi="Times New Roman"/>
                <w:sz w:val="18"/>
                <w:szCs w:val="18"/>
              </w:rPr>
              <w:t>船舶工业大气污染物排放标准</w:t>
            </w:r>
          </w:p>
        </w:tc>
        <w:tc>
          <w:tcPr>
            <w:tcW w:w="1739" w:type="dxa"/>
            <w:noWrap/>
            <w:vAlign w:val="center"/>
          </w:tcPr>
          <w:p>
            <w:pPr>
              <w:snapToGrid w:val="0"/>
              <w:jc w:val="center"/>
              <w:rPr>
                <w:rFonts w:ascii="Times New Roman" w:hAnsi="Times New Roman"/>
                <w:sz w:val="18"/>
                <w:szCs w:val="18"/>
              </w:rPr>
            </w:pPr>
            <w:r>
              <w:rPr>
                <w:rFonts w:ascii="Times New Roman" w:hAnsi="Times New Roman"/>
                <w:sz w:val="18"/>
                <w:szCs w:val="18"/>
              </w:rPr>
              <w:t>DB31/934—2015</w:t>
            </w:r>
          </w:p>
        </w:tc>
        <w:tc>
          <w:tcPr>
            <w:tcW w:w="1169" w:type="dxa"/>
            <w:noWrap/>
            <w:vAlign w:val="center"/>
          </w:tcPr>
          <w:p>
            <w:pPr>
              <w:snapToGrid w:val="0"/>
              <w:jc w:val="center"/>
              <w:rPr>
                <w:rFonts w:ascii="Times New Roman" w:hAnsi="Times New Roman"/>
                <w:sz w:val="18"/>
                <w:szCs w:val="18"/>
              </w:rPr>
            </w:pPr>
            <w:r>
              <w:rPr>
                <w:rFonts w:ascii="Times New Roman" w:hAnsi="Times New Roman"/>
                <w:color w:val="000000"/>
                <w:kern w:val="0"/>
                <w:sz w:val="18"/>
                <w:szCs w:val="18"/>
              </w:rPr>
              <w:t>/</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noWrap/>
            <w:vAlign w:val="center"/>
          </w:tcPr>
          <w:p>
            <w:pPr>
              <w:snapToGrid w:val="0"/>
              <w:jc w:val="center"/>
              <w:rPr>
                <w:rFonts w:ascii="Times New Roman" w:hAnsi="Times New Roman"/>
                <w:sz w:val="18"/>
                <w:szCs w:val="18"/>
              </w:rPr>
            </w:pPr>
            <w:r>
              <w:rPr>
                <w:rFonts w:ascii="Times New Roman" w:hAnsi="Times New Roman"/>
                <w:sz w:val="18"/>
                <w:szCs w:val="18"/>
              </w:rPr>
              <w:t>福建</w:t>
            </w:r>
          </w:p>
        </w:tc>
        <w:tc>
          <w:tcPr>
            <w:tcW w:w="3275" w:type="dxa"/>
            <w:noWrap/>
            <w:vAlign w:val="center"/>
          </w:tcPr>
          <w:p>
            <w:pPr>
              <w:snapToGrid w:val="0"/>
              <w:jc w:val="center"/>
              <w:rPr>
                <w:rFonts w:ascii="Times New Roman" w:hAnsi="Times New Roman"/>
                <w:sz w:val="18"/>
                <w:szCs w:val="18"/>
              </w:rPr>
            </w:pPr>
            <w:r>
              <w:rPr>
                <w:rFonts w:ascii="Times New Roman" w:hAnsi="Times New Roman"/>
                <w:sz w:val="18"/>
                <w:szCs w:val="18"/>
              </w:rPr>
              <w:t>工业涂装工序挥发性有机物排放标准</w:t>
            </w:r>
          </w:p>
        </w:tc>
        <w:tc>
          <w:tcPr>
            <w:tcW w:w="1739" w:type="dxa"/>
            <w:noWrap/>
            <w:vAlign w:val="center"/>
          </w:tcPr>
          <w:p>
            <w:pPr>
              <w:snapToGrid w:val="0"/>
              <w:jc w:val="center"/>
              <w:rPr>
                <w:rFonts w:ascii="Times New Roman" w:hAnsi="Times New Roman"/>
                <w:sz w:val="18"/>
                <w:szCs w:val="18"/>
              </w:rPr>
            </w:pPr>
            <w:r>
              <w:rPr>
                <w:rFonts w:ascii="Times New Roman" w:hAnsi="Times New Roman"/>
                <w:sz w:val="18"/>
                <w:szCs w:val="18"/>
              </w:rPr>
              <w:t>报批稿</w:t>
            </w:r>
          </w:p>
        </w:tc>
        <w:tc>
          <w:tcPr>
            <w:tcW w:w="1169" w:type="dxa"/>
            <w:noWrap/>
            <w:vAlign w:val="center"/>
          </w:tcPr>
          <w:p>
            <w:pPr>
              <w:snapToGrid w:val="0"/>
              <w:jc w:val="center"/>
              <w:rPr>
                <w:rFonts w:ascii="Times New Roman" w:hAnsi="Times New Roman"/>
                <w:sz w:val="18"/>
                <w:szCs w:val="18"/>
              </w:rPr>
            </w:pPr>
            <w:r>
              <w:rPr>
                <w:rFonts w:ascii="Times New Roman" w:hAnsi="Times New Roman"/>
                <w:color w:val="000000"/>
                <w:kern w:val="0"/>
                <w:sz w:val="18"/>
                <w:szCs w:val="18"/>
              </w:rPr>
              <w:t>/</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四川</w:t>
            </w:r>
          </w:p>
        </w:tc>
        <w:tc>
          <w:tcPr>
            <w:tcW w:w="3275"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四川省固定污染源大气挥发性有机物排放标准</w:t>
            </w:r>
          </w:p>
        </w:tc>
        <w:tc>
          <w:tcPr>
            <w:tcW w:w="1739"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DB51/ 2377—2017</w:t>
            </w: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第I时段</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Merge w:val="continue"/>
            <w:noWrap/>
            <w:vAlign w:val="center"/>
          </w:tcPr>
          <w:p>
            <w:pPr>
              <w:snapToGrid w:val="0"/>
              <w:jc w:val="center"/>
              <w:rPr>
                <w:rFonts w:ascii="Times New Roman" w:hAnsi="Times New Roman"/>
                <w:sz w:val="18"/>
                <w:szCs w:val="18"/>
              </w:rPr>
            </w:pPr>
          </w:p>
        </w:tc>
        <w:tc>
          <w:tcPr>
            <w:tcW w:w="3275" w:type="dxa"/>
            <w:vMerge w:val="continue"/>
            <w:noWrap/>
            <w:vAlign w:val="center"/>
          </w:tcPr>
          <w:p>
            <w:pPr>
              <w:snapToGrid w:val="0"/>
              <w:jc w:val="center"/>
              <w:rPr>
                <w:rFonts w:ascii="Times New Roman" w:hAnsi="Times New Roman"/>
                <w:sz w:val="18"/>
                <w:szCs w:val="18"/>
              </w:rPr>
            </w:pPr>
          </w:p>
        </w:tc>
        <w:tc>
          <w:tcPr>
            <w:tcW w:w="1739" w:type="dxa"/>
            <w:vMerge w:val="continue"/>
            <w:noWrap/>
            <w:vAlign w:val="center"/>
          </w:tcPr>
          <w:p>
            <w:pPr>
              <w:snapToGrid w:val="0"/>
              <w:jc w:val="center"/>
              <w:rPr>
                <w:rFonts w:ascii="Times New Roman" w:hAnsi="Times New Roman"/>
                <w:sz w:val="18"/>
                <w:szCs w:val="18"/>
              </w:rPr>
            </w:pP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第II时段</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山东</w:t>
            </w:r>
          </w:p>
        </w:tc>
        <w:tc>
          <w:tcPr>
            <w:tcW w:w="3275"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挥发性有机物排放标准 第6部分：有机化工行业</w:t>
            </w:r>
          </w:p>
        </w:tc>
        <w:tc>
          <w:tcPr>
            <w:tcW w:w="1739"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DB 37/ 2801.6—2018</w:t>
            </w: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I时段</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Merge w:val="continue"/>
            <w:noWrap/>
            <w:vAlign w:val="center"/>
          </w:tcPr>
          <w:p>
            <w:pPr>
              <w:snapToGrid w:val="0"/>
              <w:jc w:val="center"/>
              <w:rPr>
                <w:rFonts w:ascii="Times New Roman" w:hAnsi="Times New Roman"/>
                <w:sz w:val="18"/>
                <w:szCs w:val="18"/>
              </w:rPr>
            </w:pPr>
          </w:p>
        </w:tc>
        <w:tc>
          <w:tcPr>
            <w:tcW w:w="3275" w:type="dxa"/>
            <w:vMerge w:val="continue"/>
            <w:noWrap/>
            <w:vAlign w:val="center"/>
          </w:tcPr>
          <w:p>
            <w:pPr>
              <w:snapToGrid w:val="0"/>
              <w:jc w:val="center"/>
              <w:rPr>
                <w:rFonts w:ascii="Times New Roman" w:hAnsi="Times New Roman"/>
                <w:sz w:val="18"/>
                <w:szCs w:val="18"/>
              </w:rPr>
            </w:pPr>
          </w:p>
        </w:tc>
        <w:tc>
          <w:tcPr>
            <w:tcW w:w="1739" w:type="dxa"/>
            <w:vMerge w:val="continue"/>
            <w:noWrap/>
            <w:vAlign w:val="center"/>
          </w:tcPr>
          <w:p>
            <w:pPr>
              <w:snapToGrid w:val="0"/>
              <w:jc w:val="center"/>
              <w:rPr>
                <w:rFonts w:ascii="Times New Roman" w:hAnsi="Times New Roman"/>
                <w:sz w:val="18"/>
                <w:szCs w:val="18"/>
              </w:rPr>
            </w:pP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II时段</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铝型材行业</w:t>
            </w:r>
          </w:p>
        </w:tc>
        <w:tc>
          <w:tcPr>
            <w:tcW w:w="600"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山东</w:t>
            </w:r>
          </w:p>
        </w:tc>
        <w:tc>
          <w:tcPr>
            <w:tcW w:w="3275"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挥发性有机物排放标准 第2部分： 铝型材工业</w:t>
            </w:r>
          </w:p>
        </w:tc>
        <w:tc>
          <w:tcPr>
            <w:tcW w:w="1739"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征求意见</w:t>
            </w: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第I时段</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Merge w:val="continue"/>
            <w:noWrap/>
            <w:vAlign w:val="center"/>
          </w:tcPr>
          <w:p>
            <w:pPr>
              <w:snapToGrid w:val="0"/>
              <w:jc w:val="center"/>
              <w:rPr>
                <w:rFonts w:ascii="Times New Roman" w:hAnsi="Times New Roman"/>
                <w:sz w:val="18"/>
                <w:szCs w:val="18"/>
              </w:rPr>
            </w:pPr>
          </w:p>
        </w:tc>
        <w:tc>
          <w:tcPr>
            <w:tcW w:w="3275" w:type="dxa"/>
            <w:vMerge w:val="continue"/>
            <w:noWrap/>
            <w:vAlign w:val="center"/>
          </w:tcPr>
          <w:p>
            <w:pPr>
              <w:snapToGrid w:val="0"/>
              <w:jc w:val="center"/>
              <w:rPr>
                <w:rFonts w:ascii="Times New Roman" w:hAnsi="Times New Roman"/>
                <w:sz w:val="18"/>
                <w:szCs w:val="18"/>
              </w:rPr>
            </w:pPr>
          </w:p>
        </w:tc>
        <w:tc>
          <w:tcPr>
            <w:tcW w:w="1739" w:type="dxa"/>
            <w:vMerge w:val="continue"/>
            <w:noWrap/>
            <w:vAlign w:val="center"/>
          </w:tcPr>
          <w:p>
            <w:pPr>
              <w:snapToGrid w:val="0"/>
              <w:jc w:val="center"/>
              <w:rPr>
                <w:rFonts w:ascii="Times New Roman" w:hAnsi="Times New Roman"/>
                <w:sz w:val="18"/>
                <w:szCs w:val="18"/>
              </w:rPr>
            </w:pPr>
          </w:p>
        </w:tc>
        <w:tc>
          <w:tcPr>
            <w:tcW w:w="1169" w:type="dxa"/>
            <w:noWrap/>
            <w:vAlign w:val="center"/>
          </w:tcPr>
          <w:p>
            <w:pPr>
              <w:snapToGrid w:val="0"/>
              <w:jc w:val="center"/>
              <w:rPr>
                <w:rFonts w:ascii="Times New Roman" w:hAnsi="Times New Roman"/>
                <w:sz w:val="18"/>
                <w:szCs w:val="18"/>
              </w:rPr>
            </w:pPr>
            <w:r>
              <w:rPr>
                <w:rFonts w:ascii="Times New Roman" w:hAnsi="Times New Roman"/>
                <w:sz w:val="18"/>
                <w:szCs w:val="18"/>
              </w:rPr>
              <w:t>第II时段</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restart"/>
            <w:noWrap/>
            <w:vAlign w:val="center"/>
          </w:tcPr>
          <w:p>
            <w:pPr>
              <w:snapToGrid w:val="0"/>
              <w:jc w:val="center"/>
              <w:rPr>
                <w:rFonts w:ascii="Times New Roman" w:hAnsi="Times New Roman"/>
                <w:sz w:val="18"/>
                <w:szCs w:val="18"/>
              </w:rPr>
            </w:pPr>
            <w:r>
              <w:rPr>
                <w:rFonts w:ascii="Times New Roman" w:hAnsi="Times New Roman"/>
                <w:sz w:val="18"/>
                <w:szCs w:val="18"/>
              </w:rPr>
              <w:t>木材加工业</w:t>
            </w:r>
          </w:p>
        </w:tc>
        <w:tc>
          <w:tcPr>
            <w:tcW w:w="600" w:type="dxa"/>
            <w:noWrap/>
            <w:vAlign w:val="center"/>
          </w:tcPr>
          <w:p>
            <w:pPr>
              <w:snapToGrid w:val="0"/>
              <w:jc w:val="center"/>
              <w:rPr>
                <w:rFonts w:ascii="Times New Roman" w:hAnsi="Times New Roman"/>
                <w:sz w:val="18"/>
                <w:szCs w:val="18"/>
              </w:rPr>
            </w:pPr>
            <w:r>
              <w:rPr>
                <w:rFonts w:ascii="Times New Roman" w:hAnsi="Times New Roman"/>
                <w:sz w:val="18"/>
                <w:szCs w:val="18"/>
              </w:rPr>
              <w:t>河北</w:t>
            </w:r>
          </w:p>
        </w:tc>
        <w:tc>
          <w:tcPr>
            <w:tcW w:w="3275" w:type="dxa"/>
            <w:noWrap/>
            <w:vAlign w:val="center"/>
          </w:tcPr>
          <w:p>
            <w:pPr>
              <w:snapToGrid w:val="0"/>
              <w:jc w:val="center"/>
              <w:rPr>
                <w:rFonts w:ascii="Times New Roman" w:hAnsi="Times New Roman"/>
                <w:sz w:val="18"/>
                <w:szCs w:val="18"/>
              </w:rPr>
            </w:pPr>
            <w:r>
              <w:rPr>
                <w:rFonts w:ascii="Times New Roman" w:hAnsi="Times New Roman"/>
                <w:sz w:val="18"/>
                <w:szCs w:val="18"/>
              </w:rPr>
              <w:t>工业企业挥发性有机物排放控制标准</w:t>
            </w:r>
          </w:p>
        </w:tc>
        <w:tc>
          <w:tcPr>
            <w:tcW w:w="1739" w:type="dxa"/>
            <w:noWrap/>
            <w:vAlign w:val="center"/>
          </w:tcPr>
          <w:p>
            <w:pPr>
              <w:snapToGrid w:val="0"/>
              <w:jc w:val="center"/>
              <w:rPr>
                <w:rFonts w:ascii="Times New Roman" w:hAnsi="Times New Roman"/>
                <w:sz w:val="18"/>
                <w:szCs w:val="18"/>
              </w:rPr>
            </w:pPr>
            <w:r>
              <w:rPr>
                <w:rFonts w:ascii="Times New Roman" w:hAnsi="Times New Roman"/>
                <w:sz w:val="18"/>
                <w:szCs w:val="18"/>
              </w:rPr>
              <w:t>DB 13/ 2322—2016</w:t>
            </w:r>
          </w:p>
        </w:tc>
        <w:tc>
          <w:tcPr>
            <w:tcW w:w="1169" w:type="dxa"/>
            <w:noWrap/>
            <w:vAlign w:val="center"/>
          </w:tcPr>
          <w:p>
            <w:pPr>
              <w:snapToGrid w:val="0"/>
              <w:jc w:val="center"/>
              <w:rPr>
                <w:rFonts w:ascii="Times New Roman" w:hAnsi="Times New Roman"/>
                <w:sz w:val="18"/>
                <w:szCs w:val="18"/>
              </w:rPr>
            </w:pPr>
            <w:r>
              <w:rPr>
                <w:rFonts w:ascii="Times New Roman" w:hAnsi="Times New Roman"/>
                <w:color w:val="000000"/>
                <w:kern w:val="0"/>
                <w:sz w:val="18"/>
                <w:szCs w:val="18"/>
              </w:rPr>
              <w:t>/</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noWrap/>
            <w:vAlign w:val="center"/>
          </w:tcPr>
          <w:p>
            <w:pPr>
              <w:snapToGrid w:val="0"/>
              <w:jc w:val="center"/>
              <w:rPr>
                <w:rFonts w:ascii="Times New Roman" w:hAnsi="Times New Roman"/>
                <w:sz w:val="18"/>
                <w:szCs w:val="18"/>
              </w:rPr>
            </w:pPr>
            <w:r>
              <w:rPr>
                <w:rFonts w:ascii="Times New Roman" w:hAnsi="Times New Roman"/>
                <w:sz w:val="18"/>
                <w:szCs w:val="18"/>
              </w:rPr>
              <w:t>福建</w:t>
            </w:r>
          </w:p>
        </w:tc>
        <w:tc>
          <w:tcPr>
            <w:tcW w:w="3275" w:type="dxa"/>
            <w:noWrap/>
            <w:vAlign w:val="center"/>
          </w:tcPr>
          <w:p>
            <w:pPr>
              <w:snapToGrid w:val="0"/>
              <w:jc w:val="center"/>
              <w:rPr>
                <w:rFonts w:ascii="Times New Roman" w:hAnsi="Times New Roman"/>
                <w:sz w:val="18"/>
                <w:szCs w:val="18"/>
              </w:rPr>
            </w:pPr>
            <w:r>
              <w:rPr>
                <w:rFonts w:ascii="Times New Roman" w:hAnsi="Times New Roman"/>
                <w:sz w:val="18"/>
                <w:szCs w:val="18"/>
              </w:rPr>
              <w:t>工业企业挥发性有机物排放标准</w:t>
            </w:r>
          </w:p>
        </w:tc>
        <w:tc>
          <w:tcPr>
            <w:tcW w:w="1739" w:type="dxa"/>
            <w:noWrap/>
            <w:vAlign w:val="center"/>
          </w:tcPr>
          <w:p>
            <w:pPr>
              <w:snapToGrid w:val="0"/>
              <w:jc w:val="center"/>
              <w:rPr>
                <w:rFonts w:ascii="Times New Roman" w:hAnsi="Times New Roman"/>
                <w:sz w:val="18"/>
                <w:szCs w:val="18"/>
              </w:rPr>
            </w:pPr>
            <w:r>
              <w:rPr>
                <w:rFonts w:ascii="Times New Roman" w:hAnsi="Times New Roman"/>
                <w:sz w:val="18"/>
                <w:szCs w:val="18"/>
              </w:rPr>
              <w:t>DB35/1782—2018</w:t>
            </w:r>
          </w:p>
        </w:tc>
        <w:tc>
          <w:tcPr>
            <w:tcW w:w="1169" w:type="dxa"/>
            <w:noWrap/>
            <w:vAlign w:val="center"/>
          </w:tcPr>
          <w:p>
            <w:pPr>
              <w:snapToGrid w:val="0"/>
              <w:jc w:val="center"/>
              <w:rPr>
                <w:rFonts w:ascii="Times New Roman" w:hAnsi="Times New Roman"/>
                <w:sz w:val="18"/>
                <w:szCs w:val="18"/>
              </w:rPr>
            </w:pPr>
            <w:r>
              <w:rPr>
                <w:rFonts w:ascii="Times New Roman" w:hAnsi="Times New Roman"/>
                <w:color w:val="000000"/>
                <w:kern w:val="0"/>
                <w:sz w:val="18"/>
                <w:szCs w:val="18"/>
              </w:rPr>
              <w:t>/</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noWrap/>
            <w:vAlign w:val="center"/>
          </w:tcPr>
          <w:p>
            <w:pPr>
              <w:snapToGrid w:val="0"/>
              <w:jc w:val="center"/>
              <w:rPr>
                <w:rFonts w:ascii="Times New Roman" w:hAnsi="Times New Roman"/>
                <w:sz w:val="18"/>
                <w:szCs w:val="18"/>
              </w:rPr>
            </w:pPr>
            <w:r>
              <w:rPr>
                <w:rFonts w:ascii="Times New Roman" w:hAnsi="Times New Roman"/>
                <w:sz w:val="18"/>
                <w:szCs w:val="18"/>
              </w:rPr>
              <w:t>其它</w:t>
            </w:r>
          </w:p>
        </w:tc>
        <w:tc>
          <w:tcPr>
            <w:tcW w:w="600" w:type="dxa"/>
            <w:noWrap/>
            <w:vAlign w:val="center"/>
          </w:tcPr>
          <w:p>
            <w:pPr>
              <w:snapToGrid w:val="0"/>
              <w:jc w:val="center"/>
              <w:rPr>
                <w:rFonts w:ascii="Times New Roman" w:hAnsi="Times New Roman"/>
                <w:sz w:val="18"/>
                <w:szCs w:val="18"/>
              </w:rPr>
            </w:pPr>
            <w:r>
              <w:rPr>
                <w:rFonts w:ascii="Times New Roman" w:hAnsi="Times New Roman"/>
                <w:sz w:val="18"/>
                <w:szCs w:val="18"/>
              </w:rPr>
              <w:t>河北</w:t>
            </w:r>
          </w:p>
        </w:tc>
        <w:tc>
          <w:tcPr>
            <w:tcW w:w="3275" w:type="dxa"/>
            <w:noWrap/>
            <w:vAlign w:val="center"/>
          </w:tcPr>
          <w:p>
            <w:pPr>
              <w:snapToGrid w:val="0"/>
              <w:jc w:val="center"/>
              <w:rPr>
                <w:rFonts w:ascii="Times New Roman" w:hAnsi="Times New Roman"/>
                <w:sz w:val="18"/>
                <w:szCs w:val="18"/>
              </w:rPr>
            </w:pPr>
            <w:r>
              <w:rPr>
                <w:rFonts w:ascii="Times New Roman" w:hAnsi="Times New Roman"/>
                <w:sz w:val="18"/>
                <w:szCs w:val="18"/>
              </w:rPr>
              <w:t>工业企业挥发性有机物排放控制标准</w:t>
            </w:r>
          </w:p>
        </w:tc>
        <w:tc>
          <w:tcPr>
            <w:tcW w:w="1739" w:type="dxa"/>
            <w:noWrap/>
            <w:vAlign w:val="center"/>
          </w:tcPr>
          <w:p>
            <w:pPr>
              <w:snapToGrid w:val="0"/>
              <w:jc w:val="center"/>
              <w:rPr>
                <w:rFonts w:ascii="Times New Roman" w:hAnsi="Times New Roman"/>
                <w:sz w:val="18"/>
                <w:szCs w:val="18"/>
              </w:rPr>
            </w:pPr>
            <w:r>
              <w:rPr>
                <w:rFonts w:ascii="Times New Roman" w:hAnsi="Times New Roman"/>
                <w:sz w:val="18"/>
                <w:szCs w:val="18"/>
              </w:rPr>
              <w:t>DB 13/ 2322—2016</w:t>
            </w:r>
          </w:p>
        </w:tc>
        <w:tc>
          <w:tcPr>
            <w:tcW w:w="1169" w:type="dxa"/>
            <w:noWrap/>
            <w:vAlign w:val="center"/>
          </w:tcPr>
          <w:p>
            <w:pPr>
              <w:snapToGrid w:val="0"/>
              <w:jc w:val="center"/>
              <w:rPr>
                <w:rFonts w:ascii="Times New Roman" w:hAnsi="Times New Roman"/>
                <w:sz w:val="18"/>
                <w:szCs w:val="18"/>
              </w:rPr>
            </w:pPr>
            <w:r>
              <w:rPr>
                <w:rFonts w:ascii="Times New Roman" w:hAnsi="Times New Roman"/>
                <w:color w:val="000000"/>
                <w:kern w:val="0"/>
                <w:sz w:val="18"/>
                <w:szCs w:val="18"/>
              </w:rPr>
              <w:t>/</w:t>
            </w:r>
          </w:p>
        </w:tc>
        <w:tc>
          <w:tcPr>
            <w:tcW w:w="0" w:type="auto"/>
            <w:noWrap/>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restart"/>
            <w:vAlign w:val="center"/>
          </w:tcPr>
          <w:p>
            <w:pPr>
              <w:snapToGrid w:val="0"/>
              <w:jc w:val="center"/>
              <w:rPr>
                <w:rFonts w:ascii="Times New Roman" w:hAnsi="Times New Roman"/>
                <w:sz w:val="18"/>
                <w:szCs w:val="18"/>
              </w:rPr>
            </w:pPr>
            <w:r>
              <w:rPr>
                <w:rFonts w:ascii="Times New Roman" w:hAnsi="Times New Roman"/>
                <w:sz w:val="18"/>
                <w:szCs w:val="18"/>
              </w:rPr>
              <w:t>国外限值</w:t>
            </w:r>
          </w:p>
        </w:tc>
        <w:tc>
          <w:tcPr>
            <w:tcW w:w="600" w:type="dxa"/>
            <w:vMerge w:val="restart"/>
            <w:vAlign w:val="center"/>
          </w:tcPr>
          <w:p>
            <w:pPr>
              <w:snapToGrid w:val="0"/>
              <w:jc w:val="center"/>
              <w:rPr>
                <w:rFonts w:ascii="Times New Roman" w:hAnsi="Times New Roman"/>
                <w:sz w:val="18"/>
                <w:szCs w:val="18"/>
              </w:rPr>
            </w:pPr>
            <w:r>
              <w:rPr>
                <w:rFonts w:ascii="Times New Roman" w:hAnsi="Times New Roman"/>
                <w:sz w:val="18"/>
                <w:szCs w:val="18"/>
              </w:rPr>
              <w:t>德国</w:t>
            </w:r>
          </w:p>
        </w:tc>
        <w:tc>
          <w:tcPr>
            <w:tcW w:w="3275" w:type="dxa"/>
            <w:vAlign w:val="center"/>
          </w:tcPr>
          <w:p>
            <w:pPr>
              <w:snapToGrid w:val="0"/>
              <w:jc w:val="center"/>
              <w:rPr>
                <w:rFonts w:ascii="Times New Roman" w:hAnsi="Times New Roman"/>
                <w:sz w:val="18"/>
                <w:szCs w:val="18"/>
              </w:rPr>
            </w:pPr>
            <w:r>
              <w:rPr>
                <w:rFonts w:ascii="Times New Roman" w:hAnsi="Times New Roman"/>
                <w:sz w:val="18"/>
                <w:szCs w:val="18"/>
              </w:rPr>
              <w:t>TA-Luft</w:t>
            </w:r>
          </w:p>
        </w:tc>
        <w:tc>
          <w:tcPr>
            <w:tcW w:w="1739" w:type="dxa"/>
            <w:vAlign w:val="center"/>
          </w:tcPr>
          <w:p>
            <w:pPr>
              <w:snapToGrid w:val="0"/>
              <w:jc w:val="center"/>
              <w:rPr>
                <w:rFonts w:ascii="Times New Roman" w:hAnsi="Times New Roman"/>
                <w:sz w:val="18"/>
                <w:szCs w:val="18"/>
              </w:rPr>
            </w:pPr>
            <w:r>
              <w:rPr>
                <w:rFonts w:ascii="Times New Roman" w:hAnsi="Times New Roman"/>
                <w:color w:val="000000"/>
                <w:kern w:val="0"/>
                <w:sz w:val="18"/>
                <w:szCs w:val="18"/>
              </w:rPr>
              <w:t>/</w:t>
            </w:r>
          </w:p>
        </w:tc>
        <w:tc>
          <w:tcPr>
            <w:tcW w:w="1169" w:type="dxa"/>
            <w:vAlign w:val="center"/>
          </w:tcPr>
          <w:p>
            <w:pPr>
              <w:snapToGrid w:val="0"/>
              <w:jc w:val="center"/>
              <w:rPr>
                <w:rFonts w:ascii="Times New Roman" w:hAnsi="Times New Roman"/>
                <w:sz w:val="18"/>
                <w:szCs w:val="18"/>
              </w:rPr>
            </w:pPr>
            <w:r>
              <w:rPr>
                <w:rFonts w:ascii="Times New Roman" w:hAnsi="Times New Roman"/>
                <w:color w:val="000000"/>
                <w:kern w:val="0"/>
                <w:sz w:val="18"/>
                <w:szCs w:val="18"/>
              </w:rPr>
              <w:t>/</w:t>
            </w:r>
          </w:p>
        </w:tc>
        <w:tc>
          <w:tcPr>
            <w:tcW w:w="0" w:type="auto"/>
            <w:vAlign w:val="center"/>
          </w:tcPr>
          <w:p>
            <w:pPr>
              <w:snapToGrid w:val="0"/>
              <w:jc w:val="center"/>
              <w:rPr>
                <w:rFonts w:ascii="Times New Roman" w:hAnsi="Times New Roman"/>
                <w:sz w:val="18"/>
                <w:szCs w:val="18"/>
              </w:rPr>
            </w:pPr>
            <w:r>
              <w:rPr>
                <w:rFonts w:ascii="Times New Roman" w:hAnsi="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Merge w:val="continue"/>
            <w:vAlign w:val="center"/>
          </w:tcPr>
          <w:p>
            <w:pPr>
              <w:snapToGrid w:val="0"/>
              <w:jc w:val="center"/>
              <w:rPr>
                <w:rFonts w:ascii="Times New Roman" w:hAnsi="Times New Roman"/>
                <w:sz w:val="18"/>
                <w:szCs w:val="18"/>
              </w:rPr>
            </w:pPr>
          </w:p>
        </w:tc>
        <w:tc>
          <w:tcPr>
            <w:tcW w:w="3275" w:type="dxa"/>
            <w:vAlign w:val="center"/>
          </w:tcPr>
          <w:p>
            <w:pPr>
              <w:snapToGrid w:val="0"/>
              <w:jc w:val="center"/>
              <w:rPr>
                <w:rFonts w:ascii="Times New Roman" w:hAnsi="Times New Roman"/>
                <w:sz w:val="18"/>
                <w:szCs w:val="18"/>
              </w:rPr>
            </w:pPr>
            <w:r>
              <w:rPr>
                <w:rFonts w:ascii="Times New Roman" w:hAnsi="Times New Roman"/>
                <w:sz w:val="18"/>
                <w:szCs w:val="18"/>
              </w:rPr>
              <w:t>环己烷生产环节、炭电极生产</w:t>
            </w:r>
          </w:p>
        </w:tc>
        <w:tc>
          <w:tcPr>
            <w:tcW w:w="1739" w:type="dxa"/>
            <w:vAlign w:val="center"/>
          </w:tcPr>
          <w:p>
            <w:pPr>
              <w:snapToGrid w:val="0"/>
              <w:jc w:val="center"/>
              <w:rPr>
                <w:rFonts w:ascii="Times New Roman" w:hAnsi="Times New Roman"/>
                <w:sz w:val="18"/>
                <w:szCs w:val="18"/>
              </w:rPr>
            </w:pPr>
            <w:r>
              <w:rPr>
                <w:rFonts w:ascii="Times New Roman" w:hAnsi="Times New Roman"/>
                <w:color w:val="000000"/>
                <w:kern w:val="0"/>
                <w:sz w:val="18"/>
                <w:szCs w:val="18"/>
              </w:rPr>
              <w:t>/</w:t>
            </w:r>
          </w:p>
        </w:tc>
        <w:tc>
          <w:tcPr>
            <w:tcW w:w="1169" w:type="dxa"/>
            <w:vAlign w:val="center"/>
          </w:tcPr>
          <w:p>
            <w:pPr>
              <w:snapToGrid w:val="0"/>
              <w:jc w:val="center"/>
              <w:rPr>
                <w:rFonts w:ascii="Times New Roman" w:hAnsi="Times New Roman"/>
                <w:sz w:val="18"/>
                <w:szCs w:val="18"/>
              </w:rPr>
            </w:pPr>
            <w:r>
              <w:rPr>
                <w:rFonts w:ascii="Times New Roman" w:hAnsi="Times New Roman"/>
                <w:color w:val="000000"/>
                <w:kern w:val="0"/>
                <w:sz w:val="18"/>
                <w:szCs w:val="18"/>
              </w:rPr>
              <w:t>/</w:t>
            </w:r>
          </w:p>
        </w:tc>
        <w:tc>
          <w:tcPr>
            <w:tcW w:w="0" w:type="auto"/>
            <w:vAlign w:val="center"/>
          </w:tcPr>
          <w:p>
            <w:pPr>
              <w:snapToGrid w:val="0"/>
              <w:jc w:val="center"/>
              <w:rPr>
                <w:rFonts w:ascii="Times New Roman" w:hAnsi="Times New Roman"/>
                <w:sz w:val="18"/>
                <w:szCs w:val="18"/>
              </w:rPr>
            </w:pPr>
            <w:r>
              <w:rPr>
                <w:rFonts w:ascii="Times New Roman" w:hAnsi="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Merge w:val="continue"/>
            <w:vAlign w:val="center"/>
          </w:tcPr>
          <w:p>
            <w:pPr>
              <w:snapToGrid w:val="0"/>
              <w:jc w:val="center"/>
              <w:rPr>
                <w:rFonts w:ascii="Times New Roman" w:hAnsi="Times New Roman"/>
                <w:sz w:val="18"/>
                <w:szCs w:val="18"/>
              </w:rPr>
            </w:pPr>
          </w:p>
        </w:tc>
        <w:tc>
          <w:tcPr>
            <w:tcW w:w="3275" w:type="dxa"/>
            <w:vAlign w:val="center"/>
          </w:tcPr>
          <w:p>
            <w:pPr>
              <w:snapToGrid w:val="0"/>
              <w:jc w:val="center"/>
              <w:rPr>
                <w:rFonts w:ascii="Times New Roman" w:hAnsi="Times New Roman"/>
                <w:sz w:val="18"/>
                <w:szCs w:val="18"/>
              </w:rPr>
            </w:pPr>
            <w:r>
              <w:rPr>
                <w:rFonts w:ascii="Times New Roman" w:hAnsi="Times New Roman"/>
                <w:sz w:val="18"/>
                <w:szCs w:val="18"/>
              </w:rPr>
              <w:t>炭黑生产、铸造</w:t>
            </w:r>
          </w:p>
        </w:tc>
        <w:tc>
          <w:tcPr>
            <w:tcW w:w="1739" w:type="dxa"/>
            <w:vAlign w:val="center"/>
          </w:tcPr>
          <w:p>
            <w:pPr>
              <w:snapToGrid w:val="0"/>
              <w:jc w:val="center"/>
              <w:rPr>
                <w:rFonts w:ascii="Times New Roman" w:hAnsi="Times New Roman"/>
                <w:sz w:val="18"/>
                <w:szCs w:val="18"/>
              </w:rPr>
            </w:pPr>
            <w:r>
              <w:rPr>
                <w:rFonts w:ascii="Times New Roman" w:hAnsi="Times New Roman"/>
                <w:color w:val="000000"/>
                <w:kern w:val="0"/>
                <w:sz w:val="18"/>
                <w:szCs w:val="18"/>
              </w:rPr>
              <w:t>/</w:t>
            </w:r>
          </w:p>
        </w:tc>
        <w:tc>
          <w:tcPr>
            <w:tcW w:w="1169" w:type="dxa"/>
            <w:vAlign w:val="center"/>
          </w:tcPr>
          <w:p>
            <w:pPr>
              <w:snapToGrid w:val="0"/>
              <w:jc w:val="center"/>
              <w:rPr>
                <w:rFonts w:ascii="Times New Roman" w:hAnsi="Times New Roman"/>
                <w:sz w:val="18"/>
                <w:szCs w:val="18"/>
              </w:rPr>
            </w:pPr>
            <w:r>
              <w:rPr>
                <w:rFonts w:ascii="Times New Roman" w:hAnsi="Times New Roman"/>
                <w:color w:val="000000"/>
                <w:kern w:val="0"/>
                <w:sz w:val="18"/>
                <w:szCs w:val="18"/>
              </w:rPr>
              <w:t>/</w:t>
            </w:r>
          </w:p>
        </w:tc>
        <w:tc>
          <w:tcPr>
            <w:tcW w:w="0" w:type="auto"/>
            <w:vAlign w:val="center"/>
          </w:tcPr>
          <w:p>
            <w:pPr>
              <w:snapToGrid w:val="0"/>
              <w:jc w:val="center"/>
              <w:rPr>
                <w:rFonts w:ascii="Times New Roman" w:hAnsi="Times New Roman"/>
                <w:sz w:val="18"/>
                <w:szCs w:val="18"/>
              </w:rPr>
            </w:pPr>
            <w:r>
              <w:rPr>
                <w:rFonts w:ascii="Times New Roman" w:hAnsi="Times New Roman"/>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Align w:val="center"/>
          </w:tcPr>
          <w:p>
            <w:pPr>
              <w:snapToGrid w:val="0"/>
              <w:jc w:val="center"/>
              <w:rPr>
                <w:rFonts w:ascii="Times New Roman" w:hAnsi="Times New Roman"/>
                <w:sz w:val="18"/>
                <w:szCs w:val="18"/>
              </w:rPr>
            </w:pPr>
            <w:r>
              <w:rPr>
                <w:rFonts w:ascii="Times New Roman" w:hAnsi="Times New Roman"/>
                <w:sz w:val="18"/>
                <w:szCs w:val="18"/>
              </w:rPr>
              <w:t>世界银行</w:t>
            </w:r>
          </w:p>
        </w:tc>
        <w:tc>
          <w:tcPr>
            <w:tcW w:w="3275" w:type="dxa"/>
            <w:vAlign w:val="center"/>
          </w:tcPr>
          <w:p>
            <w:pPr>
              <w:snapToGrid w:val="0"/>
              <w:jc w:val="center"/>
              <w:rPr>
                <w:rFonts w:ascii="Times New Roman" w:hAnsi="Times New Roman"/>
                <w:sz w:val="18"/>
                <w:szCs w:val="18"/>
              </w:rPr>
            </w:pPr>
            <w:r>
              <w:rPr>
                <w:rFonts w:ascii="Times New Roman" w:hAnsi="Times New Roman"/>
                <w:sz w:val="18"/>
                <w:szCs w:val="18"/>
              </w:rPr>
              <w:t>大宗有机化工、药品</w:t>
            </w:r>
          </w:p>
        </w:tc>
        <w:tc>
          <w:tcPr>
            <w:tcW w:w="1739" w:type="dxa"/>
            <w:vAlign w:val="center"/>
          </w:tcPr>
          <w:p>
            <w:pPr>
              <w:snapToGrid w:val="0"/>
              <w:jc w:val="center"/>
              <w:rPr>
                <w:rFonts w:ascii="Times New Roman" w:hAnsi="Times New Roman"/>
                <w:sz w:val="18"/>
                <w:szCs w:val="18"/>
              </w:rPr>
            </w:pPr>
            <w:r>
              <w:rPr>
                <w:rFonts w:ascii="Times New Roman" w:hAnsi="Times New Roman"/>
                <w:color w:val="000000"/>
                <w:kern w:val="0"/>
                <w:sz w:val="18"/>
                <w:szCs w:val="18"/>
              </w:rPr>
              <w:t>/</w:t>
            </w:r>
          </w:p>
        </w:tc>
        <w:tc>
          <w:tcPr>
            <w:tcW w:w="1169" w:type="dxa"/>
            <w:vAlign w:val="center"/>
          </w:tcPr>
          <w:p>
            <w:pPr>
              <w:snapToGrid w:val="0"/>
              <w:jc w:val="center"/>
              <w:rPr>
                <w:rFonts w:ascii="Times New Roman" w:hAnsi="Times New Roman"/>
                <w:sz w:val="18"/>
                <w:szCs w:val="18"/>
              </w:rPr>
            </w:pPr>
            <w:r>
              <w:rPr>
                <w:rFonts w:ascii="Times New Roman" w:hAnsi="Times New Roman"/>
                <w:color w:val="000000"/>
                <w:kern w:val="0"/>
                <w:sz w:val="18"/>
                <w:szCs w:val="18"/>
              </w:rPr>
              <w:t>/</w:t>
            </w:r>
          </w:p>
        </w:tc>
        <w:tc>
          <w:tcPr>
            <w:tcW w:w="0" w:type="auto"/>
            <w:vAlign w:val="center"/>
          </w:tcPr>
          <w:p>
            <w:pPr>
              <w:snapToGrid w:val="0"/>
              <w:jc w:val="center"/>
              <w:rPr>
                <w:rFonts w:ascii="Times New Roman" w:hAnsi="Times New Roman"/>
                <w:sz w:val="18"/>
                <w:szCs w:val="18"/>
              </w:rPr>
            </w:pPr>
            <w:r>
              <w:rPr>
                <w:rFonts w:ascii="Times New Roman" w:hAnsi="Times New Roman"/>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1" w:type="dxa"/>
            <w:vMerge w:val="continue"/>
            <w:vAlign w:val="center"/>
          </w:tcPr>
          <w:p>
            <w:pPr>
              <w:snapToGrid w:val="0"/>
              <w:jc w:val="center"/>
              <w:rPr>
                <w:rFonts w:ascii="Times New Roman" w:hAnsi="Times New Roman"/>
                <w:sz w:val="18"/>
                <w:szCs w:val="18"/>
              </w:rPr>
            </w:pPr>
          </w:p>
        </w:tc>
        <w:tc>
          <w:tcPr>
            <w:tcW w:w="600" w:type="dxa"/>
            <w:vAlign w:val="center"/>
          </w:tcPr>
          <w:p>
            <w:pPr>
              <w:snapToGrid w:val="0"/>
              <w:jc w:val="center"/>
              <w:rPr>
                <w:rFonts w:ascii="Times New Roman" w:hAnsi="Times New Roman"/>
                <w:sz w:val="18"/>
                <w:szCs w:val="18"/>
              </w:rPr>
            </w:pPr>
            <w:r>
              <w:rPr>
                <w:rFonts w:ascii="Times New Roman" w:hAnsi="Times New Roman"/>
                <w:sz w:val="18"/>
                <w:szCs w:val="18"/>
              </w:rPr>
              <w:t>英国</w:t>
            </w:r>
          </w:p>
        </w:tc>
        <w:tc>
          <w:tcPr>
            <w:tcW w:w="3275" w:type="dxa"/>
            <w:vAlign w:val="center"/>
          </w:tcPr>
          <w:p>
            <w:pPr>
              <w:snapToGrid w:val="0"/>
              <w:jc w:val="center"/>
              <w:rPr>
                <w:rFonts w:ascii="Times New Roman" w:hAnsi="Times New Roman"/>
                <w:sz w:val="18"/>
                <w:szCs w:val="18"/>
              </w:rPr>
            </w:pPr>
            <w:r>
              <w:rPr>
                <w:rFonts w:ascii="Times New Roman" w:hAnsi="Times New Roman"/>
                <w:sz w:val="18"/>
                <w:szCs w:val="18"/>
              </w:rPr>
              <w:t>高毒害</w:t>
            </w:r>
          </w:p>
        </w:tc>
        <w:tc>
          <w:tcPr>
            <w:tcW w:w="1739" w:type="dxa"/>
            <w:vAlign w:val="center"/>
          </w:tcPr>
          <w:p>
            <w:pPr>
              <w:snapToGrid w:val="0"/>
              <w:jc w:val="center"/>
              <w:rPr>
                <w:rFonts w:ascii="Times New Roman" w:hAnsi="Times New Roman"/>
                <w:sz w:val="18"/>
                <w:szCs w:val="18"/>
              </w:rPr>
            </w:pPr>
            <w:r>
              <w:rPr>
                <w:rFonts w:ascii="Times New Roman" w:hAnsi="Times New Roman"/>
                <w:color w:val="000000"/>
                <w:kern w:val="0"/>
                <w:sz w:val="18"/>
                <w:szCs w:val="18"/>
              </w:rPr>
              <w:t>/</w:t>
            </w:r>
          </w:p>
        </w:tc>
        <w:tc>
          <w:tcPr>
            <w:tcW w:w="1169" w:type="dxa"/>
            <w:vAlign w:val="center"/>
          </w:tcPr>
          <w:p>
            <w:pPr>
              <w:snapToGrid w:val="0"/>
              <w:jc w:val="center"/>
              <w:rPr>
                <w:rFonts w:ascii="Times New Roman" w:hAnsi="Times New Roman"/>
                <w:sz w:val="18"/>
                <w:szCs w:val="18"/>
              </w:rPr>
            </w:pPr>
            <w:r>
              <w:rPr>
                <w:rFonts w:ascii="Times New Roman" w:hAnsi="Times New Roman"/>
                <w:color w:val="000000"/>
                <w:kern w:val="0"/>
                <w:sz w:val="18"/>
                <w:szCs w:val="18"/>
              </w:rPr>
              <w:t>/</w:t>
            </w:r>
          </w:p>
        </w:tc>
        <w:tc>
          <w:tcPr>
            <w:tcW w:w="0" w:type="auto"/>
            <w:vAlign w:val="center"/>
          </w:tcPr>
          <w:p>
            <w:pPr>
              <w:snapToGrid w:val="0"/>
              <w:jc w:val="center"/>
              <w:rPr>
                <w:rFonts w:ascii="Times New Roman" w:hAnsi="Times New Roman"/>
                <w:sz w:val="18"/>
                <w:szCs w:val="18"/>
              </w:rPr>
            </w:pPr>
            <w:r>
              <w:rPr>
                <w:rFonts w:ascii="Times New Roman" w:hAnsi="Times New Roman"/>
                <w:sz w:val="18"/>
                <w:szCs w:val="18"/>
              </w:rPr>
              <w:t>5</w:t>
            </w:r>
          </w:p>
        </w:tc>
      </w:tr>
    </w:tbl>
    <w:p>
      <w:pPr>
        <w:pStyle w:val="68"/>
        <w:ind w:firstLine="482"/>
        <w:rPr>
          <w:rFonts w:cs="Times New Roman"/>
          <w:b/>
          <w:bCs/>
        </w:rPr>
      </w:pPr>
      <w:r>
        <w:rPr>
          <w:rFonts w:cs="Times New Roman"/>
          <w:b/>
          <w:bCs/>
        </w:rPr>
        <w:t>2. 苯系物</w:t>
      </w:r>
    </w:p>
    <w:p>
      <w:pPr>
        <w:pStyle w:val="68"/>
        <w:rPr>
          <w:rFonts w:cs="Times New Roman"/>
        </w:rPr>
      </w:pPr>
      <w:r>
        <w:rPr>
          <w:rFonts w:cs="Times New Roman"/>
        </w:rPr>
        <w:t>（1）苯系物的危害</w:t>
      </w:r>
    </w:p>
    <w:p>
      <w:pPr>
        <w:pStyle w:val="68"/>
        <w:rPr>
          <w:rFonts w:cs="Times New Roman"/>
        </w:rPr>
      </w:pPr>
      <w:r>
        <w:rPr>
          <w:rFonts w:cs="Times New Roman"/>
        </w:rPr>
        <w:t>苯系物包括苯、甲苯、二甲苯、</w:t>
      </w:r>
      <w:r>
        <w:rPr>
          <w:rFonts w:hint="eastAsia" w:cs="Times New Roman"/>
        </w:rPr>
        <w:t>三甲苯、乙苯和</w:t>
      </w:r>
      <w:r>
        <w:rPr>
          <w:rFonts w:cs="Times New Roman"/>
        </w:rPr>
        <w:t>苯乙烯等。</w:t>
      </w:r>
    </w:p>
    <w:p>
      <w:pPr>
        <w:pStyle w:val="68"/>
        <w:rPr>
          <w:rFonts w:cs="Times New Roman"/>
        </w:rPr>
      </w:pPr>
      <w:r>
        <w:rPr>
          <w:rFonts w:cs="Times New Roman"/>
        </w:rPr>
        <w:t>苯为无色透明液体，有强烈芳香味</w:t>
      </w:r>
      <w:r>
        <w:rPr>
          <w:rFonts w:hint="eastAsia" w:cs="Times New Roman"/>
        </w:rPr>
        <w:t>；</w:t>
      </w:r>
      <w:r>
        <w:rPr>
          <w:rFonts w:cs="Times New Roman"/>
        </w:rPr>
        <w:t>不溶于水，溶于醇、醚、丙酮等多数有机溶剂</w:t>
      </w:r>
      <w:r>
        <w:rPr>
          <w:rFonts w:hint="eastAsia" w:cs="Times New Roman"/>
        </w:rPr>
        <w:t>；</w:t>
      </w:r>
      <w:r>
        <w:rPr>
          <w:rFonts w:cs="Times New Roman"/>
        </w:rPr>
        <w:t>属中等毒类</w:t>
      </w:r>
      <w:r>
        <w:rPr>
          <w:rFonts w:hint="eastAsia" w:cs="Times New Roman"/>
        </w:rPr>
        <w:t>，</w:t>
      </w:r>
      <w:r>
        <w:rPr>
          <w:rFonts w:cs="Times New Roman"/>
        </w:rPr>
        <w:t>LD50：3306 mg/kg（大鼠经口），LC50：10000ppm 7 小时（大鼠吸入）；高浓度苯对</w:t>
      </w:r>
      <w:r>
        <w:rPr>
          <w:rFonts w:hint="eastAsia" w:cs="Times New Roman"/>
        </w:rPr>
        <w:t>人体</w:t>
      </w:r>
      <w:r>
        <w:rPr>
          <w:rFonts w:cs="Times New Roman"/>
        </w:rPr>
        <w:t>中枢神经系统有麻醉作用，引起急性中毒，还对造血系统会造成损害，引起慢性中毒；国际癌症研究中心（IARC）已确认为致癌物。</w:t>
      </w:r>
    </w:p>
    <w:p>
      <w:pPr>
        <w:pStyle w:val="68"/>
        <w:rPr>
          <w:rFonts w:cs="Times New Roman"/>
        </w:rPr>
      </w:pPr>
      <w:r>
        <w:rPr>
          <w:rFonts w:cs="Times New Roman"/>
        </w:rPr>
        <w:t>甲苯为无色透明液体，有类似苯的芳香气味；不溶于水，可混溶于苯、醇、醚等多种有机溶剂；属低等毒类，LD50：1000 mg/kg（大鼠经口）、12124 mg/kg（兔经皮），LC50：5320 ppm 8 小时（小鼠吸入）；对皮肤、粘膜有刺激作用，对中枢神经系统有麻醉作用。</w:t>
      </w:r>
    </w:p>
    <w:p>
      <w:pPr>
        <w:pStyle w:val="68"/>
        <w:rPr>
          <w:rFonts w:cs="Times New Roman"/>
        </w:rPr>
      </w:pPr>
      <w:r>
        <w:rPr>
          <w:rFonts w:cs="Times New Roman"/>
        </w:rPr>
        <w:t>乙苯为无色气体，有芳香气味。不溶于水，可混溶于醇、醚等多数有机溶剂。属低毒类 LD50：3500mg/kg（大鼠经口），LC50：17800 mg/kg（兔经皮）。健康危害：其蒸汽和烟雾对眼睛、粘膜、呼吸道和皮肤有刺激作用。</w:t>
      </w:r>
    </w:p>
    <w:p>
      <w:pPr>
        <w:pStyle w:val="68"/>
        <w:rPr>
          <w:rFonts w:cs="Times New Roman"/>
        </w:rPr>
      </w:pPr>
      <w:r>
        <w:rPr>
          <w:rFonts w:cs="Times New Roman"/>
        </w:rPr>
        <w:t>对、间、邻位二甲苯性质相似，混合二甲苯为无色透明的液体，有类似甲苯的气味；通过吸入、食入、经皮吸收产生影响，二甲苯对眼睛及上呼吸道有刺激作用，高浓度对中枢神经有麻醉作用，短时吸入较高浓度</w:t>
      </w:r>
      <w:r>
        <w:rPr>
          <w:rFonts w:hint="eastAsia" w:cs="Times New Roman"/>
        </w:rPr>
        <w:t>二甲苯</w:t>
      </w:r>
      <w:r>
        <w:rPr>
          <w:rFonts w:cs="Times New Roman"/>
        </w:rPr>
        <w:t>可出现眼及上呼吸道刺激症状，眼结膜及咽部充血、头晕、头痛、恶心、胸闷、四肢无力，重者可有躁动、抽搐或昏迷，有的有癔病样发作，长期接触有神经衰弱综合症，女工有月经异常，工人常发生皮肤干燥、皮炎，LD50 (大鼠经口) 5000 mg/Kg，LC50 (大鼠吸入) 19747 mg/m</w:t>
      </w:r>
      <w:r>
        <w:rPr>
          <w:rFonts w:cs="Times New Roman"/>
          <w:vertAlign w:val="superscript"/>
        </w:rPr>
        <w:t>3</w:t>
      </w:r>
      <w:r>
        <w:rPr>
          <w:rFonts w:cs="Times New Roman"/>
        </w:rPr>
        <w:t>，4小时，大鼠经口最低中毒剂量（TDL0）：19 mg/m</w:t>
      </w:r>
      <w:r>
        <w:rPr>
          <w:rFonts w:cs="Times New Roman"/>
          <w:vertAlign w:val="superscript"/>
        </w:rPr>
        <w:t>3</w:t>
      </w:r>
      <w:r>
        <w:rPr>
          <w:rFonts w:cs="Times New Roman"/>
        </w:rPr>
        <w:t>。</w:t>
      </w:r>
    </w:p>
    <w:p>
      <w:pPr>
        <w:pStyle w:val="68"/>
        <w:rPr>
          <w:rFonts w:cs="Times New Roman"/>
        </w:rPr>
      </w:pPr>
      <w:r>
        <w:rPr>
          <w:rFonts w:cs="Times New Roman"/>
        </w:rPr>
        <w:t>三甲苯属于低毒类，易燃液体。对皮肤、黏膜有刺激作用，对中枢神经系统有麻醉作用，对造血系统有抑制作用。与甲苯、二甲苯和苯相比，其具有更高的MIR值，对光化学烟雾具有更高的贡献。</w:t>
      </w:r>
    </w:p>
    <w:p>
      <w:pPr>
        <w:pStyle w:val="68"/>
        <w:rPr>
          <w:rFonts w:cs="Times New Roman"/>
        </w:rPr>
      </w:pPr>
      <w:r>
        <w:rPr>
          <w:rFonts w:cs="Times New Roman"/>
        </w:rPr>
        <w:t>苯乙烯对眼和上呼吸道粘膜有刺激和麻醉作用。急性中毒：高浓度时，立即引起眼及上呼吸道粘膜的刺激，出现眼痛、流泪、流涕、喷嚏、咽痛、咳嗽等，继之头痛、头晕、恶心、呕吐、全身乏力等；严重者可有眩晕、步态蹒跚。眼部受苯乙烯液体污染时，可致灼伤。慢性影响：常见神经衰弱综合征，有头痛、乏力、恶心、食欲减退、腹胀、忧郁、健忘、指颤等。对呼吸道有刺激作用，长期接触有时引起阻塞性肺部病变。皮肤粗糙、皲裂和增厚。环境危害：对环境有严重危害，对水体、土壤和大气可造成污染。燃爆危险：本品易燃，为可疑致癌物，具刺激性，是国家恶臭污染物排放标准中控制的恶臭类污染物之一。</w:t>
      </w:r>
    </w:p>
    <w:p>
      <w:pPr>
        <w:pStyle w:val="68"/>
        <w:rPr>
          <w:rFonts w:cs="Times New Roman"/>
        </w:rPr>
      </w:pPr>
      <w:r>
        <w:rPr>
          <w:rFonts w:cs="Times New Roman"/>
        </w:rPr>
        <w:t>（2）企业调研结果</w:t>
      </w:r>
    </w:p>
    <w:p>
      <w:pPr>
        <w:pStyle w:val="68"/>
        <w:ind w:firstLine="0" w:firstLineChars="0"/>
        <w:rPr>
          <w:rFonts w:cs="Times New Roman"/>
        </w:rPr>
      </w:pPr>
      <w:r>
        <w:rPr>
          <w:rFonts w:cs="Times New Roman"/>
        </w:rPr>
        <w:drawing>
          <wp:inline distT="0" distB="0" distL="0" distR="0">
            <wp:extent cx="5292090" cy="2743200"/>
            <wp:effectExtent l="0" t="0" r="381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92090" cy="2743200"/>
                    </a:xfrm>
                    <a:prstGeom prst="rect">
                      <a:avLst/>
                    </a:prstGeom>
                    <a:noFill/>
                  </pic:spPr>
                </pic:pic>
              </a:graphicData>
            </a:graphic>
          </wp:inline>
        </w:drawing>
      </w:r>
    </w:p>
    <w:p>
      <w:pPr>
        <w:pStyle w:val="13"/>
        <w:spacing w:before="156" w:beforeLines="50" w:after="156" w:afterLines="50"/>
      </w:pPr>
      <w:r>
        <w:t>图7-2  苯系物的实测浓度分布</w:t>
      </w:r>
    </w:p>
    <w:p>
      <w:pPr>
        <w:pStyle w:val="68"/>
        <w:rPr>
          <w:rFonts w:cs="Times New Roman"/>
        </w:rPr>
      </w:pPr>
      <w:r>
        <w:rPr>
          <w:rFonts w:cs="Times New Roman"/>
        </w:rPr>
        <w:t>在工业企业实测中，分别测定苯、甲苯、二甲苯、三甲苯、乙苯和苯乙烯，并将其质量浓度加和得到苯系物。图7-2所示为实测企业苯系物浓度分布。苯系物实测浓度范围为0.02 mg/m</w:t>
      </w:r>
      <w:r>
        <w:rPr>
          <w:rFonts w:cs="Times New Roman"/>
          <w:vertAlign w:val="superscript"/>
        </w:rPr>
        <w:t>3</w:t>
      </w:r>
      <w:r>
        <w:rPr>
          <w:rFonts w:cs="Times New Roman"/>
        </w:rPr>
        <w:t>~323.7 mg/m</w:t>
      </w:r>
      <w:r>
        <w:rPr>
          <w:rFonts w:cs="Times New Roman"/>
          <w:vertAlign w:val="superscript"/>
        </w:rPr>
        <w:t>3</w:t>
      </w:r>
      <w:r>
        <w:rPr>
          <w:rFonts w:cs="Times New Roman"/>
        </w:rPr>
        <w:t>，实测企业苯系物浓度的第60百分位数为5.0mg/m</w:t>
      </w:r>
      <w:r>
        <w:rPr>
          <w:rFonts w:cs="Times New Roman"/>
          <w:vertAlign w:val="superscript"/>
        </w:rPr>
        <w:t>3</w:t>
      </w:r>
      <w:r>
        <w:rPr>
          <w:rFonts w:cs="Times New Roman"/>
        </w:rPr>
        <w:t>，第80百分位数为24.2 mg/m</w:t>
      </w:r>
      <w:r>
        <w:rPr>
          <w:rFonts w:cs="Times New Roman"/>
          <w:vertAlign w:val="superscript"/>
        </w:rPr>
        <w:t>3</w:t>
      </w:r>
      <w:r>
        <w:rPr>
          <w:rFonts w:cs="Times New Roman"/>
        </w:rPr>
        <w:t>。有66.8%的实测企业苯系物排放浓度小于10 mg/m</w:t>
      </w:r>
      <w:r>
        <w:rPr>
          <w:rFonts w:cs="Times New Roman"/>
          <w:vertAlign w:val="superscript"/>
        </w:rPr>
        <w:t>3</w:t>
      </w:r>
      <w:r>
        <w:rPr>
          <w:rFonts w:cs="Times New Roman"/>
        </w:rPr>
        <w:t>，有24.3%的实测企业苯系物浓度超过20 mg/m</w:t>
      </w:r>
      <w:r>
        <w:rPr>
          <w:rFonts w:cs="Times New Roman"/>
          <w:vertAlign w:val="superscript"/>
        </w:rPr>
        <w:t>3</w:t>
      </w:r>
      <w:r>
        <w:rPr>
          <w:rFonts w:cs="Times New Roman"/>
        </w:rPr>
        <w:t>，17.4%的实测企业苯系物浓度超过30 mg/m</w:t>
      </w:r>
      <w:r>
        <w:rPr>
          <w:rFonts w:cs="Times New Roman"/>
          <w:vertAlign w:val="superscript"/>
        </w:rPr>
        <w:t>3</w:t>
      </w:r>
      <w:r>
        <w:rPr>
          <w:rFonts w:cs="Times New Roman"/>
        </w:rPr>
        <w:t>，12.0%的企业苯系物浓度超过40 mg/m</w:t>
      </w:r>
      <w:r>
        <w:rPr>
          <w:rFonts w:cs="Times New Roman"/>
          <w:vertAlign w:val="superscript"/>
        </w:rPr>
        <w:t>3</w:t>
      </w:r>
      <w:r>
        <w:rPr>
          <w:rFonts w:cs="Times New Roman"/>
        </w:rPr>
        <w:t>。有3.8</w:t>
      </w:r>
      <w:r>
        <w:rPr>
          <w:rFonts w:hint="eastAsia" w:cs="Times New Roman"/>
        </w:rPr>
        <w:t>%</w:t>
      </w:r>
      <w:r>
        <w:rPr>
          <w:rFonts w:cs="Times New Roman"/>
        </w:rPr>
        <w:t>实测企业浓度超过100 mg/m</w:t>
      </w:r>
      <w:r>
        <w:rPr>
          <w:rFonts w:cs="Times New Roman"/>
          <w:vertAlign w:val="superscript"/>
        </w:rPr>
        <w:t>3</w:t>
      </w:r>
      <w:r>
        <w:rPr>
          <w:rFonts w:cs="Times New Roman"/>
        </w:rPr>
        <w:t>，1.2</w:t>
      </w:r>
      <w:r>
        <w:rPr>
          <w:rFonts w:hint="eastAsia" w:cs="Times New Roman"/>
        </w:rPr>
        <w:t>%</w:t>
      </w:r>
      <w:r>
        <w:rPr>
          <w:rFonts w:cs="Times New Roman"/>
        </w:rPr>
        <w:t>企业实测浓度超过200 mg/m</w:t>
      </w:r>
      <w:r>
        <w:rPr>
          <w:rFonts w:cs="Times New Roman"/>
          <w:vertAlign w:val="superscript"/>
        </w:rPr>
        <w:t>3</w:t>
      </w:r>
      <w:r>
        <w:rPr>
          <w:rFonts w:cs="Times New Roman"/>
        </w:rPr>
        <w:t>。排放浓度较高的多为末端处理设施运行管理水平差或无末端治理设施的企业。</w:t>
      </w:r>
    </w:p>
    <w:p>
      <w:pPr>
        <w:pStyle w:val="68"/>
        <w:rPr>
          <w:rFonts w:cs="Times New Roman"/>
        </w:rPr>
      </w:pPr>
      <w:r>
        <w:rPr>
          <w:rFonts w:cs="Times New Roman"/>
        </w:rPr>
        <w:t>（3）排放限值的确定</w:t>
      </w:r>
    </w:p>
    <w:p>
      <w:pPr>
        <w:pStyle w:val="68"/>
        <w:rPr>
          <w:rFonts w:cs="Times New Roman"/>
        </w:rPr>
      </w:pPr>
      <w:r>
        <w:rPr>
          <w:rFonts w:hint="eastAsia" w:cs="Times New Roman"/>
        </w:rPr>
        <w:t>上海市和江苏省（除船舶制造预处理及室内涂装工艺）的</w:t>
      </w:r>
      <w:r>
        <w:rPr>
          <w:rFonts w:cs="Times New Roman"/>
        </w:rPr>
        <w:t>大气污染物综合排放标准规定</w:t>
      </w:r>
      <w:r>
        <w:rPr>
          <w:rFonts w:hint="eastAsia" w:cs="Times New Roman"/>
        </w:rPr>
        <w:t>了</w:t>
      </w:r>
      <w:r>
        <w:rPr>
          <w:rFonts w:cs="Times New Roman"/>
        </w:rPr>
        <w:t>苯系物</w:t>
      </w:r>
      <w:r>
        <w:rPr>
          <w:rFonts w:hint="eastAsia" w:cs="Times New Roman"/>
        </w:rPr>
        <w:t>的</w:t>
      </w:r>
      <w:r>
        <w:rPr>
          <w:rFonts w:cs="Times New Roman"/>
        </w:rPr>
        <w:t>浓度限值</w:t>
      </w:r>
      <w:r>
        <w:rPr>
          <w:rFonts w:hint="eastAsia" w:cs="Times New Roman"/>
        </w:rPr>
        <w:t>，分别</w:t>
      </w:r>
      <w:r>
        <w:rPr>
          <w:rFonts w:cs="Times New Roman"/>
        </w:rPr>
        <w:t>为40 mg/m</w:t>
      </w:r>
      <w:r>
        <w:rPr>
          <w:rFonts w:cs="Times New Roman"/>
          <w:vertAlign w:val="superscript"/>
        </w:rPr>
        <w:t>3</w:t>
      </w:r>
      <w:r>
        <w:rPr>
          <w:rFonts w:hint="eastAsia" w:cs="Times New Roman"/>
        </w:rPr>
        <w:t>和2</w:t>
      </w:r>
      <w:r>
        <w:rPr>
          <w:rFonts w:cs="Times New Roman"/>
        </w:rPr>
        <w:t>5 mg/m</w:t>
      </w:r>
      <w:r>
        <w:rPr>
          <w:rFonts w:cs="Times New Roman"/>
          <w:vertAlign w:val="superscript"/>
        </w:rPr>
        <w:t>3</w:t>
      </w:r>
      <w:r>
        <w:rPr>
          <w:rFonts w:hint="eastAsia" w:cs="Times New Roman"/>
        </w:rPr>
        <w:t>（表7-</w:t>
      </w:r>
      <w:r>
        <w:rPr>
          <w:rFonts w:cs="Times New Roman"/>
        </w:rPr>
        <w:t>7</w:t>
      </w:r>
      <w:r>
        <w:rPr>
          <w:rFonts w:hint="eastAsia" w:cs="Times New Roman"/>
        </w:rPr>
        <w:t>）</w:t>
      </w:r>
      <w:r>
        <w:rPr>
          <w:rFonts w:cs="Times New Roman"/>
        </w:rPr>
        <w:t>。在行业层面，有苯系物排放限值的行业有工业涂装、医药制造、制鞋工业、电子工业、纺织印染、汽车维修业、船舶工业、铝型材行业，除重庆市规定企业维修业在城市建成区和其他区域</w:t>
      </w:r>
      <w:r>
        <w:rPr>
          <w:rFonts w:hint="eastAsia" w:cs="Times New Roman"/>
        </w:rPr>
        <w:t>苯系物</w:t>
      </w:r>
      <w:r>
        <w:rPr>
          <w:rFonts w:cs="Times New Roman"/>
        </w:rPr>
        <w:t>的排放限值分别为45 mg/m</w:t>
      </w:r>
      <w:r>
        <w:rPr>
          <w:rFonts w:cs="Times New Roman"/>
          <w:vertAlign w:val="superscript"/>
        </w:rPr>
        <w:t>3</w:t>
      </w:r>
      <w:r>
        <w:rPr>
          <w:rFonts w:cs="Times New Roman"/>
        </w:rPr>
        <w:t>和50 mg/m</w:t>
      </w:r>
      <w:r>
        <w:rPr>
          <w:rFonts w:cs="Times New Roman"/>
          <w:vertAlign w:val="superscript"/>
        </w:rPr>
        <w:t>3</w:t>
      </w:r>
      <w:r>
        <w:rPr>
          <w:rFonts w:cs="Times New Roman"/>
        </w:rPr>
        <w:t>外，其他省市苯系物排放限值均≤40 mg/m</w:t>
      </w:r>
      <w:r>
        <w:rPr>
          <w:rFonts w:cs="Times New Roman"/>
          <w:vertAlign w:val="superscript"/>
        </w:rPr>
        <w:t>3</w:t>
      </w:r>
      <w:r>
        <w:rPr>
          <w:rFonts w:cs="Times New Roman"/>
        </w:rPr>
        <w:t>。根据企业实际监测，甲苯监测结果的浓度范围为ND~24.21 mg/m</w:t>
      </w:r>
      <w:r>
        <w:rPr>
          <w:rFonts w:cs="Times New Roman"/>
          <w:vertAlign w:val="superscript"/>
        </w:rPr>
        <w:t>3</w:t>
      </w:r>
      <w:r>
        <w:rPr>
          <w:rFonts w:cs="Times New Roman"/>
        </w:rPr>
        <w:t>、二甲苯监测结果的浓度范围为ND~11.2 mg/m</w:t>
      </w:r>
      <w:r>
        <w:rPr>
          <w:rFonts w:cs="Times New Roman"/>
          <w:vertAlign w:val="superscript"/>
        </w:rPr>
        <w:t>3</w:t>
      </w:r>
      <w:r>
        <w:rPr>
          <w:rFonts w:cs="Times New Roman"/>
        </w:rPr>
        <w:t>，甲苯+二甲苯占苯系物总量的比例约为27%~86%（平均为56%），美国speciate提供的平均比例为86%，因此综合考虑苯系物的排放浓度</w:t>
      </w:r>
      <w:r>
        <w:rPr>
          <w:rFonts w:hint="eastAsia" w:cs="Times New Roman"/>
        </w:rPr>
        <w:t>与</w:t>
      </w:r>
      <w:r>
        <w:rPr>
          <w:rFonts w:cs="Times New Roman"/>
        </w:rPr>
        <w:t>甲苯+二甲苯的</w:t>
      </w:r>
      <w:r>
        <w:rPr>
          <w:rFonts w:hint="eastAsia" w:cs="Times New Roman"/>
        </w:rPr>
        <w:t>比例</w:t>
      </w:r>
      <w:r>
        <w:rPr>
          <w:rFonts w:cs="Times New Roman"/>
        </w:rPr>
        <w:t>，</w:t>
      </w:r>
      <w:r>
        <w:rPr>
          <w:rFonts w:hint="eastAsia" w:cs="Times New Roman"/>
        </w:rPr>
        <w:t>以及国内相关排放标准，</w:t>
      </w:r>
      <w:r>
        <w:rPr>
          <w:rFonts w:cs="Times New Roman"/>
        </w:rPr>
        <w:t>确定本标准</w:t>
      </w:r>
      <w:r>
        <w:rPr>
          <w:rFonts w:hint="eastAsia" w:cs="Times New Roman"/>
        </w:rPr>
        <w:t>苯系物</w:t>
      </w:r>
      <w:r>
        <w:rPr>
          <w:rFonts w:cs="Times New Roman"/>
        </w:rPr>
        <w:t>排放限值为40 mg/m</w:t>
      </w:r>
      <w:r>
        <w:rPr>
          <w:rFonts w:cs="Times New Roman"/>
          <w:vertAlign w:val="superscript"/>
        </w:rPr>
        <w:t>3</w:t>
      </w:r>
      <w:r>
        <w:rPr>
          <w:rFonts w:cs="Times New Roman"/>
        </w:rPr>
        <w:t>。</w:t>
      </w:r>
    </w:p>
    <w:p>
      <w:pPr>
        <w:pStyle w:val="13"/>
        <w:spacing w:before="156" w:beforeLines="50" w:after="156" w:afterLines="50"/>
      </w:pPr>
      <w:r>
        <w:t>表7-7  国内外相关标准苯系物的有组织排放限值</w:t>
      </w:r>
    </w:p>
    <w:tbl>
      <w:tblPr>
        <w:tblStyle w:val="34"/>
        <w:tblW w:w="5000" w:type="pct"/>
        <w:tblInd w:w="0" w:type="dxa"/>
        <w:tblLayout w:type="fixed"/>
        <w:tblCellMar>
          <w:top w:w="0" w:type="dxa"/>
          <w:left w:w="0" w:type="dxa"/>
          <w:bottom w:w="0" w:type="dxa"/>
          <w:right w:w="0" w:type="dxa"/>
        </w:tblCellMar>
      </w:tblPr>
      <w:tblGrid>
        <w:gridCol w:w="848"/>
        <w:gridCol w:w="707"/>
        <w:gridCol w:w="3272"/>
        <w:gridCol w:w="1632"/>
        <w:gridCol w:w="1032"/>
        <w:gridCol w:w="825"/>
      </w:tblGrid>
      <w:tr>
        <w:tblPrEx>
          <w:tblCellMar>
            <w:top w:w="0" w:type="dxa"/>
            <w:left w:w="0" w:type="dxa"/>
            <w:bottom w:w="0" w:type="dxa"/>
            <w:right w:w="0" w:type="dxa"/>
          </w:tblCellMar>
        </w:tblPrEx>
        <w:trPr>
          <w:trHeight w:val="597" w:hRule="atLeast"/>
          <w:tblHeader/>
        </w:trPr>
        <w:tc>
          <w:tcPr>
            <w:tcW w:w="5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b/>
                <w:color w:val="000000"/>
                <w:kern w:val="0"/>
                <w:sz w:val="18"/>
                <w:szCs w:val="18"/>
              </w:rPr>
            </w:pPr>
            <w:r>
              <w:rPr>
                <w:rFonts w:ascii="Times New Roman" w:hAnsi="Times New Roman"/>
                <w:b/>
                <w:color w:val="000000"/>
                <w:kern w:val="0"/>
                <w:sz w:val="18"/>
                <w:szCs w:val="18"/>
              </w:rPr>
              <w:t>行业类别</w:t>
            </w:r>
          </w:p>
        </w:tc>
        <w:tc>
          <w:tcPr>
            <w:tcW w:w="425" w:type="pct"/>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b/>
                <w:color w:val="000000"/>
                <w:kern w:val="0"/>
                <w:sz w:val="18"/>
                <w:szCs w:val="18"/>
              </w:rPr>
            </w:pPr>
            <w:r>
              <w:rPr>
                <w:rFonts w:ascii="Times New Roman" w:hAnsi="Times New Roman"/>
                <w:b/>
                <w:color w:val="000000"/>
                <w:kern w:val="0"/>
                <w:sz w:val="18"/>
                <w:szCs w:val="18"/>
              </w:rPr>
              <w:t>国家/省市</w:t>
            </w:r>
          </w:p>
        </w:tc>
        <w:tc>
          <w:tcPr>
            <w:tcW w:w="1967" w:type="pct"/>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b/>
                <w:color w:val="000000"/>
                <w:kern w:val="0"/>
                <w:sz w:val="18"/>
                <w:szCs w:val="18"/>
              </w:rPr>
            </w:pPr>
            <w:r>
              <w:rPr>
                <w:rFonts w:ascii="Times New Roman" w:hAnsi="Times New Roman"/>
                <w:b/>
                <w:color w:val="000000"/>
                <w:kern w:val="0"/>
                <w:sz w:val="18"/>
                <w:szCs w:val="18"/>
              </w:rPr>
              <w:t>标准名称</w:t>
            </w:r>
          </w:p>
        </w:tc>
        <w:tc>
          <w:tcPr>
            <w:tcW w:w="981" w:type="pct"/>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b/>
                <w:color w:val="000000"/>
                <w:kern w:val="0"/>
                <w:sz w:val="18"/>
                <w:szCs w:val="18"/>
              </w:rPr>
            </w:pPr>
            <w:r>
              <w:rPr>
                <w:rFonts w:ascii="Times New Roman" w:hAnsi="Times New Roman"/>
                <w:b/>
                <w:color w:val="000000"/>
                <w:kern w:val="0"/>
                <w:sz w:val="18"/>
                <w:szCs w:val="18"/>
              </w:rPr>
              <w:t>标准号</w:t>
            </w:r>
          </w:p>
        </w:tc>
        <w:tc>
          <w:tcPr>
            <w:tcW w:w="621" w:type="pct"/>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b/>
                <w:color w:val="000000"/>
                <w:kern w:val="0"/>
                <w:sz w:val="18"/>
                <w:szCs w:val="18"/>
              </w:rPr>
            </w:pPr>
            <w:r>
              <w:rPr>
                <w:rFonts w:ascii="Times New Roman" w:hAnsi="Times New Roman"/>
                <w:b/>
                <w:color w:val="000000"/>
                <w:kern w:val="0"/>
                <w:sz w:val="18"/>
                <w:szCs w:val="18"/>
              </w:rPr>
              <w:t>分类</w:t>
            </w:r>
          </w:p>
        </w:tc>
        <w:tc>
          <w:tcPr>
            <w:tcW w:w="496" w:type="pct"/>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b/>
                <w:color w:val="000000"/>
                <w:kern w:val="0"/>
                <w:sz w:val="18"/>
                <w:szCs w:val="18"/>
              </w:rPr>
            </w:pPr>
            <w:r>
              <w:rPr>
                <w:rFonts w:ascii="Times New Roman" w:hAnsi="Times New Roman"/>
                <w:b/>
                <w:color w:val="000000"/>
                <w:kern w:val="0"/>
                <w:sz w:val="18"/>
                <w:szCs w:val="18"/>
              </w:rPr>
              <w:t>有组织排放限值（mg/m</w:t>
            </w:r>
            <w:r>
              <w:rPr>
                <w:rFonts w:ascii="Times New Roman" w:hAnsi="Times New Roman"/>
                <w:b/>
                <w:color w:val="000000"/>
                <w:kern w:val="0"/>
                <w:sz w:val="18"/>
                <w:szCs w:val="18"/>
                <w:vertAlign w:val="superscript"/>
              </w:rPr>
              <w:t>3</w:t>
            </w:r>
            <w:r>
              <w:rPr>
                <w:rFonts w:ascii="Times New Roman" w:hAnsi="Times New Roman"/>
                <w:b/>
                <w:color w:val="000000"/>
                <w:kern w:val="0"/>
                <w:sz w:val="18"/>
                <w:szCs w:val="18"/>
              </w:rPr>
              <w:t>）</w:t>
            </w:r>
          </w:p>
        </w:tc>
      </w:tr>
      <w:tr>
        <w:tblPrEx>
          <w:tblCellMar>
            <w:top w:w="0" w:type="dxa"/>
            <w:left w:w="0" w:type="dxa"/>
            <w:bottom w:w="0" w:type="dxa"/>
            <w:right w:w="0" w:type="dxa"/>
          </w:tblCellMar>
        </w:tblPrEx>
        <w:trPr>
          <w:trHeight w:val="285" w:hRule="atLeast"/>
        </w:trPr>
        <w:tc>
          <w:tcPr>
            <w:tcW w:w="510" w:type="pct"/>
            <w:vMerge w:val="restart"/>
            <w:tcBorders>
              <w:top w:val="nil"/>
              <w:left w:val="single" w:color="auto" w:sz="4" w:space="0"/>
              <w:right w:val="single" w:color="auto" w:sz="4" w:space="0"/>
            </w:tcBorders>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大气综合标准</w:t>
            </w:r>
          </w:p>
        </w:tc>
        <w:tc>
          <w:tcPr>
            <w:tcW w:w="425"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上海</w:t>
            </w:r>
          </w:p>
        </w:tc>
        <w:tc>
          <w:tcPr>
            <w:tcW w:w="1967" w:type="pct"/>
            <w:tcBorders>
              <w:top w:val="nil"/>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大气污染物综合排放标准</w:t>
            </w:r>
          </w:p>
        </w:tc>
        <w:tc>
          <w:tcPr>
            <w:tcW w:w="98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DB31/933—2015</w:t>
            </w:r>
          </w:p>
        </w:tc>
        <w:tc>
          <w:tcPr>
            <w:tcW w:w="62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49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40</w:t>
            </w:r>
          </w:p>
        </w:tc>
      </w:tr>
      <w:tr>
        <w:tblPrEx>
          <w:tblCellMar>
            <w:top w:w="0" w:type="dxa"/>
            <w:left w:w="0" w:type="dxa"/>
            <w:bottom w:w="0" w:type="dxa"/>
            <w:right w:w="0" w:type="dxa"/>
          </w:tblCellMar>
        </w:tblPrEx>
        <w:trPr>
          <w:trHeight w:val="285" w:hRule="atLeast"/>
        </w:trPr>
        <w:tc>
          <w:tcPr>
            <w:tcW w:w="510" w:type="pct"/>
            <w:vMerge w:val="continue"/>
            <w:tcBorders>
              <w:left w:val="single" w:color="auto"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5" w:type="pct"/>
            <w:vMerge w:val="restart"/>
            <w:tcBorders>
              <w:top w:val="nil"/>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江苏</w:t>
            </w:r>
          </w:p>
        </w:tc>
        <w:tc>
          <w:tcPr>
            <w:tcW w:w="1967"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大气污染物综合排放标准</w:t>
            </w:r>
          </w:p>
        </w:tc>
        <w:tc>
          <w:tcPr>
            <w:tcW w:w="981" w:type="pct"/>
            <w:vMerge w:val="restart"/>
            <w:tcBorders>
              <w:top w:val="nil"/>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DB 32</w:t>
            </w:r>
            <w:r>
              <w:rPr>
                <w:rFonts w:hint="eastAsia" w:ascii="Times New Roman" w:hAnsi="Times New Roman"/>
                <w:color w:val="000000"/>
                <w:kern w:val="0"/>
                <w:sz w:val="18"/>
                <w:szCs w:val="18"/>
              </w:rPr>
              <w:t>/</w:t>
            </w:r>
            <w:r>
              <w:rPr>
                <w:rFonts w:ascii="Times New Roman" w:hAnsi="Times New Roman"/>
                <w:color w:val="000000"/>
                <w:kern w:val="0"/>
                <w:sz w:val="18"/>
                <w:szCs w:val="18"/>
              </w:rPr>
              <w:t>4041-2021</w:t>
            </w:r>
          </w:p>
        </w:tc>
        <w:tc>
          <w:tcPr>
            <w:tcW w:w="62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hint="eastAsia" w:ascii="Times New Roman" w:hAnsi="Times New Roman"/>
                <w:color w:val="000000"/>
                <w:kern w:val="0"/>
                <w:sz w:val="18"/>
                <w:szCs w:val="18"/>
              </w:rPr>
            </w:pPr>
            <w:r>
              <w:rPr>
                <w:rFonts w:hint="eastAsia" w:ascii="Times New Roman" w:hAnsi="Times New Roman"/>
                <w:color w:val="000000"/>
                <w:kern w:val="0"/>
                <w:sz w:val="18"/>
                <w:szCs w:val="18"/>
              </w:rPr>
              <w:t>船舶制造预处理及室内涂装工艺</w:t>
            </w:r>
          </w:p>
        </w:tc>
        <w:tc>
          <w:tcPr>
            <w:tcW w:w="49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40</w:t>
            </w:r>
          </w:p>
        </w:tc>
      </w:tr>
      <w:tr>
        <w:tblPrEx>
          <w:tblCellMar>
            <w:top w:w="0" w:type="dxa"/>
            <w:left w:w="0" w:type="dxa"/>
            <w:bottom w:w="0" w:type="dxa"/>
            <w:right w:w="0" w:type="dxa"/>
          </w:tblCellMar>
        </w:tblPrEx>
        <w:trPr>
          <w:trHeight w:val="285" w:hRule="atLeast"/>
        </w:trPr>
        <w:tc>
          <w:tcPr>
            <w:tcW w:w="510" w:type="pct"/>
            <w:vMerge w:val="continue"/>
            <w:tcBorders>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425"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1967"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981"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62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其他</w:t>
            </w:r>
          </w:p>
        </w:tc>
        <w:tc>
          <w:tcPr>
            <w:tcW w:w="49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2</w:t>
            </w:r>
            <w:r>
              <w:rPr>
                <w:rFonts w:ascii="Times New Roman" w:hAnsi="Times New Roman"/>
                <w:color w:val="000000"/>
                <w:kern w:val="0"/>
                <w:sz w:val="18"/>
                <w:szCs w:val="18"/>
              </w:rPr>
              <w:t>5</w:t>
            </w:r>
          </w:p>
        </w:tc>
      </w:tr>
      <w:tr>
        <w:trPr>
          <w:trHeight w:val="285" w:hRule="atLeast"/>
        </w:trPr>
        <w:tc>
          <w:tcPr>
            <w:tcW w:w="51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工业涂装工序</w:t>
            </w:r>
          </w:p>
        </w:tc>
        <w:tc>
          <w:tcPr>
            <w:tcW w:w="425"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北京</w:t>
            </w:r>
          </w:p>
        </w:tc>
        <w:tc>
          <w:tcPr>
            <w:tcW w:w="1967" w:type="pct"/>
            <w:tcBorders>
              <w:top w:val="nil"/>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工业涂装工序挥发性有机物排放标准</w:t>
            </w:r>
          </w:p>
        </w:tc>
        <w:tc>
          <w:tcPr>
            <w:tcW w:w="98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DB11/ 1226-2015</w:t>
            </w:r>
          </w:p>
        </w:tc>
        <w:tc>
          <w:tcPr>
            <w:tcW w:w="62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49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40</w:t>
            </w:r>
          </w:p>
        </w:tc>
      </w:tr>
      <w:tr>
        <w:tblPrEx>
          <w:tblCellMar>
            <w:top w:w="0" w:type="dxa"/>
            <w:left w:w="0" w:type="dxa"/>
            <w:bottom w:w="0" w:type="dxa"/>
            <w:right w:w="0" w:type="dxa"/>
          </w:tblCellMar>
        </w:tblPrEx>
        <w:trPr>
          <w:trHeight w:val="285" w:hRule="atLeast"/>
        </w:trPr>
        <w:tc>
          <w:tcPr>
            <w:tcW w:w="510"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5" w:type="pct"/>
            <w:vMerge w:val="restart"/>
            <w:tcBorders>
              <w:top w:val="nil"/>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浙江</w:t>
            </w:r>
          </w:p>
        </w:tc>
        <w:tc>
          <w:tcPr>
            <w:tcW w:w="1967"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工业涂装工序大气污染物排放标准</w:t>
            </w:r>
          </w:p>
        </w:tc>
        <w:tc>
          <w:tcPr>
            <w:tcW w:w="981" w:type="pct"/>
            <w:vMerge w:val="restart"/>
            <w:tcBorders>
              <w:top w:val="nil"/>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DB 33 2146-2018</w:t>
            </w:r>
          </w:p>
        </w:tc>
        <w:tc>
          <w:tcPr>
            <w:tcW w:w="62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排放限值</w:t>
            </w:r>
          </w:p>
        </w:tc>
        <w:tc>
          <w:tcPr>
            <w:tcW w:w="49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40</w:t>
            </w:r>
          </w:p>
        </w:tc>
      </w:tr>
      <w:tr>
        <w:tblPrEx>
          <w:tblCellMar>
            <w:top w:w="0" w:type="dxa"/>
            <w:left w:w="0" w:type="dxa"/>
            <w:bottom w:w="0" w:type="dxa"/>
            <w:right w:w="0" w:type="dxa"/>
          </w:tblCellMar>
        </w:tblPrEx>
        <w:trPr>
          <w:trHeight w:val="285" w:hRule="atLeast"/>
        </w:trPr>
        <w:tc>
          <w:tcPr>
            <w:tcW w:w="510"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5"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1967"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981"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62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特别排放限值</w:t>
            </w:r>
          </w:p>
        </w:tc>
        <w:tc>
          <w:tcPr>
            <w:tcW w:w="49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20</w:t>
            </w:r>
          </w:p>
        </w:tc>
      </w:tr>
      <w:tr>
        <w:tblPrEx>
          <w:tblCellMar>
            <w:top w:w="0" w:type="dxa"/>
            <w:left w:w="0" w:type="dxa"/>
            <w:bottom w:w="0" w:type="dxa"/>
            <w:right w:w="0" w:type="dxa"/>
          </w:tblCellMar>
        </w:tblPrEx>
        <w:trPr>
          <w:trHeight w:val="285" w:hRule="atLeast"/>
        </w:trPr>
        <w:tc>
          <w:tcPr>
            <w:tcW w:w="510"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5"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福建</w:t>
            </w:r>
          </w:p>
        </w:tc>
        <w:tc>
          <w:tcPr>
            <w:tcW w:w="1967" w:type="pct"/>
            <w:tcBorders>
              <w:top w:val="nil"/>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工业涂装工序挥发性有机物排放标准</w:t>
            </w:r>
          </w:p>
        </w:tc>
        <w:tc>
          <w:tcPr>
            <w:tcW w:w="98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DB35/1782—2018</w:t>
            </w:r>
          </w:p>
        </w:tc>
        <w:tc>
          <w:tcPr>
            <w:tcW w:w="62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49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30</w:t>
            </w:r>
          </w:p>
        </w:tc>
      </w:tr>
      <w:tr>
        <w:tblPrEx>
          <w:tblCellMar>
            <w:top w:w="0" w:type="dxa"/>
            <w:left w:w="0" w:type="dxa"/>
            <w:bottom w:w="0" w:type="dxa"/>
            <w:right w:w="0" w:type="dxa"/>
          </w:tblCellMar>
        </w:tblPrEx>
        <w:trPr>
          <w:trHeight w:val="285" w:hRule="atLeast"/>
        </w:trPr>
        <w:tc>
          <w:tcPr>
            <w:tcW w:w="51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医药制造业</w:t>
            </w:r>
          </w:p>
        </w:tc>
        <w:tc>
          <w:tcPr>
            <w:tcW w:w="425" w:type="pct"/>
            <w:vMerge w:val="restart"/>
            <w:tcBorders>
              <w:top w:val="nil"/>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浙江</w:t>
            </w:r>
          </w:p>
        </w:tc>
        <w:tc>
          <w:tcPr>
            <w:tcW w:w="1967"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化学合成类制药工业大气污染物排放标准</w:t>
            </w:r>
          </w:p>
        </w:tc>
        <w:tc>
          <w:tcPr>
            <w:tcW w:w="981" w:type="pct"/>
            <w:vMerge w:val="restart"/>
            <w:tcBorders>
              <w:top w:val="nil"/>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DB 33 2015</w:t>
            </w:r>
          </w:p>
        </w:tc>
        <w:tc>
          <w:tcPr>
            <w:tcW w:w="62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排放限值</w:t>
            </w:r>
          </w:p>
        </w:tc>
        <w:tc>
          <w:tcPr>
            <w:tcW w:w="49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30</w:t>
            </w:r>
          </w:p>
        </w:tc>
      </w:tr>
      <w:tr>
        <w:trPr>
          <w:trHeight w:val="285" w:hRule="atLeast"/>
        </w:trPr>
        <w:tc>
          <w:tcPr>
            <w:tcW w:w="510"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5"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1967"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981"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62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特别排放限值</w:t>
            </w:r>
          </w:p>
        </w:tc>
        <w:tc>
          <w:tcPr>
            <w:tcW w:w="49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20</w:t>
            </w:r>
          </w:p>
        </w:tc>
      </w:tr>
      <w:tr>
        <w:tblPrEx>
          <w:tblCellMar>
            <w:top w:w="0" w:type="dxa"/>
            <w:left w:w="0" w:type="dxa"/>
            <w:bottom w:w="0" w:type="dxa"/>
            <w:right w:w="0" w:type="dxa"/>
          </w:tblCellMar>
        </w:tblPrEx>
        <w:trPr>
          <w:trHeight w:val="285" w:hRule="atLeast"/>
        </w:trPr>
        <w:tc>
          <w:tcPr>
            <w:tcW w:w="51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制鞋工业</w:t>
            </w:r>
          </w:p>
        </w:tc>
        <w:tc>
          <w:tcPr>
            <w:tcW w:w="425" w:type="pct"/>
            <w:vMerge w:val="restart"/>
            <w:tcBorders>
              <w:top w:val="nil"/>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浙江</w:t>
            </w:r>
          </w:p>
        </w:tc>
        <w:tc>
          <w:tcPr>
            <w:tcW w:w="1967"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制鞋工业大气污染排放标准</w:t>
            </w:r>
          </w:p>
        </w:tc>
        <w:tc>
          <w:tcPr>
            <w:tcW w:w="981" w:type="pct"/>
            <w:vMerge w:val="restart"/>
            <w:tcBorders>
              <w:top w:val="nil"/>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DB33 2046—2017</w:t>
            </w:r>
          </w:p>
        </w:tc>
        <w:tc>
          <w:tcPr>
            <w:tcW w:w="62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第I时段</w:t>
            </w:r>
          </w:p>
        </w:tc>
        <w:tc>
          <w:tcPr>
            <w:tcW w:w="49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20</w:t>
            </w:r>
          </w:p>
        </w:tc>
      </w:tr>
      <w:tr>
        <w:tblPrEx>
          <w:tblCellMar>
            <w:top w:w="0" w:type="dxa"/>
            <w:left w:w="0" w:type="dxa"/>
            <w:bottom w:w="0" w:type="dxa"/>
            <w:right w:w="0" w:type="dxa"/>
          </w:tblCellMar>
        </w:tblPrEx>
        <w:trPr>
          <w:trHeight w:val="285" w:hRule="atLeast"/>
        </w:trPr>
        <w:tc>
          <w:tcPr>
            <w:tcW w:w="510"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5"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1967"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981"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62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第II时段</w:t>
            </w:r>
          </w:p>
        </w:tc>
        <w:tc>
          <w:tcPr>
            <w:tcW w:w="49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15</w:t>
            </w:r>
          </w:p>
        </w:tc>
      </w:tr>
      <w:tr>
        <w:tblPrEx>
          <w:tblCellMar>
            <w:top w:w="0" w:type="dxa"/>
            <w:left w:w="0" w:type="dxa"/>
            <w:bottom w:w="0" w:type="dxa"/>
            <w:right w:w="0" w:type="dxa"/>
          </w:tblCellMar>
        </w:tblPrEx>
        <w:trPr>
          <w:trHeight w:val="285" w:hRule="atLeast"/>
        </w:trPr>
        <w:tc>
          <w:tcPr>
            <w:tcW w:w="51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电子工业</w:t>
            </w:r>
          </w:p>
        </w:tc>
        <w:tc>
          <w:tcPr>
            <w:tcW w:w="425" w:type="pct"/>
            <w:vMerge w:val="restart"/>
            <w:tcBorders>
              <w:top w:val="nil"/>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广东</w:t>
            </w:r>
          </w:p>
        </w:tc>
        <w:tc>
          <w:tcPr>
            <w:tcW w:w="1967"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电子工业挥发性有机物排放标准</w:t>
            </w:r>
          </w:p>
        </w:tc>
        <w:tc>
          <w:tcPr>
            <w:tcW w:w="981" w:type="pct"/>
            <w:vMerge w:val="restart"/>
            <w:tcBorders>
              <w:top w:val="nil"/>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征求意见稿</w:t>
            </w:r>
          </w:p>
        </w:tc>
        <w:tc>
          <w:tcPr>
            <w:tcW w:w="62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第I时段</w:t>
            </w:r>
          </w:p>
        </w:tc>
        <w:tc>
          <w:tcPr>
            <w:tcW w:w="49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30</w:t>
            </w:r>
          </w:p>
        </w:tc>
      </w:tr>
      <w:tr>
        <w:tblPrEx>
          <w:tblCellMar>
            <w:top w:w="0" w:type="dxa"/>
            <w:left w:w="0" w:type="dxa"/>
            <w:bottom w:w="0" w:type="dxa"/>
            <w:right w:w="0" w:type="dxa"/>
          </w:tblCellMar>
        </w:tblPrEx>
        <w:trPr>
          <w:trHeight w:val="285" w:hRule="atLeast"/>
        </w:trPr>
        <w:tc>
          <w:tcPr>
            <w:tcW w:w="510"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5"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1967"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981"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62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第II时段</w:t>
            </w:r>
          </w:p>
        </w:tc>
        <w:tc>
          <w:tcPr>
            <w:tcW w:w="49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15</w:t>
            </w:r>
          </w:p>
        </w:tc>
      </w:tr>
      <w:tr>
        <w:trPr>
          <w:trHeight w:val="285" w:hRule="atLeast"/>
        </w:trPr>
        <w:tc>
          <w:tcPr>
            <w:tcW w:w="51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纺织印染</w:t>
            </w:r>
          </w:p>
        </w:tc>
        <w:tc>
          <w:tcPr>
            <w:tcW w:w="425" w:type="pct"/>
            <w:vMerge w:val="restart"/>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浙江</w:t>
            </w:r>
          </w:p>
        </w:tc>
        <w:tc>
          <w:tcPr>
            <w:tcW w:w="1967" w:type="pct"/>
            <w:vMerge w:val="restart"/>
            <w:tcBorders>
              <w:top w:val="single" w:color="auto" w:sz="4" w:space="0"/>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纺织染整工业大气污染物排放标准</w:t>
            </w:r>
          </w:p>
        </w:tc>
        <w:tc>
          <w:tcPr>
            <w:tcW w:w="981" w:type="pct"/>
            <w:vMerge w:val="restart"/>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DB 33 962-2015</w:t>
            </w:r>
          </w:p>
        </w:tc>
        <w:tc>
          <w:tcPr>
            <w:tcW w:w="62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现有企业</w:t>
            </w:r>
          </w:p>
        </w:tc>
        <w:tc>
          <w:tcPr>
            <w:tcW w:w="49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10/40</w:t>
            </w:r>
          </w:p>
        </w:tc>
      </w:tr>
      <w:tr>
        <w:tblPrEx>
          <w:tblCellMar>
            <w:top w:w="0" w:type="dxa"/>
            <w:left w:w="0" w:type="dxa"/>
            <w:bottom w:w="0" w:type="dxa"/>
            <w:right w:w="0" w:type="dxa"/>
          </w:tblCellMar>
        </w:tblPrEx>
        <w:trPr>
          <w:trHeight w:val="285" w:hRule="atLeast"/>
        </w:trPr>
        <w:tc>
          <w:tcPr>
            <w:tcW w:w="510"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5" w:type="pct"/>
            <w:vMerge w:val="continue"/>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1967" w:type="pct"/>
            <w:vMerge w:val="continue"/>
            <w:tcBorders>
              <w:top w:val="single" w:color="auto" w:sz="4" w:space="0"/>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981" w:type="pct"/>
            <w:vMerge w:val="continue"/>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62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新建企业</w:t>
            </w:r>
          </w:p>
        </w:tc>
        <w:tc>
          <w:tcPr>
            <w:tcW w:w="49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5（20）</w:t>
            </w:r>
          </w:p>
        </w:tc>
      </w:tr>
      <w:tr>
        <w:tblPrEx>
          <w:tblCellMar>
            <w:top w:w="0" w:type="dxa"/>
            <w:left w:w="0" w:type="dxa"/>
            <w:bottom w:w="0" w:type="dxa"/>
            <w:right w:w="0" w:type="dxa"/>
          </w:tblCellMar>
        </w:tblPrEx>
        <w:trPr>
          <w:trHeight w:val="285" w:hRule="atLeast"/>
        </w:trPr>
        <w:tc>
          <w:tcPr>
            <w:tcW w:w="510"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5" w:type="pct"/>
            <w:vMerge w:val="continue"/>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1967" w:type="pct"/>
            <w:vMerge w:val="continue"/>
            <w:tcBorders>
              <w:top w:val="single" w:color="auto" w:sz="4" w:space="0"/>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981" w:type="pct"/>
            <w:vMerge w:val="continue"/>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62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特别排放限值</w:t>
            </w:r>
          </w:p>
        </w:tc>
        <w:tc>
          <w:tcPr>
            <w:tcW w:w="49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2（10）</w:t>
            </w:r>
          </w:p>
        </w:tc>
      </w:tr>
      <w:tr>
        <w:tblPrEx>
          <w:tblCellMar>
            <w:top w:w="0" w:type="dxa"/>
            <w:left w:w="0" w:type="dxa"/>
            <w:bottom w:w="0" w:type="dxa"/>
            <w:right w:w="0" w:type="dxa"/>
          </w:tblCellMar>
        </w:tblPrEx>
        <w:trPr>
          <w:trHeight w:val="285" w:hRule="atLeast"/>
        </w:trPr>
        <w:tc>
          <w:tcPr>
            <w:tcW w:w="51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汽车维修业</w:t>
            </w:r>
          </w:p>
        </w:tc>
        <w:tc>
          <w:tcPr>
            <w:tcW w:w="425" w:type="pct"/>
            <w:vMerge w:val="restart"/>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北京</w:t>
            </w:r>
          </w:p>
        </w:tc>
        <w:tc>
          <w:tcPr>
            <w:tcW w:w="1967" w:type="pct"/>
            <w:vMerge w:val="restart"/>
            <w:tcBorders>
              <w:top w:val="single" w:color="auto" w:sz="4" w:space="0"/>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汽车维修业大气污染物排放标准</w:t>
            </w:r>
          </w:p>
        </w:tc>
        <w:tc>
          <w:tcPr>
            <w:tcW w:w="981" w:type="pct"/>
            <w:vMerge w:val="restart"/>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DB11/1228-2015</w:t>
            </w:r>
          </w:p>
        </w:tc>
        <w:tc>
          <w:tcPr>
            <w:tcW w:w="62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I时段</w:t>
            </w:r>
          </w:p>
        </w:tc>
        <w:tc>
          <w:tcPr>
            <w:tcW w:w="49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20</w:t>
            </w:r>
          </w:p>
        </w:tc>
      </w:tr>
      <w:tr>
        <w:tblPrEx>
          <w:tblCellMar>
            <w:top w:w="0" w:type="dxa"/>
            <w:left w:w="0" w:type="dxa"/>
            <w:bottom w:w="0" w:type="dxa"/>
            <w:right w:w="0" w:type="dxa"/>
          </w:tblCellMar>
        </w:tblPrEx>
        <w:trPr>
          <w:trHeight w:val="285" w:hRule="atLeast"/>
        </w:trPr>
        <w:tc>
          <w:tcPr>
            <w:tcW w:w="510"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5" w:type="pct"/>
            <w:vMerge w:val="continue"/>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1967" w:type="pct"/>
            <w:vMerge w:val="continue"/>
            <w:tcBorders>
              <w:top w:val="single" w:color="auto" w:sz="4" w:space="0"/>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981" w:type="pct"/>
            <w:vMerge w:val="continue"/>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62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II时段</w:t>
            </w:r>
          </w:p>
        </w:tc>
        <w:tc>
          <w:tcPr>
            <w:tcW w:w="49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10</w:t>
            </w:r>
          </w:p>
        </w:tc>
      </w:tr>
      <w:tr>
        <w:trPr>
          <w:trHeight w:val="285" w:hRule="atLeast"/>
        </w:trPr>
        <w:tc>
          <w:tcPr>
            <w:tcW w:w="510"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5" w:type="pct"/>
            <w:vMerge w:val="restart"/>
            <w:tcBorders>
              <w:top w:val="nil"/>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重庆</w:t>
            </w:r>
          </w:p>
        </w:tc>
        <w:tc>
          <w:tcPr>
            <w:tcW w:w="1967"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汽车维修业大气污染物排放标准</w:t>
            </w:r>
          </w:p>
        </w:tc>
        <w:tc>
          <w:tcPr>
            <w:tcW w:w="981" w:type="pct"/>
            <w:vMerge w:val="restart"/>
            <w:tcBorders>
              <w:top w:val="nil"/>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DB 50 661-2016</w:t>
            </w:r>
          </w:p>
        </w:tc>
        <w:tc>
          <w:tcPr>
            <w:tcW w:w="62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I时段</w:t>
            </w:r>
          </w:p>
        </w:tc>
        <w:tc>
          <w:tcPr>
            <w:tcW w:w="49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45/50</w:t>
            </w:r>
          </w:p>
        </w:tc>
      </w:tr>
      <w:tr>
        <w:tblPrEx>
          <w:tblCellMar>
            <w:top w:w="0" w:type="dxa"/>
            <w:left w:w="0" w:type="dxa"/>
            <w:bottom w:w="0" w:type="dxa"/>
            <w:right w:w="0" w:type="dxa"/>
          </w:tblCellMar>
        </w:tblPrEx>
        <w:trPr>
          <w:trHeight w:val="285" w:hRule="atLeast"/>
        </w:trPr>
        <w:tc>
          <w:tcPr>
            <w:tcW w:w="510"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5" w:type="pct"/>
            <w:vMerge w:val="continue"/>
            <w:tcBorders>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1967" w:type="pct"/>
            <w:vMerge w:val="continue"/>
            <w:tcBorders>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981" w:type="pct"/>
            <w:vMerge w:val="continue"/>
            <w:tcBorders>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62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II时段</w:t>
            </w:r>
          </w:p>
        </w:tc>
        <w:tc>
          <w:tcPr>
            <w:tcW w:w="49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30/35</w:t>
            </w:r>
          </w:p>
        </w:tc>
      </w:tr>
      <w:tr>
        <w:tblPrEx>
          <w:tblCellMar>
            <w:top w:w="0" w:type="dxa"/>
            <w:left w:w="0" w:type="dxa"/>
            <w:bottom w:w="0" w:type="dxa"/>
            <w:right w:w="0" w:type="dxa"/>
          </w:tblCellMar>
        </w:tblPrEx>
        <w:trPr>
          <w:trHeight w:val="285" w:hRule="atLeast"/>
        </w:trPr>
        <w:tc>
          <w:tcPr>
            <w:tcW w:w="510"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5"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1967"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981"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62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推荐限值</w:t>
            </w:r>
          </w:p>
        </w:tc>
        <w:tc>
          <w:tcPr>
            <w:tcW w:w="49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10</w:t>
            </w:r>
          </w:p>
        </w:tc>
      </w:tr>
      <w:tr>
        <w:tblPrEx>
          <w:tblCellMar>
            <w:top w:w="0" w:type="dxa"/>
            <w:left w:w="0" w:type="dxa"/>
            <w:bottom w:w="0" w:type="dxa"/>
            <w:right w:w="0" w:type="dxa"/>
          </w:tblCellMar>
        </w:tblPrEx>
        <w:trPr>
          <w:trHeight w:val="285" w:hRule="atLeast"/>
        </w:trPr>
        <w:tc>
          <w:tcPr>
            <w:tcW w:w="51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船舶工业</w:t>
            </w:r>
          </w:p>
        </w:tc>
        <w:tc>
          <w:tcPr>
            <w:tcW w:w="425"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上海</w:t>
            </w:r>
          </w:p>
        </w:tc>
        <w:tc>
          <w:tcPr>
            <w:tcW w:w="1967" w:type="pct"/>
            <w:tcBorders>
              <w:top w:val="nil"/>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船舶工业大气污染物排放标准</w:t>
            </w:r>
          </w:p>
        </w:tc>
        <w:tc>
          <w:tcPr>
            <w:tcW w:w="98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DB31/934—2015</w:t>
            </w:r>
          </w:p>
        </w:tc>
        <w:tc>
          <w:tcPr>
            <w:tcW w:w="62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49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45</w:t>
            </w:r>
          </w:p>
        </w:tc>
      </w:tr>
      <w:tr>
        <w:tblPrEx>
          <w:tblCellMar>
            <w:top w:w="0" w:type="dxa"/>
            <w:left w:w="0" w:type="dxa"/>
            <w:bottom w:w="0" w:type="dxa"/>
            <w:right w:w="0" w:type="dxa"/>
          </w:tblCellMar>
        </w:tblPrEx>
        <w:trPr>
          <w:trHeight w:val="285" w:hRule="atLeast"/>
        </w:trPr>
        <w:tc>
          <w:tcPr>
            <w:tcW w:w="510"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5"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福建</w:t>
            </w:r>
          </w:p>
        </w:tc>
        <w:tc>
          <w:tcPr>
            <w:tcW w:w="1967" w:type="pct"/>
            <w:tcBorders>
              <w:top w:val="nil"/>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工业涂装工序挥发性有机物排放标准</w:t>
            </w:r>
          </w:p>
        </w:tc>
        <w:tc>
          <w:tcPr>
            <w:tcW w:w="98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报批稿</w:t>
            </w:r>
          </w:p>
        </w:tc>
        <w:tc>
          <w:tcPr>
            <w:tcW w:w="62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49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45</w:t>
            </w:r>
          </w:p>
        </w:tc>
      </w:tr>
      <w:tr>
        <w:trPr>
          <w:trHeight w:val="285" w:hRule="atLeast"/>
        </w:trPr>
        <w:tc>
          <w:tcPr>
            <w:tcW w:w="51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铝型材行业</w:t>
            </w:r>
          </w:p>
        </w:tc>
        <w:tc>
          <w:tcPr>
            <w:tcW w:w="425" w:type="pct"/>
            <w:vMerge w:val="restart"/>
            <w:tcBorders>
              <w:top w:val="nil"/>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山东</w:t>
            </w:r>
          </w:p>
        </w:tc>
        <w:tc>
          <w:tcPr>
            <w:tcW w:w="1967"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挥发性有机物排放标准 第2部分：铝型材工业</w:t>
            </w:r>
          </w:p>
        </w:tc>
        <w:tc>
          <w:tcPr>
            <w:tcW w:w="981" w:type="pct"/>
            <w:vMerge w:val="restart"/>
            <w:tcBorders>
              <w:top w:val="nil"/>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征求意见</w:t>
            </w:r>
          </w:p>
        </w:tc>
        <w:tc>
          <w:tcPr>
            <w:tcW w:w="62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第I时段</w:t>
            </w:r>
          </w:p>
        </w:tc>
        <w:tc>
          <w:tcPr>
            <w:tcW w:w="49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15</w:t>
            </w:r>
          </w:p>
        </w:tc>
      </w:tr>
      <w:tr>
        <w:tblPrEx>
          <w:tblCellMar>
            <w:top w:w="0" w:type="dxa"/>
            <w:left w:w="0" w:type="dxa"/>
            <w:bottom w:w="0" w:type="dxa"/>
            <w:right w:w="0" w:type="dxa"/>
          </w:tblCellMar>
        </w:tblPrEx>
        <w:trPr>
          <w:trHeight w:val="285" w:hRule="atLeast"/>
        </w:trPr>
        <w:tc>
          <w:tcPr>
            <w:tcW w:w="510"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5"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1967"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981"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621"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第II时段</w:t>
            </w:r>
          </w:p>
        </w:tc>
        <w:tc>
          <w:tcPr>
            <w:tcW w:w="496"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10</w:t>
            </w:r>
          </w:p>
        </w:tc>
      </w:tr>
    </w:tbl>
    <w:p>
      <w:pPr>
        <w:pStyle w:val="68"/>
        <w:ind w:firstLine="482"/>
        <w:rPr>
          <w:rFonts w:cs="Times New Roman"/>
          <w:b/>
          <w:bCs/>
        </w:rPr>
      </w:pPr>
      <w:r>
        <w:rPr>
          <w:rFonts w:cs="Times New Roman"/>
          <w:b/>
          <w:bCs/>
        </w:rPr>
        <w:t xml:space="preserve">3. </w:t>
      </w:r>
      <w:r>
        <w:rPr>
          <w:rFonts w:hint="eastAsia" w:cs="Times New Roman"/>
          <w:b/>
          <w:bCs/>
        </w:rPr>
        <w:t>综合指标</w:t>
      </w:r>
    </w:p>
    <w:p>
      <w:pPr>
        <w:pStyle w:val="68"/>
        <w:rPr>
          <w:rFonts w:cs="Times New Roman"/>
        </w:rPr>
      </w:pPr>
      <w:r>
        <w:rPr>
          <w:rFonts w:cs="Times New Roman"/>
        </w:rPr>
        <w:t>NMHC是一个综合表征碳氢化合物的指标，传统的定义是为C</w:t>
      </w:r>
      <w:r>
        <w:rPr>
          <w:rFonts w:cs="Times New Roman"/>
          <w:vertAlign w:val="subscript"/>
        </w:rPr>
        <w:t>2</w:t>
      </w:r>
      <w:r>
        <w:rPr>
          <w:rFonts w:cs="Times New Roman"/>
        </w:rPr>
        <w:t>-C</w:t>
      </w:r>
      <w:r>
        <w:rPr>
          <w:rFonts w:cs="Times New Roman"/>
          <w:vertAlign w:val="subscript"/>
        </w:rPr>
        <w:t>8</w:t>
      </w:r>
      <w:r>
        <w:rPr>
          <w:rFonts w:cs="Times New Roman"/>
        </w:rPr>
        <w:t>中的烃类物质。目前根据2003年的分析测试标准，指采用HJ/T38规定的监测方法，检测器有明显响应的除甲烷外的碳氢化合物的总称（以碳计）</w:t>
      </w:r>
      <w:r>
        <w:rPr>
          <w:rFonts w:hint="eastAsia" w:cs="Times New Roman"/>
        </w:rPr>
        <w:t>，</w:t>
      </w:r>
      <w:r>
        <w:rPr>
          <w:rFonts w:cs="Times New Roman"/>
        </w:rPr>
        <w:t>以NMHC表征排气筒排放VOC具有一定的实际意义</w:t>
      </w:r>
      <w:r>
        <w:rPr>
          <w:rFonts w:hint="eastAsia" w:cs="Times New Roman"/>
        </w:rPr>
        <w:t>，</w:t>
      </w:r>
      <w:r>
        <w:rPr>
          <w:rFonts w:cs="Times New Roman"/>
        </w:rPr>
        <w:t>因此以NMHC表征VOCs排放的综合指标，用以控制有机污染物的总量。</w:t>
      </w:r>
    </w:p>
    <w:p>
      <w:pPr>
        <w:pStyle w:val="68"/>
        <w:rPr>
          <w:rFonts w:cs="Times New Roman"/>
        </w:rPr>
      </w:pPr>
      <w:r>
        <w:rPr>
          <w:rFonts w:cs="Times New Roman"/>
        </w:rPr>
        <w:t>TVOC为采用规定的监测方法，对空气或废气中的单项VOCs物质进行定量，加和得到VOCs物质的总量（以单项VOCs物质的质量浓度之和计）。实际工作中，应按预期分析结果，对占总量90%以上的单项VOCs物质进行测量，加和得出。</w:t>
      </w:r>
    </w:p>
    <w:p>
      <w:pPr>
        <w:pStyle w:val="68"/>
        <w:rPr>
          <w:rFonts w:cs="Times New Roman"/>
        </w:rPr>
      </w:pPr>
      <w:r>
        <w:rPr>
          <w:rFonts w:cs="Times New Roman"/>
        </w:rPr>
        <w:t>（1）企业调研结果</w:t>
      </w:r>
    </w:p>
    <w:p>
      <w:pPr>
        <w:pStyle w:val="68"/>
        <w:ind w:firstLine="0" w:firstLineChars="0"/>
        <w:rPr>
          <w:rFonts w:cs="Times New Roman"/>
        </w:rPr>
      </w:pPr>
      <w:r>
        <w:rPr>
          <w:rFonts w:cs="Times New Roman"/>
        </w:rPr>
        <w:drawing>
          <wp:inline distT="0" distB="0" distL="0" distR="0">
            <wp:extent cx="5292090" cy="5480685"/>
            <wp:effectExtent l="0" t="0" r="381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92090" cy="5480685"/>
                    </a:xfrm>
                    <a:prstGeom prst="rect">
                      <a:avLst/>
                    </a:prstGeom>
                    <a:noFill/>
                  </pic:spPr>
                </pic:pic>
              </a:graphicData>
            </a:graphic>
          </wp:inline>
        </w:drawing>
      </w:r>
    </w:p>
    <w:p>
      <w:pPr>
        <w:pStyle w:val="13"/>
        <w:spacing w:before="156" w:beforeLines="50" w:after="156" w:afterLines="50"/>
      </w:pPr>
      <w:r>
        <w:t>图7-3  NMHC和TVOC</w:t>
      </w:r>
      <w:r>
        <w:rPr>
          <w:rFonts w:hint="eastAsia"/>
        </w:rPr>
        <w:t>排放</w:t>
      </w:r>
      <w:r>
        <w:t>浓度分布</w:t>
      </w:r>
    </w:p>
    <w:p>
      <w:pPr>
        <w:pStyle w:val="68"/>
        <w:rPr>
          <w:rFonts w:cs="Times New Roman"/>
        </w:rPr>
      </w:pPr>
      <w:r>
        <w:rPr>
          <w:rFonts w:hint="eastAsia" w:cs="Times New Roman"/>
        </w:rPr>
        <w:t>编制组</w:t>
      </w:r>
      <w:r>
        <w:rPr>
          <w:rFonts w:cs="Times New Roman"/>
        </w:rPr>
        <w:t>选择</w:t>
      </w:r>
      <w:r>
        <w:rPr>
          <w:rFonts w:hint="eastAsia" w:cs="Times New Roman"/>
        </w:rPr>
        <w:t>了</w:t>
      </w:r>
      <w:r>
        <w:rPr>
          <w:rFonts w:cs="Times New Roman"/>
        </w:rPr>
        <w:t>代表性金属表面涂装、塑料制品加工、工业涂装、电子制造、轮胎生产及农药制造等企业进行实测</w:t>
      </w:r>
      <w:r>
        <w:rPr>
          <w:rFonts w:hint="eastAsia" w:cs="Times New Roman"/>
        </w:rPr>
        <w:t>；同时深入调研相关文献研究结果，包括日化企业洗衣液生产、电子产品制造、消费电子制造（电池盖制造、游戏机主板制造、手机、电脑外壳制造）、半导体制造（芯片制造、集成电路制造）、注塑、交通运输设备制造中的涉涂料使用、涤纶生产纺丝等工艺过程V</w:t>
      </w:r>
      <w:r>
        <w:rPr>
          <w:rFonts w:cs="Times New Roman"/>
        </w:rPr>
        <w:t>OC</w:t>
      </w:r>
      <w:r>
        <w:rPr>
          <w:rFonts w:hint="eastAsia" w:cs="Times New Roman"/>
        </w:rPr>
        <w:t>s排放浓度水平；进一步结合广东省V</w:t>
      </w:r>
      <w:r>
        <w:rPr>
          <w:rFonts w:cs="Times New Roman"/>
        </w:rPr>
        <w:t>OC</w:t>
      </w:r>
      <w:r>
        <w:rPr>
          <w:rFonts w:hint="eastAsia" w:cs="Times New Roman"/>
        </w:rPr>
        <w:t>s监督性监测结果，综合分析工业企业V</w:t>
      </w:r>
      <w:r>
        <w:rPr>
          <w:rFonts w:cs="Times New Roman"/>
        </w:rPr>
        <w:t>OC</w:t>
      </w:r>
      <w:r>
        <w:rPr>
          <w:rFonts w:hint="eastAsia" w:cs="Times New Roman"/>
        </w:rPr>
        <w:t>s排放浓度水平；其中N</w:t>
      </w:r>
      <w:r>
        <w:rPr>
          <w:rFonts w:cs="Times New Roman"/>
        </w:rPr>
        <w:t>MHC</w:t>
      </w:r>
      <w:r>
        <w:rPr>
          <w:rFonts w:hint="eastAsia" w:cs="Times New Roman"/>
        </w:rPr>
        <w:t>有效数据有1</w:t>
      </w:r>
      <w:r>
        <w:rPr>
          <w:rFonts w:cs="Times New Roman"/>
        </w:rPr>
        <w:t>25</w:t>
      </w:r>
      <w:r>
        <w:rPr>
          <w:rFonts w:hint="eastAsia" w:cs="Times New Roman"/>
        </w:rPr>
        <w:t>个，T</w:t>
      </w:r>
      <w:r>
        <w:rPr>
          <w:rFonts w:cs="Times New Roman"/>
        </w:rPr>
        <w:t>VOC</w:t>
      </w:r>
      <w:r>
        <w:rPr>
          <w:rFonts w:hint="eastAsia" w:cs="Times New Roman"/>
        </w:rPr>
        <w:t>有效数据有3</w:t>
      </w:r>
      <w:r>
        <w:rPr>
          <w:rFonts w:cs="Times New Roman"/>
        </w:rPr>
        <w:t>19</w:t>
      </w:r>
      <w:r>
        <w:rPr>
          <w:rFonts w:hint="eastAsia" w:cs="Times New Roman"/>
        </w:rPr>
        <w:t>个</w:t>
      </w:r>
      <w:r>
        <w:rPr>
          <w:rFonts w:cs="Times New Roman"/>
        </w:rPr>
        <w:t>。部分实测企业</w:t>
      </w:r>
      <w:r>
        <w:rPr>
          <w:rFonts w:hint="eastAsia" w:cs="Times New Roman"/>
        </w:rPr>
        <w:t>已安装</w:t>
      </w:r>
      <w:r>
        <w:rPr>
          <w:rFonts w:cs="Times New Roman"/>
        </w:rPr>
        <w:t>了</w:t>
      </w:r>
      <w:r>
        <w:rPr>
          <w:rFonts w:hint="eastAsia" w:cs="Times New Roman"/>
        </w:rPr>
        <w:t>有效的末</w:t>
      </w:r>
      <w:r>
        <w:rPr>
          <w:rFonts w:cs="Times New Roman"/>
        </w:rPr>
        <w:t>端治理设施，加之部分企业采取了一些过程控制措施，如加强车间</w:t>
      </w:r>
      <w:r>
        <w:rPr>
          <w:rFonts w:hint="eastAsia" w:cs="Times New Roman"/>
        </w:rPr>
        <w:t>工艺过程密闭</w:t>
      </w:r>
      <w:r>
        <w:rPr>
          <w:rFonts w:cs="Times New Roman"/>
        </w:rPr>
        <w:t>管控等，这些企业VOCs排放浓度都普遍较低；而部分实测企业未安装末端净化设施，VOCs排放浓度可高达上千</w:t>
      </w:r>
      <w:r>
        <w:rPr>
          <w:rFonts w:hint="eastAsia" w:cs="Times New Roman"/>
        </w:rPr>
        <w:t>毫克/立方米</w:t>
      </w:r>
      <w:r>
        <w:rPr>
          <w:rFonts w:cs="Times New Roman"/>
        </w:rPr>
        <w:t>。</w:t>
      </w:r>
    </w:p>
    <w:p>
      <w:pPr>
        <w:pStyle w:val="68"/>
        <w:rPr>
          <w:rFonts w:cs="Times New Roman"/>
        </w:rPr>
      </w:pPr>
      <w:r>
        <w:rPr>
          <w:rFonts w:cs="Times New Roman"/>
        </w:rPr>
        <w:t>NMHC的排放浓度范围为0.16 mg/m</w:t>
      </w:r>
      <w:r>
        <w:rPr>
          <w:rFonts w:cs="Times New Roman"/>
          <w:vertAlign w:val="superscript"/>
        </w:rPr>
        <w:t>3</w:t>
      </w:r>
      <w:r>
        <w:rPr>
          <w:rFonts w:cs="Times New Roman"/>
        </w:rPr>
        <w:t>~794.0 mg/m</w:t>
      </w:r>
      <w:r>
        <w:rPr>
          <w:rFonts w:cs="Times New Roman"/>
          <w:vertAlign w:val="superscript"/>
        </w:rPr>
        <w:t>3</w:t>
      </w:r>
      <w:r>
        <w:rPr>
          <w:rFonts w:hint="eastAsia" w:cs="Times New Roman"/>
        </w:rPr>
        <w:t>（图</w:t>
      </w:r>
      <w:r>
        <w:rPr>
          <w:rFonts w:cs="Times New Roman"/>
        </w:rPr>
        <w:t>7</w:t>
      </w:r>
      <w:r>
        <w:rPr>
          <w:rFonts w:hint="eastAsia" w:cs="Times New Roman"/>
        </w:rPr>
        <w:t>-</w:t>
      </w:r>
      <w:r>
        <w:rPr>
          <w:rFonts w:cs="Times New Roman"/>
        </w:rPr>
        <w:t>3</w:t>
      </w:r>
      <w:r>
        <w:rPr>
          <w:rFonts w:hint="eastAsia" w:cs="Times New Roman"/>
        </w:rPr>
        <w:t>）</w:t>
      </w:r>
      <w:r>
        <w:rPr>
          <w:rFonts w:cs="Times New Roman"/>
        </w:rPr>
        <w:t>。NMHC</w:t>
      </w:r>
      <w:r>
        <w:rPr>
          <w:rFonts w:hint="eastAsia" w:cs="Times New Roman"/>
        </w:rPr>
        <w:t>监测数据</w:t>
      </w:r>
      <w:r>
        <w:rPr>
          <w:rFonts w:cs="Times New Roman"/>
        </w:rPr>
        <w:t>的第60百分位数为24.8mg/m</w:t>
      </w:r>
      <w:r>
        <w:rPr>
          <w:rFonts w:cs="Times New Roman"/>
          <w:vertAlign w:val="superscript"/>
        </w:rPr>
        <w:t>3</w:t>
      </w:r>
      <w:r>
        <w:rPr>
          <w:rFonts w:cs="Times New Roman"/>
        </w:rPr>
        <w:t>，第80百分位数为83.0mg/m</w:t>
      </w:r>
      <w:r>
        <w:rPr>
          <w:rFonts w:cs="Times New Roman"/>
          <w:vertAlign w:val="superscript"/>
        </w:rPr>
        <w:t>3</w:t>
      </w:r>
      <w:r>
        <w:rPr>
          <w:rFonts w:cs="Times New Roman"/>
        </w:rPr>
        <w:t>。有55.2%的</w:t>
      </w:r>
      <w:r>
        <w:rPr>
          <w:rFonts w:hint="eastAsia" w:cs="Times New Roman"/>
        </w:rPr>
        <w:t>监测</w:t>
      </w:r>
      <w:r>
        <w:rPr>
          <w:rFonts w:cs="Times New Roman"/>
        </w:rPr>
        <w:t>NMHC浓度小于20 mg/m</w:t>
      </w:r>
      <w:r>
        <w:rPr>
          <w:rFonts w:cs="Times New Roman"/>
          <w:vertAlign w:val="superscript"/>
        </w:rPr>
        <w:t>3</w:t>
      </w:r>
      <w:r>
        <w:rPr>
          <w:rFonts w:cs="Times New Roman"/>
        </w:rPr>
        <w:t>，有32.0%的</w:t>
      </w:r>
      <w:r>
        <w:rPr>
          <w:rFonts w:hint="eastAsia" w:cs="Times New Roman"/>
        </w:rPr>
        <w:t>监测</w:t>
      </w:r>
      <w:r>
        <w:rPr>
          <w:rFonts w:cs="Times New Roman"/>
        </w:rPr>
        <w:t>NMHC浓度超过40 mg/m</w:t>
      </w:r>
      <w:r>
        <w:rPr>
          <w:rFonts w:cs="Times New Roman"/>
          <w:vertAlign w:val="superscript"/>
        </w:rPr>
        <w:t>3</w:t>
      </w:r>
      <w:r>
        <w:rPr>
          <w:rFonts w:cs="Times New Roman"/>
        </w:rPr>
        <w:t>，24.0%的</w:t>
      </w:r>
      <w:r>
        <w:rPr>
          <w:rFonts w:hint="eastAsia" w:cs="Times New Roman"/>
        </w:rPr>
        <w:t>监测</w:t>
      </w:r>
      <w:r>
        <w:rPr>
          <w:rFonts w:cs="Times New Roman"/>
        </w:rPr>
        <w:t>企业NMHC浓度超过60 mg/m</w:t>
      </w:r>
      <w:r>
        <w:rPr>
          <w:rFonts w:cs="Times New Roman"/>
          <w:vertAlign w:val="superscript"/>
        </w:rPr>
        <w:t>3</w:t>
      </w:r>
      <w:r>
        <w:rPr>
          <w:rFonts w:cs="Times New Roman"/>
        </w:rPr>
        <w:t>，21.6%的企业NMHC浓度超过80 mg/m</w:t>
      </w:r>
      <w:r>
        <w:rPr>
          <w:rFonts w:cs="Times New Roman"/>
          <w:vertAlign w:val="superscript"/>
        </w:rPr>
        <w:t>3</w:t>
      </w:r>
      <w:r>
        <w:rPr>
          <w:rFonts w:cs="Times New Roman"/>
        </w:rPr>
        <w:t>，18.4%的实测企业NMHC浓度超过100 mg/m</w:t>
      </w:r>
      <w:r>
        <w:rPr>
          <w:rFonts w:cs="Times New Roman"/>
          <w:vertAlign w:val="superscript"/>
        </w:rPr>
        <w:t>3</w:t>
      </w:r>
      <w:r>
        <w:rPr>
          <w:rFonts w:cs="Times New Roman"/>
        </w:rPr>
        <w:t>。有9.6</w:t>
      </w:r>
      <w:r>
        <w:rPr>
          <w:rFonts w:hint="eastAsia" w:cs="Times New Roman"/>
        </w:rPr>
        <w:t>%</w:t>
      </w:r>
      <w:r>
        <w:rPr>
          <w:rFonts w:cs="Times New Roman"/>
        </w:rPr>
        <w:t>实测企业浓度超过300 mg/m</w:t>
      </w:r>
      <w:r>
        <w:rPr>
          <w:rFonts w:cs="Times New Roman"/>
          <w:vertAlign w:val="superscript"/>
        </w:rPr>
        <w:t>3</w:t>
      </w:r>
      <w:r>
        <w:rPr>
          <w:rFonts w:cs="Times New Roman"/>
        </w:rPr>
        <w:t>，4.8</w:t>
      </w:r>
      <w:r>
        <w:rPr>
          <w:rFonts w:hint="eastAsia" w:cs="Times New Roman"/>
        </w:rPr>
        <w:t>%</w:t>
      </w:r>
      <w:r>
        <w:rPr>
          <w:rFonts w:cs="Times New Roman"/>
        </w:rPr>
        <w:t>企业实测浓度超过500 mg/m</w:t>
      </w:r>
      <w:r>
        <w:rPr>
          <w:rFonts w:cs="Times New Roman"/>
          <w:vertAlign w:val="superscript"/>
        </w:rPr>
        <w:t>3</w:t>
      </w:r>
      <w:r>
        <w:rPr>
          <w:rFonts w:cs="Times New Roman"/>
        </w:rPr>
        <w:t>。排放浓度较高的均为未安装末端处理设施或治理设施运行管理水平较差的企业。</w:t>
      </w:r>
    </w:p>
    <w:p>
      <w:pPr>
        <w:pStyle w:val="68"/>
        <w:rPr>
          <w:rFonts w:cs="Times New Roman"/>
        </w:rPr>
      </w:pPr>
      <w:r>
        <w:rPr>
          <w:rFonts w:cs="Times New Roman"/>
        </w:rPr>
        <w:t>TVOC</w:t>
      </w:r>
      <w:r>
        <w:rPr>
          <w:rFonts w:hint="eastAsia" w:cs="Times New Roman"/>
        </w:rPr>
        <w:t>监测</w:t>
      </w:r>
      <w:r>
        <w:rPr>
          <w:rFonts w:cs="Times New Roman"/>
        </w:rPr>
        <w:t>浓度范围为0.30 mg/m</w:t>
      </w:r>
      <w:r>
        <w:rPr>
          <w:rFonts w:cs="Times New Roman"/>
          <w:vertAlign w:val="superscript"/>
        </w:rPr>
        <w:t>3</w:t>
      </w:r>
      <w:r>
        <w:rPr>
          <w:rFonts w:cs="Times New Roman"/>
        </w:rPr>
        <w:t>~1291.0 mg/m</w:t>
      </w:r>
      <w:r>
        <w:rPr>
          <w:rFonts w:cs="Times New Roman"/>
          <w:vertAlign w:val="superscript"/>
        </w:rPr>
        <w:t>3</w:t>
      </w:r>
      <w:r>
        <w:rPr>
          <w:rFonts w:cs="Times New Roman"/>
        </w:rPr>
        <w:t>。TVOC</w:t>
      </w:r>
      <w:r>
        <w:rPr>
          <w:rFonts w:hint="eastAsia" w:cs="Times New Roman"/>
        </w:rPr>
        <w:t>监测</w:t>
      </w:r>
      <w:r>
        <w:rPr>
          <w:rFonts w:cs="Times New Roman"/>
        </w:rPr>
        <w:t>浓度的第60百分位数为27.6 mg/m</w:t>
      </w:r>
      <w:r>
        <w:rPr>
          <w:rFonts w:cs="Times New Roman"/>
          <w:vertAlign w:val="superscript"/>
        </w:rPr>
        <w:t>3</w:t>
      </w:r>
      <w:r>
        <w:rPr>
          <w:rFonts w:cs="Times New Roman"/>
        </w:rPr>
        <w:t>，第80百分位数为128.9mg/m</w:t>
      </w:r>
      <w:r>
        <w:rPr>
          <w:rFonts w:cs="Times New Roman"/>
          <w:vertAlign w:val="superscript"/>
        </w:rPr>
        <w:t>3</w:t>
      </w:r>
      <w:r>
        <w:rPr>
          <w:rFonts w:cs="Times New Roman"/>
        </w:rPr>
        <w:t>。有68.3%的</w:t>
      </w:r>
      <w:r>
        <w:rPr>
          <w:rFonts w:hint="eastAsia" w:cs="Times New Roman"/>
        </w:rPr>
        <w:t>监测</w:t>
      </w:r>
      <w:r>
        <w:rPr>
          <w:rFonts w:cs="Times New Roman"/>
        </w:rPr>
        <w:t>TVOC浓度小于50 mg/m</w:t>
      </w:r>
      <w:r>
        <w:rPr>
          <w:rFonts w:cs="Times New Roman"/>
          <w:vertAlign w:val="superscript"/>
        </w:rPr>
        <w:t>3</w:t>
      </w:r>
      <w:r>
        <w:rPr>
          <w:rFonts w:cs="Times New Roman"/>
        </w:rPr>
        <w:t>，有27.3%的</w:t>
      </w:r>
      <w:r>
        <w:rPr>
          <w:rFonts w:hint="eastAsia" w:cs="Times New Roman"/>
        </w:rPr>
        <w:t>监测</w:t>
      </w:r>
      <w:r>
        <w:rPr>
          <w:rFonts w:cs="Times New Roman"/>
        </w:rPr>
        <w:t>TVOC浓度超过75 mg/m</w:t>
      </w:r>
      <w:r>
        <w:rPr>
          <w:rFonts w:cs="Times New Roman"/>
          <w:vertAlign w:val="superscript"/>
        </w:rPr>
        <w:t>3</w:t>
      </w:r>
      <w:r>
        <w:rPr>
          <w:rFonts w:cs="Times New Roman"/>
        </w:rPr>
        <w:t>，24.1%的</w:t>
      </w:r>
      <w:r>
        <w:rPr>
          <w:rFonts w:hint="eastAsia" w:cs="Times New Roman"/>
        </w:rPr>
        <w:t>监测</w:t>
      </w:r>
      <w:r>
        <w:rPr>
          <w:rFonts w:cs="Times New Roman"/>
        </w:rPr>
        <w:t>TVOC浓度超过100 mg/m</w:t>
      </w:r>
      <w:r>
        <w:rPr>
          <w:rFonts w:cs="Times New Roman"/>
          <w:vertAlign w:val="superscript"/>
        </w:rPr>
        <w:t>3</w:t>
      </w:r>
      <w:r>
        <w:rPr>
          <w:rFonts w:cs="Times New Roman"/>
        </w:rPr>
        <w:t>，20.7%的</w:t>
      </w:r>
      <w:r>
        <w:rPr>
          <w:rFonts w:hint="eastAsia" w:cs="Times New Roman"/>
        </w:rPr>
        <w:t>监测</w:t>
      </w:r>
      <w:r>
        <w:rPr>
          <w:rFonts w:cs="Times New Roman"/>
        </w:rPr>
        <w:t>TVOC浓度超过125 mg/m</w:t>
      </w:r>
      <w:r>
        <w:rPr>
          <w:rFonts w:cs="Times New Roman"/>
          <w:vertAlign w:val="superscript"/>
        </w:rPr>
        <w:t>3</w:t>
      </w:r>
      <w:r>
        <w:rPr>
          <w:rFonts w:cs="Times New Roman"/>
        </w:rPr>
        <w:t>。有6.3</w:t>
      </w:r>
      <w:r>
        <w:rPr>
          <w:rFonts w:hint="eastAsia" w:cs="Times New Roman"/>
        </w:rPr>
        <w:t>%</w:t>
      </w:r>
      <w:r>
        <w:rPr>
          <w:rFonts w:cs="Times New Roman"/>
        </w:rPr>
        <w:t>实测</w:t>
      </w:r>
      <w:r>
        <w:rPr>
          <w:rFonts w:hint="eastAsia" w:cs="Times New Roman"/>
        </w:rPr>
        <w:t>T</w:t>
      </w:r>
      <w:r>
        <w:rPr>
          <w:rFonts w:cs="Times New Roman"/>
        </w:rPr>
        <w:t>VOC浓度超过500 mg/m</w:t>
      </w:r>
      <w:r>
        <w:rPr>
          <w:rFonts w:cs="Times New Roman"/>
          <w:vertAlign w:val="superscript"/>
        </w:rPr>
        <w:t>3</w:t>
      </w:r>
      <w:r>
        <w:rPr>
          <w:rFonts w:cs="Times New Roman"/>
        </w:rPr>
        <w:t>，2.5</w:t>
      </w:r>
      <w:r>
        <w:rPr>
          <w:rFonts w:hint="eastAsia" w:cs="Times New Roman"/>
        </w:rPr>
        <w:t>%</w:t>
      </w:r>
      <w:r>
        <w:rPr>
          <w:rFonts w:cs="Times New Roman"/>
        </w:rPr>
        <w:t>企业实测浓度超过800 mg/m</w:t>
      </w:r>
      <w:r>
        <w:rPr>
          <w:rFonts w:cs="Times New Roman"/>
          <w:vertAlign w:val="superscript"/>
        </w:rPr>
        <w:t>3</w:t>
      </w:r>
      <w:r>
        <w:rPr>
          <w:rFonts w:hint="eastAsia" w:cs="Times New Roman"/>
        </w:rPr>
        <w:t>。排放浓度较高的</w:t>
      </w:r>
      <w:r>
        <w:rPr>
          <w:rFonts w:cs="Times New Roman"/>
        </w:rPr>
        <w:t>企业均为未安装末端处理设施或治理设施运行管理水平较差的工业企业。</w:t>
      </w:r>
    </w:p>
    <w:p>
      <w:pPr>
        <w:pStyle w:val="68"/>
        <w:ind w:firstLine="0" w:firstLineChars="0"/>
        <w:jc w:val="center"/>
        <w:rPr>
          <w:rFonts w:cs="Times New Roman"/>
        </w:rPr>
      </w:pPr>
      <w:r>
        <w:rPr>
          <w:rFonts w:cs="Times New Roman"/>
        </w:rPr>
        <w:drawing>
          <wp:inline distT="0" distB="0" distL="0" distR="0">
            <wp:extent cx="5060315" cy="2743200"/>
            <wp:effectExtent l="0" t="0" r="698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060315" cy="2743200"/>
                    </a:xfrm>
                    <a:prstGeom prst="rect">
                      <a:avLst/>
                    </a:prstGeom>
                    <a:noFill/>
                  </pic:spPr>
                </pic:pic>
              </a:graphicData>
            </a:graphic>
          </wp:inline>
        </w:drawing>
      </w:r>
    </w:p>
    <w:p>
      <w:pPr>
        <w:pStyle w:val="13"/>
        <w:spacing w:before="156" w:beforeLines="50" w:after="156" w:afterLines="50"/>
      </w:pPr>
      <w:r>
        <w:rPr>
          <w:rFonts w:hint="eastAsia"/>
        </w:rPr>
        <w:t>图7-</w:t>
      </w:r>
      <w:r>
        <w:t xml:space="preserve">4  </w:t>
      </w:r>
      <w:r>
        <w:rPr>
          <w:rFonts w:hint="eastAsia"/>
        </w:rPr>
        <w:t>文献调研部分行业T</w:t>
      </w:r>
      <w:r>
        <w:t>VOC</w:t>
      </w:r>
      <w:r>
        <w:rPr>
          <w:rFonts w:hint="eastAsia"/>
        </w:rPr>
        <w:t>排放浓度水平</w:t>
      </w:r>
    </w:p>
    <w:p>
      <w:pPr>
        <w:pStyle w:val="68"/>
        <w:rPr>
          <w:rFonts w:cs="Times New Roman"/>
        </w:rPr>
      </w:pPr>
      <w:r>
        <w:rPr>
          <w:rFonts w:hint="eastAsia" w:cs="Times New Roman"/>
        </w:rPr>
        <w:t>同时开展文献调研，重点收集不同行业T</w:t>
      </w:r>
      <w:r>
        <w:rPr>
          <w:rFonts w:cs="Times New Roman"/>
        </w:rPr>
        <w:t>VOC</w:t>
      </w:r>
      <w:r>
        <w:rPr>
          <w:rFonts w:hint="eastAsia" w:cs="Times New Roman"/>
        </w:rPr>
        <w:t>排放浓度水平，图7-</w:t>
      </w:r>
      <w:r>
        <w:rPr>
          <w:rFonts w:cs="Times New Roman"/>
        </w:rPr>
        <w:t>4</w:t>
      </w:r>
      <w:r>
        <w:rPr>
          <w:rFonts w:hint="eastAsia" w:cs="Times New Roman"/>
        </w:rPr>
        <w:t>和表7-</w:t>
      </w:r>
      <w:r>
        <w:rPr>
          <w:rFonts w:cs="Times New Roman"/>
        </w:rPr>
        <w:t>8</w:t>
      </w:r>
      <w:r>
        <w:rPr>
          <w:rFonts w:hint="eastAsia" w:cs="Times New Roman"/>
        </w:rPr>
        <w:t>所示为通过文献调研得到的部分行业</w:t>
      </w:r>
      <w:r>
        <w:rPr>
          <w:rFonts w:cs="Times New Roman"/>
        </w:rPr>
        <w:t>VOC</w:t>
      </w:r>
      <w:r>
        <w:rPr>
          <w:rFonts w:hint="eastAsia" w:cs="Times New Roman"/>
        </w:rPr>
        <w:t>s排放浓度。对于典型浆纸企业，漂白车间洗涤塔V</w:t>
      </w:r>
      <w:r>
        <w:rPr>
          <w:rFonts w:cs="Times New Roman"/>
        </w:rPr>
        <w:t>OC</w:t>
      </w:r>
      <w:r>
        <w:rPr>
          <w:rFonts w:hint="eastAsia" w:cs="Times New Roman"/>
        </w:rPr>
        <w:t>s排放浓度较高，普遍在1</w:t>
      </w:r>
      <w:r>
        <w:rPr>
          <w:rFonts w:cs="Times New Roman"/>
        </w:rPr>
        <w:t>00</w:t>
      </w:r>
      <w:r>
        <w:rPr>
          <w:rFonts w:hint="eastAsia" w:cs="Times New Roman"/>
        </w:rPr>
        <w:t>~</w:t>
      </w:r>
      <w:r>
        <w:rPr>
          <w:rFonts w:cs="Times New Roman"/>
        </w:rPr>
        <w:t>190 mg/m</w:t>
      </w:r>
      <w:r>
        <w:rPr>
          <w:rFonts w:cs="Times New Roman"/>
          <w:vertAlign w:val="superscript"/>
        </w:rPr>
        <w:t>3</w:t>
      </w:r>
      <w:r>
        <w:rPr>
          <w:rFonts w:hint="eastAsia" w:cs="Times New Roman"/>
        </w:rPr>
        <w:t>之间；而碱回收炉、锅炉、石灰窑及绿泥溶解槽排气筒V</w:t>
      </w:r>
      <w:r>
        <w:rPr>
          <w:rFonts w:cs="Times New Roman"/>
        </w:rPr>
        <w:t>OC</w:t>
      </w:r>
      <w:r>
        <w:rPr>
          <w:rFonts w:hint="eastAsia" w:cs="Times New Roman"/>
        </w:rPr>
        <w:t>s排放浓度均小于1</w:t>
      </w:r>
      <w:r>
        <w:rPr>
          <w:rFonts w:cs="Times New Roman"/>
        </w:rPr>
        <w:t>0 mg/m</w:t>
      </w:r>
      <w:r>
        <w:rPr>
          <w:rFonts w:cs="Times New Roman"/>
          <w:vertAlign w:val="superscript"/>
        </w:rPr>
        <w:t>3</w:t>
      </w:r>
      <w:r>
        <w:rPr>
          <w:rFonts w:hint="eastAsia" w:cs="Times New Roman"/>
        </w:rPr>
        <w:t>。以洗衣液生产为代表的日化行业V</w:t>
      </w:r>
      <w:r>
        <w:rPr>
          <w:rFonts w:cs="Times New Roman"/>
        </w:rPr>
        <w:t>OC</w:t>
      </w:r>
      <w:r>
        <w:rPr>
          <w:rFonts w:hint="eastAsia" w:cs="Times New Roman"/>
        </w:rPr>
        <w:t>s排放浓度在3</w:t>
      </w:r>
      <w:r>
        <w:rPr>
          <w:rFonts w:cs="Times New Roman"/>
        </w:rPr>
        <w:t>0</w:t>
      </w:r>
      <w:r>
        <w:rPr>
          <w:rFonts w:hint="eastAsia" w:cs="Times New Roman"/>
        </w:rPr>
        <w:t>~</w:t>
      </w:r>
      <w:r>
        <w:rPr>
          <w:rFonts w:cs="Times New Roman"/>
        </w:rPr>
        <w:t>40 mg/m</w:t>
      </w:r>
      <w:r>
        <w:rPr>
          <w:rFonts w:cs="Times New Roman"/>
          <w:vertAlign w:val="superscript"/>
        </w:rPr>
        <w:t>3</w:t>
      </w:r>
      <w:r>
        <w:rPr>
          <w:rFonts w:hint="eastAsia" w:cs="Times New Roman"/>
        </w:rPr>
        <w:t>之间，其中生产车间半成品区、缓冲区、包装区和外包装区V</w:t>
      </w:r>
      <w:r>
        <w:rPr>
          <w:rFonts w:cs="Times New Roman"/>
        </w:rPr>
        <w:t>OC</w:t>
      </w:r>
      <w:r>
        <w:rPr>
          <w:rFonts w:hint="eastAsia" w:cs="Times New Roman"/>
        </w:rPr>
        <w:t>s浓度普遍低于2</w:t>
      </w:r>
      <w:r>
        <w:rPr>
          <w:rFonts w:cs="Times New Roman"/>
        </w:rPr>
        <w:t>0 mg/m</w:t>
      </w:r>
      <w:r>
        <w:rPr>
          <w:rFonts w:cs="Times New Roman"/>
          <w:vertAlign w:val="superscript"/>
        </w:rPr>
        <w:t>3</w:t>
      </w:r>
      <w:r>
        <w:rPr>
          <w:rFonts w:hint="eastAsia" w:cs="Times New Roman"/>
        </w:rPr>
        <w:t>。电子制造业涉及的注塑工艺过程中V</w:t>
      </w:r>
      <w:r>
        <w:rPr>
          <w:rFonts w:cs="Times New Roman"/>
        </w:rPr>
        <w:t>OC</w:t>
      </w:r>
      <w:r>
        <w:rPr>
          <w:rFonts w:hint="eastAsia" w:cs="Times New Roman"/>
        </w:rPr>
        <w:t>s的排放浓度则普遍较低（&lt;</w:t>
      </w:r>
      <w:r>
        <w:rPr>
          <w:rFonts w:cs="Times New Roman"/>
        </w:rPr>
        <w:t>10 mg/m</w:t>
      </w:r>
      <w:r>
        <w:rPr>
          <w:rFonts w:cs="Times New Roman"/>
          <w:vertAlign w:val="superscript"/>
        </w:rPr>
        <w:t>3</w:t>
      </w:r>
      <w:r>
        <w:rPr>
          <w:rFonts w:hint="eastAsia" w:cs="Times New Roman"/>
        </w:rPr>
        <w:t>）。对于消费电子产品生产，涉及调漆、喷漆及烘烤工序的V</w:t>
      </w:r>
      <w:r>
        <w:rPr>
          <w:rFonts w:cs="Times New Roman"/>
        </w:rPr>
        <w:t>OC</w:t>
      </w:r>
      <w:r>
        <w:rPr>
          <w:rFonts w:hint="eastAsia" w:cs="Times New Roman"/>
        </w:rPr>
        <w:t>s排放浓度普遍较高；其中，电池盖喷漆和烘烤工艺V</w:t>
      </w:r>
      <w:r>
        <w:rPr>
          <w:rFonts w:cs="Times New Roman"/>
        </w:rPr>
        <w:t>OC</w:t>
      </w:r>
      <w:r>
        <w:rPr>
          <w:rFonts w:hint="eastAsia" w:cs="Times New Roman"/>
        </w:rPr>
        <w:t>s排放浓度在4</w:t>
      </w:r>
      <w:r>
        <w:rPr>
          <w:rFonts w:cs="Times New Roman"/>
        </w:rPr>
        <w:t>0</w:t>
      </w:r>
      <w:r>
        <w:rPr>
          <w:rFonts w:hint="eastAsia" w:cs="Times New Roman"/>
        </w:rPr>
        <w:t>~</w:t>
      </w:r>
      <w:r>
        <w:rPr>
          <w:rFonts w:cs="Times New Roman"/>
        </w:rPr>
        <w:t>70 mg/m</w:t>
      </w:r>
      <w:r>
        <w:rPr>
          <w:rFonts w:cs="Times New Roman"/>
          <w:vertAlign w:val="superscript"/>
        </w:rPr>
        <w:t>3</w:t>
      </w:r>
      <w:r>
        <w:rPr>
          <w:rFonts w:hint="eastAsia" w:cs="Times New Roman"/>
        </w:rPr>
        <w:t>之间；印刷电路板预烤工艺V</w:t>
      </w:r>
      <w:r>
        <w:rPr>
          <w:rFonts w:cs="Times New Roman"/>
        </w:rPr>
        <w:t>OC</w:t>
      </w:r>
      <w:r>
        <w:rPr>
          <w:rFonts w:hint="eastAsia" w:cs="Times New Roman"/>
        </w:rPr>
        <w:t>s排放浓度略高于后拷工艺，但均小于1</w:t>
      </w:r>
      <w:r>
        <w:rPr>
          <w:rFonts w:cs="Times New Roman"/>
        </w:rPr>
        <w:t>5 mg/m</w:t>
      </w:r>
      <w:r>
        <w:rPr>
          <w:rFonts w:cs="Times New Roman"/>
          <w:vertAlign w:val="superscript"/>
        </w:rPr>
        <w:t>3</w:t>
      </w:r>
      <w:r>
        <w:rPr>
          <w:rFonts w:hint="eastAsia" w:cs="Times New Roman"/>
        </w:rPr>
        <w:t>；游戏机主板和手机主板焊接工序V</w:t>
      </w:r>
      <w:r>
        <w:rPr>
          <w:rFonts w:cs="Times New Roman"/>
        </w:rPr>
        <w:t>OC</w:t>
      </w:r>
      <w:r>
        <w:rPr>
          <w:rFonts w:hint="eastAsia" w:cs="Times New Roman"/>
        </w:rPr>
        <w:t>s排放浓度在3</w:t>
      </w:r>
      <w:r>
        <w:rPr>
          <w:rFonts w:cs="Times New Roman"/>
        </w:rPr>
        <w:t>0 mg/m</w:t>
      </w:r>
      <w:r>
        <w:rPr>
          <w:rFonts w:cs="Times New Roman"/>
          <w:vertAlign w:val="superscript"/>
        </w:rPr>
        <w:t>3</w:t>
      </w:r>
      <w:r>
        <w:rPr>
          <w:rFonts w:hint="eastAsia" w:cs="Times New Roman"/>
        </w:rPr>
        <w:t>左右；而电脑外壳调漆、供漆、喷漆和烘烤过程中V</w:t>
      </w:r>
      <w:r>
        <w:rPr>
          <w:rFonts w:cs="Times New Roman"/>
        </w:rPr>
        <w:t>OC</w:t>
      </w:r>
      <w:r>
        <w:rPr>
          <w:rFonts w:hint="eastAsia" w:cs="Times New Roman"/>
        </w:rPr>
        <w:t>s排放浓度最高，在9</w:t>
      </w:r>
      <w:r>
        <w:rPr>
          <w:rFonts w:cs="Times New Roman"/>
        </w:rPr>
        <w:t>0</w:t>
      </w:r>
      <w:r>
        <w:rPr>
          <w:rFonts w:hint="eastAsia" w:cs="Times New Roman"/>
        </w:rPr>
        <w:t>~</w:t>
      </w:r>
      <w:r>
        <w:rPr>
          <w:rFonts w:cs="Times New Roman"/>
        </w:rPr>
        <w:t>120 mg/m</w:t>
      </w:r>
      <w:r>
        <w:rPr>
          <w:rFonts w:cs="Times New Roman"/>
          <w:vertAlign w:val="superscript"/>
        </w:rPr>
        <w:t>3</w:t>
      </w:r>
      <w:r>
        <w:rPr>
          <w:rFonts w:hint="eastAsia" w:cs="Times New Roman"/>
        </w:rPr>
        <w:t>之间。半导体行业芯片制造V</w:t>
      </w:r>
      <w:r>
        <w:rPr>
          <w:rFonts w:cs="Times New Roman"/>
        </w:rPr>
        <w:t>OC</w:t>
      </w:r>
      <w:r>
        <w:rPr>
          <w:rFonts w:hint="eastAsia" w:cs="Times New Roman"/>
        </w:rPr>
        <w:t>s排放浓度（4</w:t>
      </w:r>
      <w:r>
        <w:rPr>
          <w:rFonts w:cs="Times New Roman"/>
        </w:rPr>
        <w:t>0 mg/m</w:t>
      </w:r>
      <w:r>
        <w:rPr>
          <w:rFonts w:cs="Times New Roman"/>
          <w:vertAlign w:val="superscript"/>
        </w:rPr>
        <w:t>3</w:t>
      </w:r>
      <w:r>
        <w:rPr>
          <w:rFonts w:hint="eastAsia" w:cs="Times New Roman"/>
        </w:rPr>
        <w:t>）较集成电路制造V</w:t>
      </w:r>
      <w:r>
        <w:rPr>
          <w:rFonts w:cs="Times New Roman"/>
        </w:rPr>
        <w:t>OC</w:t>
      </w:r>
      <w:r>
        <w:rPr>
          <w:rFonts w:hint="eastAsia" w:cs="Times New Roman"/>
        </w:rPr>
        <w:t>s排放浓度（&lt;</w:t>
      </w:r>
      <w:r>
        <w:rPr>
          <w:rFonts w:cs="Times New Roman"/>
        </w:rPr>
        <w:t>5 mg/m</w:t>
      </w:r>
      <w:r>
        <w:rPr>
          <w:rFonts w:cs="Times New Roman"/>
          <w:vertAlign w:val="superscript"/>
        </w:rPr>
        <w:t>3</w:t>
      </w:r>
      <w:r>
        <w:rPr>
          <w:rFonts w:hint="eastAsia" w:cs="Times New Roman"/>
        </w:rPr>
        <w:t>）水平高。涤纶行业纺丝工艺废气V</w:t>
      </w:r>
      <w:r>
        <w:rPr>
          <w:rFonts w:cs="Times New Roman"/>
        </w:rPr>
        <w:t>OC</w:t>
      </w:r>
      <w:r>
        <w:rPr>
          <w:rFonts w:hint="eastAsia" w:cs="Times New Roman"/>
        </w:rPr>
        <w:t>s排放浓度均小于1</w:t>
      </w:r>
      <w:r>
        <w:rPr>
          <w:rFonts w:cs="Times New Roman"/>
        </w:rPr>
        <w:t>0 mg/m</w:t>
      </w:r>
      <w:r>
        <w:rPr>
          <w:rFonts w:cs="Times New Roman"/>
          <w:vertAlign w:val="superscript"/>
        </w:rPr>
        <w:t>3</w:t>
      </w:r>
      <w:r>
        <w:rPr>
          <w:rFonts w:hint="eastAsia" w:cs="Times New Roman"/>
        </w:rPr>
        <w:t>。对于金属表面处理，使用油性涂料进行喷涂和浸漆的，V</w:t>
      </w:r>
      <w:r>
        <w:rPr>
          <w:rFonts w:cs="Times New Roman"/>
        </w:rPr>
        <w:t>OC</w:t>
      </w:r>
      <w:r>
        <w:rPr>
          <w:rFonts w:hint="eastAsia" w:cs="Times New Roman"/>
        </w:rPr>
        <w:t>s排放浓度在</w:t>
      </w:r>
      <w:r>
        <w:rPr>
          <w:rFonts w:cs="Times New Roman"/>
        </w:rPr>
        <w:t>40</w:t>
      </w:r>
      <w:r>
        <w:rPr>
          <w:rFonts w:hint="eastAsia" w:cs="Times New Roman"/>
        </w:rPr>
        <w:t>~</w:t>
      </w:r>
      <w:r>
        <w:rPr>
          <w:rFonts w:cs="Times New Roman"/>
        </w:rPr>
        <w:t>100 mg/m</w:t>
      </w:r>
      <w:r>
        <w:rPr>
          <w:rFonts w:cs="Times New Roman"/>
          <w:vertAlign w:val="superscript"/>
        </w:rPr>
        <w:t>3</w:t>
      </w:r>
      <w:r>
        <w:rPr>
          <w:rFonts w:hint="eastAsia" w:cs="Times New Roman"/>
        </w:rPr>
        <w:t>，使用水性涂料的V</w:t>
      </w:r>
      <w:r>
        <w:rPr>
          <w:rFonts w:cs="Times New Roman"/>
        </w:rPr>
        <w:t>OC</w:t>
      </w:r>
      <w:r>
        <w:rPr>
          <w:rFonts w:hint="eastAsia" w:cs="Times New Roman"/>
        </w:rPr>
        <w:t>s排放浓度则相对较低（&lt;</w:t>
      </w:r>
      <w:r>
        <w:rPr>
          <w:rFonts w:cs="Times New Roman"/>
        </w:rPr>
        <w:t>10 mg/m</w:t>
      </w:r>
      <w:r>
        <w:rPr>
          <w:rFonts w:cs="Times New Roman"/>
          <w:vertAlign w:val="superscript"/>
        </w:rPr>
        <w:t>3</w:t>
      </w:r>
      <w:r>
        <w:rPr>
          <w:rFonts w:hint="eastAsia" w:cs="Times New Roman"/>
        </w:rPr>
        <w:t>）。总的来说，涉及到溶剂喷涂、烘烤等工序的工业企业V</w:t>
      </w:r>
      <w:r>
        <w:rPr>
          <w:rFonts w:cs="Times New Roman"/>
        </w:rPr>
        <w:t>OC</w:t>
      </w:r>
      <w:r>
        <w:rPr>
          <w:rFonts w:hint="eastAsia" w:cs="Times New Roman"/>
        </w:rPr>
        <w:t>s排放浓度较高，印染纺织、塑料加工成型等工序V</w:t>
      </w:r>
      <w:r>
        <w:rPr>
          <w:rFonts w:cs="Times New Roman"/>
        </w:rPr>
        <w:t>OC</w:t>
      </w:r>
      <w:r>
        <w:rPr>
          <w:rFonts w:hint="eastAsia" w:cs="Times New Roman"/>
        </w:rPr>
        <w:t>s排放浓度相对较低。</w:t>
      </w:r>
    </w:p>
    <w:p>
      <w:pPr>
        <w:pStyle w:val="13"/>
        <w:spacing w:before="156" w:beforeLines="50" w:after="156" w:afterLines="50"/>
      </w:pPr>
      <w:r>
        <w:t xml:space="preserve">表7-8  </w:t>
      </w:r>
      <w:r>
        <w:rPr>
          <w:rFonts w:hint="eastAsia"/>
        </w:rPr>
        <w:t>文献调研部分行业排放V</w:t>
      </w:r>
      <w:r>
        <w:t>OC</w:t>
      </w:r>
      <w:r>
        <w:rPr>
          <w:rFonts w:hint="eastAsia"/>
        </w:rPr>
        <w:t>s浓度水平</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6"/>
        <w:gridCol w:w="2635"/>
        <w:gridCol w:w="1321"/>
        <w:gridCol w:w="2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1442" w:type="pct"/>
            <w:shd w:val="clear" w:color="auto" w:fill="auto"/>
            <w:noWrap/>
            <w:vAlign w:val="center"/>
          </w:tcPr>
          <w:p>
            <w:pPr>
              <w:widowControl/>
              <w:jc w:val="center"/>
              <w:rPr>
                <w:rFonts w:ascii="Times New Roman" w:hAnsi="Times New Roman"/>
                <w:b/>
                <w:bCs/>
                <w:color w:val="000000"/>
                <w:kern w:val="0"/>
                <w:sz w:val="22"/>
                <w:szCs w:val="22"/>
              </w:rPr>
            </w:pPr>
            <w:r>
              <w:rPr>
                <w:rFonts w:ascii="Times New Roman" w:hAnsi="Times New Roman"/>
                <w:b/>
                <w:bCs/>
                <w:color w:val="000000"/>
                <w:kern w:val="0"/>
                <w:sz w:val="22"/>
                <w:szCs w:val="22"/>
              </w:rPr>
              <w:t>企业生产类型</w:t>
            </w:r>
          </w:p>
        </w:tc>
        <w:tc>
          <w:tcPr>
            <w:tcW w:w="1630" w:type="pct"/>
            <w:shd w:val="clear" w:color="auto" w:fill="auto"/>
            <w:noWrap/>
            <w:vAlign w:val="center"/>
          </w:tcPr>
          <w:p>
            <w:pPr>
              <w:widowControl/>
              <w:jc w:val="center"/>
              <w:rPr>
                <w:rFonts w:ascii="Times New Roman" w:hAnsi="Times New Roman"/>
                <w:b/>
                <w:bCs/>
                <w:color w:val="000000"/>
                <w:kern w:val="0"/>
                <w:sz w:val="22"/>
                <w:szCs w:val="22"/>
              </w:rPr>
            </w:pPr>
            <w:r>
              <w:rPr>
                <w:rFonts w:ascii="Times New Roman" w:hAnsi="Times New Roman"/>
                <w:b/>
                <w:bCs/>
                <w:color w:val="000000"/>
                <w:kern w:val="0"/>
                <w:sz w:val="22"/>
                <w:szCs w:val="22"/>
              </w:rPr>
              <w:t>工艺工序</w:t>
            </w:r>
          </w:p>
        </w:tc>
        <w:tc>
          <w:tcPr>
            <w:tcW w:w="645" w:type="pct"/>
            <w:shd w:val="clear" w:color="auto" w:fill="auto"/>
            <w:noWrap/>
            <w:vAlign w:val="center"/>
          </w:tcPr>
          <w:p>
            <w:pPr>
              <w:widowControl/>
              <w:jc w:val="center"/>
              <w:rPr>
                <w:rFonts w:ascii="Times New Roman" w:hAnsi="Times New Roman"/>
                <w:b/>
                <w:bCs/>
                <w:color w:val="000000"/>
                <w:kern w:val="0"/>
                <w:sz w:val="22"/>
                <w:szCs w:val="22"/>
              </w:rPr>
            </w:pPr>
            <w:r>
              <w:rPr>
                <w:rFonts w:ascii="Times New Roman" w:hAnsi="Times New Roman"/>
                <w:b/>
                <w:bCs/>
                <w:color w:val="000000"/>
                <w:kern w:val="0"/>
                <w:sz w:val="22"/>
                <w:szCs w:val="22"/>
              </w:rPr>
              <w:t>污染物</w:t>
            </w:r>
            <w:r>
              <w:rPr>
                <w:rFonts w:hint="eastAsia" w:ascii="Times New Roman" w:hAnsi="Times New Roman"/>
                <w:b/>
                <w:bCs/>
                <w:color w:val="000000"/>
                <w:kern w:val="0"/>
                <w:sz w:val="22"/>
                <w:szCs w:val="22"/>
              </w:rPr>
              <w:t>类型</w:t>
            </w:r>
          </w:p>
        </w:tc>
        <w:tc>
          <w:tcPr>
            <w:tcW w:w="1283" w:type="pct"/>
            <w:shd w:val="clear" w:color="auto" w:fill="auto"/>
            <w:noWrap/>
            <w:vAlign w:val="center"/>
          </w:tcPr>
          <w:p>
            <w:pPr>
              <w:widowControl/>
              <w:jc w:val="center"/>
              <w:rPr>
                <w:rFonts w:ascii="Times New Roman" w:hAnsi="Times New Roman"/>
                <w:b/>
                <w:bCs/>
                <w:color w:val="000000"/>
                <w:kern w:val="0"/>
                <w:sz w:val="22"/>
                <w:szCs w:val="22"/>
              </w:rPr>
            </w:pPr>
            <w:r>
              <w:rPr>
                <w:rFonts w:ascii="Times New Roman" w:hAnsi="Times New Roman"/>
                <w:b/>
                <w:bCs/>
                <w:color w:val="000000"/>
                <w:kern w:val="0"/>
                <w:sz w:val="22"/>
                <w:szCs w:val="22"/>
              </w:rPr>
              <w:t>浓度水平（mg/m</w:t>
            </w:r>
            <w:r>
              <w:rPr>
                <w:rFonts w:ascii="Times New Roman" w:hAnsi="Times New Roman"/>
                <w:b/>
                <w:bCs/>
                <w:color w:val="000000"/>
                <w:kern w:val="0"/>
                <w:sz w:val="22"/>
                <w:szCs w:val="22"/>
                <w:vertAlign w:val="superscript"/>
              </w:rPr>
              <w:t>3</w:t>
            </w:r>
            <w:r>
              <w:rPr>
                <w:rFonts w:ascii="Times New Roman" w:hAnsi="Times New Roman"/>
                <w:b/>
                <w:bCs/>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restar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浆纸制造</w:t>
            </w: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漂白车间洗涤塔</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100~190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continue"/>
            <w:shd w:val="clear" w:color="auto" w:fill="auto"/>
            <w:noWrap/>
            <w:vAlign w:val="center"/>
          </w:tcPr>
          <w:p>
            <w:pPr>
              <w:widowControl/>
              <w:jc w:val="left"/>
              <w:rPr>
                <w:rFonts w:ascii="Times New Roman" w:hAnsi="Times New Roman"/>
                <w:color w:val="000000"/>
                <w:kern w:val="0"/>
                <w:sz w:val="22"/>
                <w:szCs w:val="22"/>
              </w:rPr>
            </w:pP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碱回收炉排气筒</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continue"/>
            <w:shd w:val="clear" w:color="auto" w:fill="auto"/>
            <w:noWrap/>
            <w:vAlign w:val="center"/>
          </w:tcPr>
          <w:p>
            <w:pPr>
              <w:widowControl/>
              <w:jc w:val="left"/>
              <w:rPr>
                <w:rFonts w:ascii="Times New Roman" w:hAnsi="Times New Roman"/>
                <w:color w:val="000000"/>
                <w:kern w:val="0"/>
                <w:sz w:val="22"/>
                <w:szCs w:val="22"/>
              </w:rPr>
            </w:pP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锅炉排气筒</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continue"/>
            <w:shd w:val="clear" w:color="auto" w:fill="auto"/>
            <w:noWrap/>
            <w:vAlign w:val="center"/>
          </w:tcPr>
          <w:p>
            <w:pPr>
              <w:widowControl/>
              <w:jc w:val="left"/>
              <w:rPr>
                <w:rFonts w:ascii="Times New Roman" w:hAnsi="Times New Roman"/>
                <w:color w:val="000000"/>
                <w:kern w:val="0"/>
                <w:sz w:val="22"/>
                <w:szCs w:val="22"/>
              </w:rPr>
            </w:pP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石灰窑排气筒</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continue"/>
            <w:shd w:val="clear" w:color="auto" w:fill="auto"/>
            <w:noWrap/>
            <w:vAlign w:val="center"/>
          </w:tcPr>
          <w:p>
            <w:pPr>
              <w:widowControl/>
              <w:jc w:val="left"/>
              <w:rPr>
                <w:rFonts w:ascii="Times New Roman" w:hAnsi="Times New Roman"/>
                <w:color w:val="000000"/>
                <w:kern w:val="0"/>
                <w:sz w:val="22"/>
                <w:szCs w:val="22"/>
              </w:rPr>
            </w:pP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绿泥溶解槽排气筒</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restar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人造板制造</w:t>
            </w: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热压废气排放口</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4.6~8.9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continue"/>
            <w:shd w:val="clear" w:color="auto" w:fill="auto"/>
            <w:noWrap/>
            <w:vAlign w:val="center"/>
          </w:tcPr>
          <w:p>
            <w:pPr>
              <w:widowControl/>
              <w:jc w:val="left"/>
              <w:rPr>
                <w:rFonts w:ascii="Times New Roman" w:hAnsi="Times New Roman"/>
                <w:color w:val="000000"/>
                <w:kern w:val="0"/>
                <w:sz w:val="22"/>
                <w:szCs w:val="22"/>
              </w:rPr>
            </w:pP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调胶、施胶排放口</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continue"/>
            <w:shd w:val="clear" w:color="auto" w:fill="auto"/>
            <w:noWrap/>
            <w:vAlign w:val="center"/>
          </w:tcPr>
          <w:p>
            <w:pPr>
              <w:widowControl/>
              <w:jc w:val="left"/>
              <w:rPr>
                <w:rFonts w:ascii="Times New Roman" w:hAnsi="Times New Roman"/>
                <w:color w:val="000000"/>
                <w:kern w:val="0"/>
                <w:sz w:val="22"/>
                <w:szCs w:val="22"/>
              </w:rPr>
            </w:pP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制胶车间排放口</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restar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纤维板生产</w:t>
            </w: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干燥工序</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11.7~20.5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continue"/>
            <w:shd w:val="clear" w:color="auto" w:fill="auto"/>
            <w:noWrap/>
            <w:vAlign w:val="center"/>
          </w:tcPr>
          <w:p>
            <w:pPr>
              <w:widowControl/>
              <w:jc w:val="left"/>
              <w:rPr>
                <w:rFonts w:ascii="Times New Roman" w:hAnsi="Times New Roman"/>
                <w:color w:val="000000"/>
                <w:kern w:val="0"/>
                <w:sz w:val="22"/>
                <w:szCs w:val="22"/>
              </w:rPr>
            </w:pP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热压废气</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5.1~8.5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restar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纤维生产</w:t>
            </w: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黄化车间</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173.9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continue"/>
            <w:shd w:val="clear" w:color="auto" w:fill="auto"/>
            <w:noWrap/>
            <w:vAlign w:val="center"/>
          </w:tcPr>
          <w:p>
            <w:pPr>
              <w:widowControl/>
              <w:jc w:val="left"/>
              <w:rPr>
                <w:rFonts w:ascii="Times New Roman" w:hAnsi="Times New Roman"/>
                <w:color w:val="000000"/>
                <w:kern w:val="0"/>
                <w:sz w:val="22"/>
                <w:szCs w:val="22"/>
              </w:rPr>
            </w:pP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纺丝车间</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308.9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restar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人造石制造</w:t>
            </w: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人造石制造</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continue"/>
            <w:shd w:val="clear" w:color="auto" w:fill="auto"/>
            <w:noWrap/>
            <w:vAlign w:val="center"/>
          </w:tcPr>
          <w:p>
            <w:pPr>
              <w:widowControl/>
              <w:jc w:val="left"/>
              <w:rPr>
                <w:rFonts w:ascii="Times New Roman" w:hAnsi="Times New Roman"/>
                <w:color w:val="000000"/>
                <w:kern w:val="0"/>
                <w:sz w:val="22"/>
                <w:szCs w:val="22"/>
              </w:rPr>
            </w:pP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岗石制造</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continue"/>
            <w:shd w:val="clear" w:color="auto" w:fill="auto"/>
            <w:noWrap/>
            <w:vAlign w:val="center"/>
          </w:tcPr>
          <w:p>
            <w:pPr>
              <w:widowControl/>
              <w:jc w:val="left"/>
              <w:rPr>
                <w:rFonts w:ascii="Times New Roman" w:hAnsi="Times New Roman"/>
                <w:color w:val="000000"/>
                <w:kern w:val="0"/>
                <w:sz w:val="22"/>
                <w:szCs w:val="22"/>
              </w:rPr>
            </w:pP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石英石制造</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continue"/>
            <w:shd w:val="clear" w:color="auto" w:fill="auto"/>
            <w:noWrap/>
            <w:vAlign w:val="center"/>
          </w:tcPr>
          <w:p>
            <w:pPr>
              <w:widowControl/>
              <w:jc w:val="left"/>
              <w:rPr>
                <w:rFonts w:ascii="Times New Roman" w:hAnsi="Times New Roman"/>
                <w:color w:val="000000"/>
                <w:kern w:val="0"/>
                <w:sz w:val="22"/>
                <w:szCs w:val="22"/>
              </w:rPr>
            </w:pP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石材补板</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restar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石墨碳素生产</w:t>
            </w: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焙烧车间</w:t>
            </w:r>
          </w:p>
        </w:tc>
        <w:tc>
          <w:tcPr>
            <w:tcW w:w="645" w:type="pct"/>
            <w:vMerge w:val="restar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vMerge w:val="restar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&lt;5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continue"/>
            <w:shd w:val="clear" w:color="auto" w:fill="auto"/>
            <w:noWrap/>
            <w:vAlign w:val="center"/>
          </w:tcPr>
          <w:p>
            <w:pPr>
              <w:widowControl/>
              <w:jc w:val="center"/>
              <w:rPr>
                <w:rFonts w:ascii="Times New Roman" w:hAnsi="Times New Roman"/>
                <w:color w:val="000000"/>
                <w:kern w:val="0"/>
                <w:sz w:val="22"/>
                <w:szCs w:val="22"/>
              </w:rPr>
            </w:pP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煅烧车间</w:t>
            </w:r>
          </w:p>
        </w:tc>
        <w:tc>
          <w:tcPr>
            <w:tcW w:w="645" w:type="pct"/>
            <w:vMerge w:val="continue"/>
            <w:shd w:val="clear" w:color="auto" w:fill="auto"/>
            <w:noWrap/>
            <w:vAlign w:val="center"/>
          </w:tcPr>
          <w:p>
            <w:pPr>
              <w:widowControl/>
              <w:jc w:val="left"/>
              <w:rPr>
                <w:rFonts w:ascii="Times New Roman" w:hAnsi="Times New Roman"/>
                <w:color w:val="000000"/>
                <w:kern w:val="0"/>
                <w:sz w:val="22"/>
                <w:szCs w:val="22"/>
              </w:rPr>
            </w:pPr>
          </w:p>
        </w:tc>
        <w:tc>
          <w:tcPr>
            <w:tcW w:w="1283" w:type="pct"/>
            <w:vMerge w:val="continue"/>
            <w:shd w:val="clear" w:color="auto" w:fill="auto"/>
            <w:noWrap/>
            <w:vAlign w:val="center"/>
          </w:tcPr>
          <w:p>
            <w:pPr>
              <w:widowControl/>
              <w:jc w:val="center"/>
              <w:rPr>
                <w:rFonts w:ascii="Times New Roman" w:hAnsi="Times New Roman" w:eastAsia="Times New Roman"/>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continue"/>
            <w:shd w:val="clear" w:color="auto" w:fill="auto"/>
            <w:noWrap/>
            <w:vAlign w:val="center"/>
          </w:tcPr>
          <w:p>
            <w:pPr>
              <w:widowControl/>
              <w:jc w:val="center"/>
              <w:rPr>
                <w:rFonts w:ascii="Times New Roman" w:hAnsi="Times New Roman" w:eastAsia="Times New Roman"/>
                <w:kern w:val="0"/>
                <w:sz w:val="20"/>
                <w:szCs w:val="20"/>
              </w:rPr>
            </w:pP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成型车间</w:t>
            </w:r>
          </w:p>
        </w:tc>
        <w:tc>
          <w:tcPr>
            <w:tcW w:w="645" w:type="pct"/>
            <w:vMerge w:val="continue"/>
            <w:shd w:val="clear" w:color="auto" w:fill="auto"/>
            <w:noWrap/>
            <w:vAlign w:val="center"/>
          </w:tcPr>
          <w:p>
            <w:pPr>
              <w:widowControl/>
              <w:jc w:val="left"/>
              <w:rPr>
                <w:rFonts w:ascii="Times New Roman" w:hAnsi="Times New Roman"/>
                <w:color w:val="000000"/>
                <w:kern w:val="0"/>
                <w:sz w:val="22"/>
                <w:szCs w:val="22"/>
              </w:rPr>
            </w:pPr>
          </w:p>
        </w:tc>
        <w:tc>
          <w:tcPr>
            <w:tcW w:w="1283" w:type="pct"/>
            <w:vMerge w:val="continue"/>
            <w:shd w:val="clear" w:color="auto" w:fill="auto"/>
            <w:noWrap/>
            <w:vAlign w:val="center"/>
          </w:tcPr>
          <w:p>
            <w:pPr>
              <w:widowControl/>
              <w:jc w:val="center"/>
              <w:rPr>
                <w:rFonts w:ascii="Times New Roman" w:hAnsi="Times New Roman" w:eastAsia="Times New Roman"/>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restar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塑胶制造</w:t>
            </w: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胶布成型工艺</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continue"/>
            <w:shd w:val="clear" w:color="auto" w:fill="auto"/>
            <w:noWrap/>
            <w:vAlign w:val="center"/>
          </w:tcPr>
          <w:p>
            <w:pPr>
              <w:widowControl/>
              <w:jc w:val="left"/>
              <w:rPr>
                <w:rFonts w:ascii="Times New Roman" w:hAnsi="Times New Roman"/>
                <w:color w:val="000000"/>
                <w:kern w:val="0"/>
                <w:sz w:val="22"/>
                <w:szCs w:val="22"/>
              </w:rPr>
            </w:pP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涂布工艺</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印刷电路板</w:t>
            </w: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车间排放口</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0.3~31.2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restar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半导体行业</w:t>
            </w: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芯片制造</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41.06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continue"/>
            <w:shd w:val="clear" w:color="auto" w:fill="auto"/>
            <w:noWrap/>
            <w:vAlign w:val="center"/>
          </w:tcPr>
          <w:p>
            <w:pPr>
              <w:widowControl/>
              <w:jc w:val="left"/>
              <w:rPr>
                <w:rFonts w:ascii="Times New Roman" w:hAnsi="Times New Roman"/>
                <w:color w:val="000000"/>
                <w:kern w:val="0"/>
                <w:sz w:val="22"/>
                <w:szCs w:val="22"/>
              </w:rPr>
            </w:pP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集成电路制造</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restar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电子制造业塑料件生产</w:t>
            </w: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注塑成型期</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1.3~11.0（4.8）</w:t>
            </w:r>
            <w:r>
              <w:rPr>
                <w:rFonts w:hint="eastAsia" w:ascii="Times New Roman" w:hAnsi="Times New Roman"/>
                <w:color w:val="000000"/>
                <w:kern w:val="0"/>
                <w:sz w:val="22"/>
                <w:szCs w:val="22"/>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continue"/>
            <w:shd w:val="clear" w:color="auto" w:fill="auto"/>
            <w:noWrap/>
            <w:vAlign w:val="center"/>
          </w:tcPr>
          <w:p>
            <w:pPr>
              <w:widowControl/>
              <w:jc w:val="left"/>
              <w:rPr>
                <w:rFonts w:ascii="Times New Roman" w:hAnsi="Times New Roman"/>
                <w:color w:val="000000"/>
                <w:kern w:val="0"/>
                <w:sz w:val="22"/>
                <w:szCs w:val="22"/>
              </w:rPr>
            </w:pP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塑料件加期-喷涂工艺</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27.4~253.7（99.9）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continue"/>
            <w:shd w:val="clear" w:color="auto" w:fill="auto"/>
            <w:noWrap/>
            <w:vAlign w:val="center"/>
          </w:tcPr>
          <w:p>
            <w:pPr>
              <w:widowControl/>
              <w:jc w:val="left"/>
              <w:rPr>
                <w:rFonts w:ascii="Times New Roman" w:hAnsi="Times New Roman"/>
                <w:color w:val="000000"/>
                <w:kern w:val="0"/>
                <w:sz w:val="22"/>
                <w:szCs w:val="22"/>
              </w:rPr>
            </w:pP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塑料件加期-非喷涂工艺</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4~28.7（15.6）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restar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消费电子产品制造</w:t>
            </w: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电池盖喷漆</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48.01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continue"/>
            <w:shd w:val="clear" w:color="auto" w:fill="auto"/>
            <w:noWrap/>
            <w:vAlign w:val="center"/>
          </w:tcPr>
          <w:p>
            <w:pPr>
              <w:widowControl/>
              <w:jc w:val="left"/>
              <w:rPr>
                <w:rFonts w:ascii="Times New Roman" w:hAnsi="Times New Roman"/>
                <w:color w:val="000000"/>
                <w:kern w:val="0"/>
                <w:sz w:val="22"/>
                <w:szCs w:val="22"/>
              </w:rPr>
            </w:pP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电池盖烘烤</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66.55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continue"/>
            <w:shd w:val="clear" w:color="auto" w:fill="auto"/>
            <w:noWrap/>
            <w:vAlign w:val="center"/>
          </w:tcPr>
          <w:p>
            <w:pPr>
              <w:widowControl/>
              <w:jc w:val="left"/>
              <w:rPr>
                <w:rFonts w:ascii="Times New Roman" w:hAnsi="Times New Roman"/>
                <w:color w:val="000000"/>
                <w:kern w:val="0"/>
                <w:sz w:val="22"/>
                <w:szCs w:val="22"/>
              </w:rPr>
            </w:pP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印刷线路板预烤</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11.36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continue"/>
            <w:shd w:val="clear" w:color="auto" w:fill="auto"/>
            <w:noWrap/>
            <w:vAlign w:val="center"/>
          </w:tcPr>
          <w:p>
            <w:pPr>
              <w:widowControl/>
              <w:jc w:val="left"/>
              <w:rPr>
                <w:rFonts w:ascii="Times New Roman" w:hAnsi="Times New Roman"/>
                <w:color w:val="000000"/>
                <w:kern w:val="0"/>
                <w:sz w:val="22"/>
                <w:szCs w:val="22"/>
              </w:rPr>
            </w:pP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印刷线路板后烤</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continue"/>
            <w:shd w:val="clear" w:color="auto" w:fill="auto"/>
            <w:noWrap/>
            <w:vAlign w:val="center"/>
          </w:tcPr>
          <w:p>
            <w:pPr>
              <w:widowControl/>
              <w:jc w:val="left"/>
              <w:rPr>
                <w:rFonts w:ascii="Times New Roman" w:hAnsi="Times New Roman"/>
                <w:color w:val="000000"/>
                <w:kern w:val="0"/>
                <w:sz w:val="22"/>
                <w:szCs w:val="22"/>
              </w:rPr>
            </w:pP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游戏机主板焊接</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30.21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continue"/>
            <w:shd w:val="clear" w:color="auto" w:fill="auto"/>
            <w:noWrap/>
            <w:vAlign w:val="center"/>
          </w:tcPr>
          <w:p>
            <w:pPr>
              <w:widowControl/>
              <w:jc w:val="left"/>
              <w:rPr>
                <w:rFonts w:ascii="Times New Roman" w:hAnsi="Times New Roman"/>
                <w:color w:val="000000"/>
                <w:kern w:val="0"/>
                <w:sz w:val="22"/>
                <w:szCs w:val="22"/>
              </w:rPr>
            </w:pP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手机主板焊接</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29.81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continue"/>
            <w:shd w:val="clear" w:color="auto" w:fill="auto"/>
            <w:noWrap/>
            <w:vAlign w:val="center"/>
          </w:tcPr>
          <w:p>
            <w:pPr>
              <w:widowControl/>
              <w:jc w:val="left"/>
              <w:rPr>
                <w:rFonts w:ascii="Times New Roman" w:hAnsi="Times New Roman"/>
                <w:color w:val="000000"/>
                <w:kern w:val="0"/>
                <w:sz w:val="22"/>
                <w:szCs w:val="22"/>
              </w:rPr>
            </w:pP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电脑外壳喷漆</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93.12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continue"/>
            <w:shd w:val="clear" w:color="auto" w:fill="auto"/>
            <w:noWrap/>
            <w:vAlign w:val="center"/>
          </w:tcPr>
          <w:p>
            <w:pPr>
              <w:widowControl/>
              <w:jc w:val="left"/>
              <w:rPr>
                <w:rFonts w:ascii="Times New Roman" w:hAnsi="Times New Roman"/>
                <w:color w:val="000000"/>
                <w:kern w:val="0"/>
                <w:sz w:val="22"/>
                <w:szCs w:val="22"/>
              </w:rPr>
            </w:pP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电脑外壳烘烤</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115.05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漆包线生产</w:t>
            </w: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排放口</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150~300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restar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金属表面处理</w:t>
            </w: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油性涂料喷涂排放口</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continue"/>
            <w:shd w:val="clear" w:color="auto" w:fill="auto"/>
            <w:noWrap/>
            <w:vAlign w:val="center"/>
          </w:tcPr>
          <w:p>
            <w:pPr>
              <w:widowControl/>
              <w:jc w:val="left"/>
              <w:rPr>
                <w:rFonts w:ascii="Times New Roman" w:hAnsi="Times New Roman"/>
                <w:color w:val="000000"/>
                <w:kern w:val="0"/>
                <w:sz w:val="22"/>
                <w:szCs w:val="22"/>
              </w:rPr>
            </w:pP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油性涂料浸漆排放口</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continue"/>
            <w:shd w:val="clear" w:color="auto" w:fill="auto"/>
            <w:noWrap/>
            <w:vAlign w:val="center"/>
          </w:tcPr>
          <w:p>
            <w:pPr>
              <w:widowControl/>
              <w:jc w:val="left"/>
              <w:rPr>
                <w:rFonts w:ascii="Times New Roman" w:hAnsi="Times New Roman"/>
                <w:color w:val="000000"/>
                <w:kern w:val="0"/>
                <w:sz w:val="22"/>
                <w:szCs w:val="22"/>
              </w:rPr>
            </w:pP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水性涂料喷涂排放口</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TVOC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电子信息行业</w:t>
            </w: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hint="eastAsia" w:ascii="Times New Roman" w:hAnsi="Times New Roman"/>
                <w:color w:val="000000"/>
                <w:kern w:val="0"/>
                <w:sz w:val="22"/>
                <w:szCs w:val="22"/>
              </w:rPr>
              <w:t>车间排放口</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NMHC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2.8~156（11.5）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轮胎制造</w:t>
            </w:r>
          </w:p>
        </w:tc>
        <w:tc>
          <w:tcPr>
            <w:tcW w:w="1630" w:type="pct"/>
            <w:shd w:val="clear" w:color="auto" w:fill="auto"/>
            <w:noWrap/>
          </w:tcPr>
          <w:p>
            <w:pPr>
              <w:widowControl/>
              <w:jc w:val="left"/>
              <w:rPr>
                <w:rFonts w:ascii="Times New Roman" w:hAnsi="Times New Roman"/>
                <w:color w:val="000000"/>
                <w:kern w:val="0"/>
                <w:sz w:val="22"/>
                <w:szCs w:val="22"/>
              </w:rPr>
            </w:pPr>
            <w:r>
              <w:rPr>
                <w:rFonts w:hint="eastAsia" w:ascii="Times New Roman" w:hAnsi="Times New Roman"/>
                <w:color w:val="000000"/>
                <w:kern w:val="0"/>
                <w:sz w:val="22"/>
                <w:szCs w:val="22"/>
              </w:rPr>
              <w:t>车间排放口</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NMHC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0.89~8.17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初级形态塑料制造</w:t>
            </w:r>
          </w:p>
        </w:tc>
        <w:tc>
          <w:tcPr>
            <w:tcW w:w="1630" w:type="pct"/>
            <w:shd w:val="clear" w:color="auto" w:fill="auto"/>
            <w:noWrap/>
          </w:tcPr>
          <w:p>
            <w:pPr>
              <w:widowControl/>
              <w:jc w:val="left"/>
              <w:rPr>
                <w:rFonts w:ascii="Times New Roman" w:hAnsi="Times New Roman"/>
                <w:color w:val="000000"/>
                <w:kern w:val="0"/>
                <w:sz w:val="22"/>
                <w:szCs w:val="22"/>
              </w:rPr>
            </w:pPr>
            <w:r>
              <w:rPr>
                <w:rFonts w:hint="eastAsia" w:ascii="Times New Roman" w:hAnsi="Times New Roman"/>
                <w:color w:val="000000"/>
                <w:kern w:val="0"/>
                <w:sz w:val="22"/>
                <w:szCs w:val="22"/>
              </w:rPr>
              <w:t>车间排放口</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NMHC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0.35~53.1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纺织印染</w:t>
            </w:r>
          </w:p>
        </w:tc>
        <w:tc>
          <w:tcPr>
            <w:tcW w:w="1630" w:type="pct"/>
            <w:shd w:val="clear" w:color="auto" w:fill="auto"/>
            <w:noWrap/>
          </w:tcPr>
          <w:p>
            <w:pPr>
              <w:widowControl/>
              <w:jc w:val="left"/>
              <w:rPr>
                <w:rFonts w:ascii="Times New Roman" w:hAnsi="Times New Roman"/>
                <w:color w:val="000000"/>
                <w:kern w:val="0"/>
                <w:sz w:val="22"/>
                <w:szCs w:val="22"/>
              </w:rPr>
            </w:pPr>
            <w:r>
              <w:rPr>
                <w:rFonts w:hint="eastAsia" w:ascii="Times New Roman" w:hAnsi="Times New Roman"/>
                <w:color w:val="000000"/>
                <w:kern w:val="0"/>
                <w:sz w:val="22"/>
                <w:szCs w:val="22"/>
              </w:rPr>
              <w:t>车间排放口</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NMHC</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0.92~9.42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restar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人造板制造</w:t>
            </w: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热压废气排放口</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甲醛</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1.5~2.7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continue"/>
            <w:shd w:val="clear" w:color="auto" w:fill="auto"/>
            <w:noWrap/>
            <w:vAlign w:val="center"/>
          </w:tcPr>
          <w:p>
            <w:pPr>
              <w:widowControl/>
              <w:jc w:val="left"/>
              <w:rPr>
                <w:rFonts w:ascii="Times New Roman" w:hAnsi="Times New Roman"/>
                <w:color w:val="000000"/>
                <w:kern w:val="0"/>
                <w:sz w:val="22"/>
                <w:szCs w:val="22"/>
              </w:rPr>
            </w:pP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调胶、施胶排放口</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甲醛</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continue"/>
            <w:shd w:val="clear" w:color="auto" w:fill="auto"/>
            <w:noWrap/>
            <w:vAlign w:val="center"/>
          </w:tcPr>
          <w:p>
            <w:pPr>
              <w:widowControl/>
              <w:jc w:val="left"/>
              <w:rPr>
                <w:rFonts w:ascii="Times New Roman" w:hAnsi="Times New Roman"/>
                <w:color w:val="000000"/>
                <w:kern w:val="0"/>
                <w:sz w:val="22"/>
                <w:szCs w:val="22"/>
              </w:rPr>
            </w:pP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制胶车间排放口</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甲醛</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restar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纤维板生产</w:t>
            </w: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干燥工序</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甲醛</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2" w:type="pct"/>
            <w:vMerge w:val="continue"/>
            <w:shd w:val="clear" w:color="auto" w:fill="auto"/>
            <w:noWrap/>
            <w:vAlign w:val="center"/>
          </w:tcPr>
          <w:p>
            <w:pPr>
              <w:widowControl/>
              <w:jc w:val="left"/>
              <w:rPr>
                <w:rFonts w:ascii="Times New Roman" w:hAnsi="Times New Roman"/>
                <w:color w:val="000000"/>
                <w:kern w:val="0"/>
                <w:sz w:val="22"/>
                <w:szCs w:val="22"/>
              </w:rPr>
            </w:pPr>
          </w:p>
        </w:tc>
        <w:tc>
          <w:tcPr>
            <w:tcW w:w="1630" w:type="pct"/>
            <w:shd w:val="clear" w:color="auto" w:fill="auto"/>
            <w:noWrap/>
            <w:vAlign w:val="center"/>
          </w:tcPr>
          <w:p>
            <w:pPr>
              <w:widowControl/>
              <w:jc w:val="left"/>
              <w:rPr>
                <w:rFonts w:ascii="Times New Roman" w:hAnsi="Times New Roman"/>
                <w:color w:val="000000"/>
                <w:kern w:val="0"/>
                <w:sz w:val="22"/>
                <w:szCs w:val="22"/>
              </w:rPr>
            </w:pPr>
            <w:r>
              <w:rPr>
                <w:rFonts w:ascii="Times New Roman" w:hAnsi="Times New Roman"/>
                <w:color w:val="000000"/>
                <w:kern w:val="0"/>
                <w:sz w:val="22"/>
                <w:szCs w:val="22"/>
              </w:rPr>
              <w:t>热压废气</w:t>
            </w:r>
          </w:p>
        </w:tc>
        <w:tc>
          <w:tcPr>
            <w:tcW w:w="645"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甲醛</w:t>
            </w:r>
          </w:p>
        </w:tc>
        <w:tc>
          <w:tcPr>
            <w:tcW w:w="1283" w:type="pct"/>
            <w:shd w:val="clear" w:color="auto" w:fill="auto"/>
            <w:noWrap/>
            <w:vAlign w:val="center"/>
          </w:tcPr>
          <w:p>
            <w:pPr>
              <w:widowControl/>
              <w:jc w:val="center"/>
              <w:rPr>
                <w:rFonts w:ascii="Times New Roman" w:hAnsi="Times New Roman"/>
                <w:color w:val="000000"/>
                <w:kern w:val="0"/>
                <w:sz w:val="22"/>
                <w:szCs w:val="22"/>
              </w:rPr>
            </w:pPr>
            <w:r>
              <w:rPr>
                <w:rFonts w:ascii="Times New Roman" w:hAnsi="Times New Roman"/>
                <w:color w:val="000000"/>
                <w:kern w:val="0"/>
                <w:sz w:val="22"/>
                <w:szCs w:val="22"/>
              </w:rPr>
              <w:t>1~2.3</w:t>
            </w:r>
          </w:p>
        </w:tc>
      </w:tr>
    </w:tbl>
    <w:p>
      <w:pPr>
        <w:pStyle w:val="68"/>
        <w:ind w:firstLine="0" w:firstLineChars="0"/>
        <w:rPr>
          <w:rFonts w:cs="Times New Roman"/>
        </w:rPr>
      </w:pPr>
      <w:r>
        <w:rPr>
          <w:rFonts w:hint="eastAsia" w:cs="Times New Roman"/>
          <w:vertAlign w:val="superscript"/>
        </w:rPr>
        <w:t>a</w:t>
      </w:r>
      <w:r>
        <w:rPr>
          <w:rFonts w:hint="eastAsia" w:cs="Times New Roman"/>
          <w:sz w:val="20"/>
          <w:szCs w:val="15"/>
        </w:rPr>
        <w:t>：括号中数据表示平均值</w:t>
      </w:r>
      <w:r>
        <w:rPr>
          <w:rFonts w:hint="eastAsia" w:cs="Times New Roman"/>
        </w:rPr>
        <w:t>。</w:t>
      </w:r>
    </w:p>
    <w:p>
      <w:pPr>
        <w:pStyle w:val="68"/>
        <w:rPr>
          <w:rFonts w:cs="Times New Roman"/>
        </w:rPr>
      </w:pPr>
      <w:r>
        <w:rPr>
          <w:rFonts w:cs="Times New Roman"/>
        </w:rPr>
        <w:t>（2）排放限值的确定</w:t>
      </w:r>
    </w:p>
    <w:p>
      <w:pPr>
        <w:pStyle w:val="68"/>
        <w:rPr>
          <w:rFonts w:cs="Times New Roman"/>
        </w:rPr>
      </w:pPr>
      <w:r>
        <w:rPr>
          <w:rFonts w:cs="Times New Roman"/>
        </w:rPr>
        <w:t>1996年发布的国家大气污染物综合排放标准规定现有企业和新建企业NMHC的排放限值分别为150 mg/m</w:t>
      </w:r>
      <w:r>
        <w:rPr>
          <w:rFonts w:cs="Times New Roman"/>
          <w:vertAlign w:val="superscript"/>
        </w:rPr>
        <w:t>3</w:t>
      </w:r>
      <w:r>
        <w:rPr>
          <w:rFonts w:cs="Times New Roman"/>
        </w:rPr>
        <w:t>和120 mg/m</w:t>
      </w:r>
      <w:r>
        <w:rPr>
          <w:rFonts w:cs="Times New Roman"/>
          <w:vertAlign w:val="superscript"/>
        </w:rPr>
        <w:t>3</w:t>
      </w:r>
      <w:r>
        <w:rPr>
          <w:rFonts w:hint="eastAsia" w:cs="Times New Roman"/>
        </w:rPr>
        <w:t>（表7-</w:t>
      </w:r>
      <w:r>
        <w:rPr>
          <w:rFonts w:cs="Times New Roman"/>
        </w:rPr>
        <w:t>9</w:t>
      </w:r>
      <w:r>
        <w:rPr>
          <w:rFonts w:hint="eastAsia" w:cs="Times New Roman"/>
        </w:rPr>
        <w:t>）</w:t>
      </w:r>
      <w:r>
        <w:rPr>
          <w:rFonts w:cs="Times New Roman"/>
        </w:rPr>
        <w:t>，广东省大气污染物排放限值规定为120 mg/m</w:t>
      </w:r>
      <w:r>
        <w:rPr>
          <w:rFonts w:cs="Times New Roman"/>
          <w:vertAlign w:val="superscript"/>
        </w:rPr>
        <w:t>3</w:t>
      </w:r>
      <w:r>
        <w:rPr>
          <w:rFonts w:cs="Times New Roman"/>
        </w:rPr>
        <w:t>，重庆市大气污染物综合排放标准对NMHC的限值要求则较为宽松</w:t>
      </w:r>
      <w:r>
        <w:rPr>
          <w:rFonts w:hint="eastAsia" w:cs="Times New Roman"/>
        </w:rPr>
        <w:t>也</w:t>
      </w:r>
      <w:r>
        <w:rPr>
          <w:rFonts w:cs="Times New Roman"/>
        </w:rPr>
        <w:t>为120 mg/m</w:t>
      </w:r>
      <w:r>
        <w:rPr>
          <w:rFonts w:cs="Times New Roman"/>
          <w:vertAlign w:val="superscript"/>
        </w:rPr>
        <w:t>3</w:t>
      </w:r>
      <w:r>
        <w:rPr>
          <w:rFonts w:cs="Times New Roman"/>
        </w:rPr>
        <w:t>，上海</w:t>
      </w:r>
      <w:r>
        <w:rPr>
          <w:rFonts w:hint="eastAsia" w:cs="Times New Roman"/>
        </w:rPr>
        <w:t>、</w:t>
      </w:r>
      <w:r>
        <w:rPr>
          <w:rFonts w:cs="Times New Roman"/>
        </w:rPr>
        <w:t>北京</w:t>
      </w:r>
      <w:r>
        <w:rPr>
          <w:rFonts w:hint="eastAsia" w:cs="Times New Roman"/>
        </w:rPr>
        <w:t>和江苏</w:t>
      </w:r>
      <w:r>
        <w:rPr>
          <w:rFonts w:cs="Times New Roman"/>
        </w:rPr>
        <w:t>均要求比较严格，限值范围为50 mg/m</w:t>
      </w:r>
      <w:r>
        <w:rPr>
          <w:rFonts w:cs="Times New Roman"/>
          <w:vertAlign w:val="superscript"/>
        </w:rPr>
        <w:t>3</w:t>
      </w:r>
      <w:r>
        <w:rPr>
          <w:rFonts w:cs="Times New Roman"/>
        </w:rPr>
        <w:t>~70 mg/m</w:t>
      </w:r>
      <w:r>
        <w:rPr>
          <w:rFonts w:cs="Times New Roman"/>
          <w:vertAlign w:val="superscript"/>
        </w:rPr>
        <w:t>3</w:t>
      </w:r>
      <w:r>
        <w:rPr>
          <w:rFonts w:cs="Times New Roman"/>
        </w:rPr>
        <w:t>。目前有河北、陕西和福建三省VOCs综合排放标准对不同行业的NMHC排放限值做出了规定，限值范围为30 mg/m</w:t>
      </w:r>
      <w:r>
        <w:rPr>
          <w:rFonts w:cs="Times New Roman"/>
          <w:vertAlign w:val="superscript"/>
        </w:rPr>
        <w:t>3</w:t>
      </w:r>
      <w:r>
        <w:rPr>
          <w:rFonts w:cs="Times New Roman"/>
        </w:rPr>
        <w:t>~100 mg/m</w:t>
      </w:r>
      <w:r>
        <w:rPr>
          <w:rFonts w:cs="Times New Roman"/>
          <w:vertAlign w:val="superscript"/>
        </w:rPr>
        <w:t>3</w:t>
      </w:r>
      <w:r>
        <w:rPr>
          <w:rFonts w:cs="Times New Roman"/>
        </w:rPr>
        <w:t>。在行业层面，陆续出台的工业涂装、电子工业、纺织印染、汽车维修、船舶工业、合成树脂、人造板工业和木材加工等国家或各省行业标准均对NMHC进行要求。其中，重庆市城市建成区外汽车维修业NMHC排放限值为120 mg/m</w:t>
      </w:r>
      <w:r>
        <w:rPr>
          <w:rFonts w:cs="Times New Roman"/>
          <w:vertAlign w:val="superscript"/>
        </w:rPr>
        <w:t>3</w:t>
      </w:r>
      <w:r>
        <w:rPr>
          <w:rFonts w:cs="Times New Roman"/>
        </w:rPr>
        <w:t>，国家合成树脂NMHC排放限值为100 mg/m</w:t>
      </w:r>
      <w:r>
        <w:rPr>
          <w:rFonts w:cs="Times New Roman"/>
          <w:vertAlign w:val="superscript"/>
        </w:rPr>
        <w:t>3</w:t>
      </w:r>
      <w:r>
        <w:rPr>
          <w:rFonts w:cs="Times New Roman"/>
        </w:rPr>
        <w:t>，其余相关行业标准中NMHC的排放限值均小于100 mg/m</w:t>
      </w:r>
      <w:r>
        <w:rPr>
          <w:rFonts w:cs="Times New Roman"/>
          <w:vertAlign w:val="superscript"/>
        </w:rPr>
        <w:t>3</w:t>
      </w:r>
      <w:r>
        <w:rPr>
          <w:rFonts w:cs="Times New Roman"/>
        </w:rPr>
        <w:t>。</w:t>
      </w:r>
    </w:p>
    <w:p>
      <w:pPr>
        <w:pStyle w:val="68"/>
        <w:rPr>
          <w:rFonts w:cs="Times New Roman"/>
        </w:rPr>
      </w:pPr>
      <w:r>
        <w:rPr>
          <w:rFonts w:cs="Times New Roman"/>
        </w:rPr>
        <w:t>国家大气综标中未对TVOC排放限值进行要求</w:t>
      </w:r>
      <w:r>
        <w:rPr>
          <w:rFonts w:hint="eastAsia" w:cs="Times New Roman"/>
        </w:rPr>
        <w:t>（表7-</w:t>
      </w:r>
      <w:r>
        <w:rPr>
          <w:rFonts w:cs="Times New Roman"/>
        </w:rPr>
        <w:t>10</w:t>
      </w:r>
      <w:r>
        <w:rPr>
          <w:rFonts w:hint="eastAsia" w:cs="Times New Roman"/>
        </w:rPr>
        <w:t>）</w:t>
      </w:r>
      <w:r>
        <w:rPr>
          <w:rFonts w:cs="Times New Roman"/>
        </w:rPr>
        <w:t>。天津和四川省的VOCs综合排放标准针对不同行业TVOC的排放限值进行要求。四川省石油炼制废水处理有机废气收集处理装置TVOC排放限值为120 mg/m</w:t>
      </w:r>
      <w:r>
        <w:rPr>
          <w:rFonts w:cs="Times New Roman"/>
          <w:vertAlign w:val="superscript"/>
        </w:rPr>
        <w:t>3</w:t>
      </w:r>
      <w:r>
        <w:rPr>
          <w:rFonts w:cs="Times New Roman"/>
        </w:rPr>
        <w:t>，轮胎企业及其他制品企业胶浆制备、浸浆、胶浆喷涂和涂胶装置TVOC排放限值为100 mg/ m</w:t>
      </w:r>
      <w:r>
        <w:rPr>
          <w:rFonts w:cs="Times New Roman"/>
          <w:vertAlign w:val="superscript"/>
        </w:rPr>
        <w:t>3</w:t>
      </w:r>
      <w:r>
        <w:rPr>
          <w:rFonts w:cs="Times New Roman"/>
        </w:rPr>
        <w:t>，其他行业的TVOC排放限值则均小于100 mg/ m</w:t>
      </w:r>
      <w:r>
        <w:rPr>
          <w:rFonts w:cs="Times New Roman"/>
          <w:vertAlign w:val="superscript"/>
        </w:rPr>
        <w:t>3</w:t>
      </w:r>
      <w:r>
        <w:rPr>
          <w:rFonts w:cs="Times New Roman"/>
        </w:rPr>
        <w:t>。</w:t>
      </w:r>
    </w:p>
    <w:p>
      <w:pPr>
        <w:pStyle w:val="68"/>
        <w:rPr>
          <w:rFonts w:cs="Times New Roman"/>
        </w:rPr>
      </w:pPr>
      <w:r>
        <w:rPr>
          <w:rFonts w:cs="Times New Roman"/>
        </w:rPr>
        <w:t>综合考虑典型企业实测</w:t>
      </w:r>
      <w:r>
        <w:rPr>
          <w:rFonts w:hint="eastAsia" w:cs="Times New Roman"/>
        </w:rPr>
        <w:t>情况以及国内相关排放标准</w:t>
      </w:r>
      <w:r>
        <w:rPr>
          <w:rFonts w:cs="Times New Roman"/>
        </w:rPr>
        <w:t>，确定本标准NMHC的排放限值为80 mg/m</w:t>
      </w:r>
      <w:r>
        <w:rPr>
          <w:rFonts w:cs="Times New Roman"/>
          <w:vertAlign w:val="superscript"/>
        </w:rPr>
        <w:t>3</w:t>
      </w:r>
      <w:r>
        <w:rPr>
          <w:rFonts w:cs="Times New Roman"/>
        </w:rPr>
        <w:t>，TVOC排放限值为100 mg/m</w:t>
      </w:r>
      <w:r>
        <w:rPr>
          <w:rFonts w:cs="Times New Roman"/>
          <w:vertAlign w:val="superscript"/>
        </w:rPr>
        <w:t>3</w:t>
      </w:r>
      <w:r>
        <w:rPr>
          <w:rFonts w:cs="Times New Roman"/>
        </w:rPr>
        <w:t>。</w:t>
      </w:r>
    </w:p>
    <w:p>
      <w:pPr>
        <w:pStyle w:val="13"/>
        <w:spacing w:before="156" w:beforeLines="50" w:after="156" w:afterLines="50"/>
      </w:pPr>
      <w:r>
        <w:t>表7-9  国内外相关标准NMHC的有组织排放限值</w:t>
      </w:r>
    </w:p>
    <w:tbl>
      <w:tblPr>
        <w:tblStyle w:val="10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9"/>
        <w:gridCol w:w="711"/>
        <w:gridCol w:w="2984"/>
        <w:gridCol w:w="1564"/>
        <w:gridCol w:w="1136"/>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510" w:type="pct"/>
            <w:vAlign w:val="center"/>
          </w:tcPr>
          <w:p>
            <w:pPr>
              <w:widowControl/>
              <w:snapToGrid w:val="0"/>
              <w:jc w:val="center"/>
              <w:rPr>
                <w:rFonts w:ascii="Times New Roman" w:hAnsi="Times New Roman"/>
                <w:b/>
                <w:color w:val="000000"/>
                <w:kern w:val="0"/>
                <w:sz w:val="18"/>
                <w:szCs w:val="18"/>
              </w:rPr>
            </w:pPr>
            <w:r>
              <w:rPr>
                <w:rFonts w:ascii="Times New Roman" w:hAnsi="Times New Roman"/>
                <w:b/>
                <w:color w:val="000000"/>
                <w:kern w:val="0"/>
                <w:sz w:val="18"/>
                <w:szCs w:val="18"/>
              </w:rPr>
              <w:t>行业类别</w:t>
            </w:r>
          </w:p>
        </w:tc>
        <w:tc>
          <w:tcPr>
            <w:tcW w:w="427" w:type="pct"/>
            <w:vAlign w:val="center"/>
          </w:tcPr>
          <w:p>
            <w:pPr>
              <w:widowControl/>
              <w:snapToGrid w:val="0"/>
              <w:jc w:val="center"/>
              <w:rPr>
                <w:rFonts w:ascii="Times New Roman" w:hAnsi="Times New Roman"/>
                <w:b/>
                <w:color w:val="000000"/>
                <w:kern w:val="0"/>
                <w:sz w:val="18"/>
                <w:szCs w:val="18"/>
              </w:rPr>
            </w:pPr>
            <w:r>
              <w:rPr>
                <w:rFonts w:ascii="Times New Roman" w:hAnsi="Times New Roman"/>
                <w:b/>
                <w:color w:val="000000"/>
                <w:kern w:val="0"/>
                <w:sz w:val="18"/>
                <w:szCs w:val="18"/>
              </w:rPr>
              <w:t>国家/省市</w:t>
            </w:r>
          </w:p>
        </w:tc>
        <w:tc>
          <w:tcPr>
            <w:tcW w:w="1794" w:type="pct"/>
            <w:vAlign w:val="center"/>
          </w:tcPr>
          <w:p>
            <w:pPr>
              <w:widowControl/>
              <w:snapToGrid w:val="0"/>
              <w:jc w:val="center"/>
              <w:rPr>
                <w:rFonts w:ascii="Times New Roman" w:hAnsi="Times New Roman"/>
                <w:b/>
                <w:color w:val="000000"/>
                <w:kern w:val="0"/>
                <w:sz w:val="18"/>
                <w:szCs w:val="18"/>
              </w:rPr>
            </w:pPr>
            <w:r>
              <w:rPr>
                <w:rFonts w:ascii="Times New Roman" w:hAnsi="Times New Roman"/>
                <w:b/>
                <w:color w:val="000000"/>
                <w:kern w:val="0"/>
                <w:sz w:val="18"/>
                <w:szCs w:val="18"/>
              </w:rPr>
              <w:t>标准名称</w:t>
            </w:r>
          </w:p>
        </w:tc>
        <w:tc>
          <w:tcPr>
            <w:tcW w:w="940" w:type="pct"/>
            <w:vAlign w:val="center"/>
          </w:tcPr>
          <w:p>
            <w:pPr>
              <w:widowControl/>
              <w:snapToGrid w:val="0"/>
              <w:jc w:val="center"/>
              <w:rPr>
                <w:rFonts w:ascii="Times New Roman" w:hAnsi="Times New Roman"/>
                <w:b/>
                <w:color w:val="000000"/>
                <w:kern w:val="0"/>
                <w:sz w:val="18"/>
                <w:szCs w:val="18"/>
              </w:rPr>
            </w:pPr>
            <w:r>
              <w:rPr>
                <w:rFonts w:ascii="Times New Roman" w:hAnsi="Times New Roman"/>
                <w:b/>
                <w:color w:val="000000"/>
                <w:kern w:val="0"/>
                <w:sz w:val="18"/>
                <w:szCs w:val="18"/>
              </w:rPr>
              <w:t>标准号</w:t>
            </w:r>
          </w:p>
        </w:tc>
        <w:tc>
          <w:tcPr>
            <w:tcW w:w="683" w:type="pct"/>
            <w:vAlign w:val="center"/>
          </w:tcPr>
          <w:p>
            <w:pPr>
              <w:widowControl/>
              <w:snapToGrid w:val="0"/>
              <w:jc w:val="center"/>
              <w:rPr>
                <w:rFonts w:ascii="Times New Roman" w:hAnsi="Times New Roman"/>
                <w:b/>
                <w:color w:val="000000"/>
                <w:kern w:val="0"/>
                <w:sz w:val="18"/>
                <w:szCs w:val="18"/>
              </w:rPr>
            </w:pPr>
            <w:r>
              <w:rPr>
                <w:rFonts w:ascii="Times New Roman" w:hAnsi="Times New Roman"/>
                <w:b/>
                <w:color w:val="000000"/>
                <w:kern w:val="0"/>
                <w:sz w:val="18"/>
                <w:szCs w:val="18"/>
              </w:rPr>
              <w:t>分类</w:t>
            </w:r>
          </w:p>
        </w:tc>
        <w:tc>
          <w:tcPr>
            <w:tcW w:w="645" w:type="pct"/>
            <w:vAlign w:val="center"/>
          </w:tcPr>
          <w:p>
            <w:pPr>
              <w:widowControl/>
              <w:snapToGrid w:val="0"/>
              <w:jc w:val="center"/>
              <w:rPr>
                <w:rFonts w:ascii="Times New Roman" w:hAnsi="Times New Roman"/>
                <w:b/>
                <w:color w:val="000000"/>
                <w:kern w:val="0"/>
                <w:sz w:val="18"/>
                <w:szCs w:val="18"/>
              </w:rPr>
            </w:pPr>
            <w:r>
              <w:rPr>
                <w:rFonts w:ascii="Times New Roman" w:hAnsi="Times New Roman"/>
                <w:b/>
                <w:color w:val="000000"/>
                <w:kern w:val="0"/>
                <w:sz w:val="18"/>
                <w:szCs w:val="18"/>
              </w:rPr>
              <w:t>有组织排放限值（mg/m</w:t>
            </w:r>
            <w:r>
              <w:rPr>
                <w:rFonts w:ascii="Times New Roman" w:hAnsi="Times New Roman"/>
                <w:b/>
                <w:color w:val="000000"/>
                <w:kern w:val="0"/>
                <w:sz w:val="18"/>
                <w:szCs w:val="18"/>
                <w:vertAlign w:val="superscript"/>
              </w:rPr>
              <w:t>3</w:t>
            </w:r>
            <w:r>
              <w:rPr>
                <w:rFonts w:ascii="Times New Roman" w:hAnsi="Times New Roman"/>
                <w:b/>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restar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大气综合标准</w:t>
            </w:r>
          </w:p>
        </w:tc>
        <w:tc>
          <w:tcPr>
            <w:tcW w:w="427" w:type="pct"/>
            <w:vMerge w:val="restar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国家</w:t>
            </w:r>
          </w:p>
        </w:tc>
        <w:tc>
          <w:tcPr>
            <w:tcW w:w="1794" w:type="pct"/>
            <w:vMerge w:val="restar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大气污染物综合排放标准</w:t>
            </w:r>
          </w:p>
        </w:tc>
        <w:tc>
          <w:tcPr>
            <w:tcW w:w="940" w:type="pct"/>
            <w:vMerge w:val="restar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GB  16297-1996</w:t>
            </w: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现有</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continue"/>
            <w:vAlign w:val="center"/>
          </w:tcPr>
          <w:p>
            <w:pPr>
              <w:widowControl/>
              <w:snapToGrid w:val="0"/>
              <w:jc w:val="center"/>
              <w:rPr>
                <w:rFonts w:ascii="Times New Roman" w:hAnsi="Times New Roman"/>
                <w:color w:val="000000"/>
                <w:kern w:val="0"/>
                <w:sz w:val="18"/>
                <w:szCs w:val="18"/>
              </w:rPr>
            </w:pPr>
          </w:p>
        </w:tc>
        <w:tc>
          <w:tcPr>
            <w:tcW w:w="427" w:type="pct"/>
            <w:vMerge w:val="continue"/>
            <w:noWrap/>
            <w:vAlign w:val="center"/>
          </w:tcPr>
          <w:p>
            <w:pPr>
              <w:widowControl/>
              <w:snapToGrid w:val="0"/>
              <w:jc w:val="center"/>
              <w:rPr>
                <w:rFonts w:ascii="Times New Roman" w:hAnsi="Times New Roman"/>
                <w:color w:val="000000"/>
                <w:kern w:val="0"/>
                <w:sz w:val="18"/>
                <w:szCs w:val="18"/>
              </w:rPr>
            </w:pPr>
          </w:p>
        </w:tc>
        <w:tc>
          <w:tcPr>
            <w:tcW w:w="1794" w:type="pct"/>
            <w:vMerge w:val="continue"/>
            <w:noWrap/>
            <w:vAlign w:val="center"/>
          </w:tcPr>
          <w:p>
            <w:pPr>
              <w:widowControl/>
              <w:snapToGrid w:val="0"/>
              <w:rPr>
                <w:rFonts w:ascii="Times New Roman" w:hAnsi="Times New Roman"/>
                <w:color w:val="000000"/>
                <w:kern w:val="0"/>
                <w:sz w:val="18"/>
                <w:szCs w:val="18"/>
              </w:rPr>
            </w:pPr>
          </w:p>
        </w:tc>
        <w:tc>
          <w:tcPr>
            <w:tcW w:w="940" w:type="pct"/>
            <w:vMerge w:val="continue"/>
            <w:noWrap/>
            <w:vAlign w:val="center"/>
          </w:tcPr>
          <w:p>
            <w:pPr>
              <w:widowControl/>
              <w:snapToGrid w:val="0"/>
              <w:rPr>
                <w:rFonts w:ascii="Times New Roman" w:hAnsi="Times New Roman"/>
                <w:color w:val="000000"/>
                <w:kern w:val="0"/>
                <w:sz w:val="18"/>
                <w:szCs w:val="18"/>
              </w:rPr>
            </w:pP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新建</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continue"/>
            <w:vAlign w:val="center"/>
          </w:tcPr>
          <w:p>
            <w:pPr>
              <w:widowControl/>
              <w:snapToGrid w:val="0"/>
              <w:jc w:val="center"/>
              <w:rPr>
                <w:rFonts w:ascii="Times New Roman" w:hAnsi="Times New Roman"/>
                <w:color w:val="000000"/>
                <w:kern w:val="0"/>
                <w:sz w:val="18"/>
                <w:szCs w:val="18"/>
              </w:rPr>
            </w:pPr>
          </w:p>
        </w:tc>
        <w:tc>
          <w:tcPr>
            <w:tcW w:w="427" w:type="pct"/>
            <w:vMerge w:val="restar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广东</w:t>
            </w:r>
          </w:p>
        </w:tc>
        <w:tc>
          <w:tcPr>
            <w:tcW w:w="1794" w:type="pct"/>
            <w:vMerge w:val="restar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大气污染物排放限值</w:t>
            </w:r>
          </w:p>
        </w:tc>
        <w:tc>
          <w:tcPr>
            <w:tcW w:w="940" w:type="pct"/>
            <w:vMerge w:val="restar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DB44/ 27—2001</w:t>
            </w: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第I时段</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continue"/>
            <w:vAlign w:val="center"/>
          </w:tcPr>
          <w:p>
            <w:pPr>
              <w:widowControl/>
              <w:snapToGrid w:val="0"/>
              <w:jc w:val="center"/>
              <w:rPr>
                <w:rFonts w:ascii="Times New Roman" w:hAnsi="Times New Roman"/>
                <w:color w:val="000000"/>
                <w:kern w:val="0"/>
                <w:sz w:val="18"/>
                <w:szCs w:val="18"/>
              </w:rPr>
            </w:pPr>
          </w:p>
        </w:tc>
        <w:tc>
          <w:tcPr>
            <w:tcW w:w="427" w:type="pct"/>
            <w:vMerge w:val="continue"/>
            <w:noWrap/>
            <w:vAlign w:val="center"/>
          </w:tcPr>
          <w:p>
            <w:pPr>
              <w:widowControl/>
              <w:snapToGrid w:val="0"/>
              <w:jc w:val="center"/>
              <w:rPr>
                <w:rFonts w:ascii="Times New Roman" w:hAnsi="Times New Roman"/>
                <w:color w:val="000000"/>
                <w:kern w:val="0"/>
                <w:sz w:val="18"/>
                <w:szCs w:val="18"/>
              </w:rPr>
            </w:pPr>
          </w:p>
        </w:tc>
        <w:tc>
          <w:tcPr>
            <w:tcW w:w="1794" w:type="pct"/>
            <w:vMerge w:val="continue"/>
            <w:noWrap/>
            <w:vAlign w:val="center"/>
          </w:tcPr>
          <w:p>
            <w:pPr>
              <w:widowControl/>
              <w:snapToGrid w:val="0"/>
              <w:rPr>
                <w:rFonts w:ascii="Times New Roman" w:hAnsi="Times New Roman"/>
                <w:color w:val="000000"/>
                <w:kern w:val="0"/>
                <w:sz w:val="18"/>
                <w:szCs w:val="18"/>
              </w:rPr>
            </w:pPr>
          </w:p>
        </w:tc>
        <w:tc>
          <w:tcPr>
            <w:tcW w:w="940" w:type="pct"/>
            <w:vMerge w:val="continue"/>
            <w:noWrap/>
            <w:vAlign w:val="center"/>
          </w:tcPr>
          <w:p>
            <w:pPr>
              <w:widowControl/>
              <w:snapToGrid w:val="0"/>
              <w:rPr>
                <w:rFonts w:ascii="Times New Roman" w:hAnsi="Times New Roman"/>
                <w:color w:val="000000"/>
                <w:kern w:val="0"/>
                <w:sz w:val="18"/>
                <w:szCs w:val="18"/>
              </w:rPr>
            </w:pP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第II时段</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continue"/>
            <w:vAlign w:val="center"/>
          </w:tcPr>
          <w:p>
            <w:pPr>
              <w:widowControl/>
              <w:snapToGrid w:val="0"/>
              <w:jc w:val="center"/>
              <w:rPr>
                <w:rFonts w:ascii="Times New Roman" w:hAnsi="Times New Roman"/>
                <w:color w:val="000000"/>
                <w:kern w:val="0"/>
                <w:sz w:val="18"/>
                <w:szCs w:val="18"/>
              </w:rPr>
            </w:pPr>
          </w:p>
        </w:tc>
        <w:tc>
          <w:tcPr>
            <w:tcW w:w="427"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厦门</w:t>
            </w:r>
          </w:p>
        </w:tc>
        <w:tc>
          <w:tcPr>
            <w:tcW w:w="1794"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厦门市大气污染物排放标准</w:t>
            </w:r>
          </w:p>
        </w:tc>
        <w:tc>
          <w:tcPr>
            <w:tcW w:w="940"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DB 35/323-2011</w:t>
            </w: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continue"/>
            <w:vAlign w:val="center"/>
          </w:tcPr>
          <w:p>
            <w:pPr>
              <w:widowControl/>
              <w:snapToGrid w:val="0"/>
              <w:jc w:val="center"/>
              <w:rPr>
                <w:rFonts w:ascii="Times New Roman" w:hAnsi="Times New Roman"/>
                <w:color w:val="000000"/>
                <w:kern w:val="0"/>
                <w:sz w:val="18"/>
                <w:szCs w:val="18"/>
              </w:rPr>
            </w:pPr>
          </w:p>
        </w:tc>
        <w:tc>
          <w:tcPr>
            <w:tcW w:w="427"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上海</w:t>
            </w:r>
          </w:p>
        </w:tc>
        <w:tc>
          <w:tcPr>
            <w:tcW w:w="1794"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大气污染物综合排放标准</w:t>
            </w:r>
          </w:p>
        </w:tc>
        <w:tc>
          <w:tcPr>
            <w:tcW w:w="940"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DB31/933—2015</w:t>
            </w: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continue"/>
            <w:vAlign w:val="center"/>
          </w:tcPr>
          <w:p>
            <w:pPr>
              <w:widowControl/>
              <w:snapToGrid w:val="0"/>
              <w:jc w:val="center"/>
              <w:rPr>
                <w:rFonts w:ascii="Times New Roman" w:hAnsi="Times New Roman"/>
                <w:color w:val="000000"/>
                <w:kern w:val="0"/>
                <w:sz w:val="18"/>
                <w:szCs w:val="18"/>
              </w:rPr>
            </w:pPr>
          </w:p>
        </w:tc>
        <w:tc>
          <w:tcPr>
            <w:tcW w:w="427"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重庆</w:t>
            </w:r>
          </w:p>
        </w:tc>
        <w:tc>
          <w:tcPr>
            <w:tcW w:w="1794"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大气污染物综合排放标准</w:t>
            </w:r>
          </w:p>
        </w:tc>
        <w:tc>
          <w:tcPr>
            <w:tcW w:w="940"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DB 50/418－2016</w:t>
            </w: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continue"/>
            <w:vAlign w:val="center"/>
          </w:tcPr>
          <w:p>
            <w:pPr>
              <w:widowControl/>
              <w:snapToGrid w:val="0"/>
              <w:jc w:val="center"/>
              <w:rPr>
                <w:rFonts w:ascii="Times New Roman" w:hAnsi="Times New Roman"/>
                <w:color w:val="000000"/>
                <w:kern w:val="0"/>
                <w:sz w:val="18"/>
                <w:szCs w:val="18"/>
              </w:rPr>
            </w:pPr>
          </w:p>
        </w:tc>
        <w:tc>
          <w:tcPr>
            <w:tcW w:w="427" w:type="pct"/>
            <w:vMerge w:val="restar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北京</w:t>
            </w:r>
          </w:p>
        </w:tc>
        <w:tc>
          <w:tcPr>
            <w:tcW w:w="1794" w:type="pct"/>
            <w:vMerge w:val="restar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大气污染物综合排放标准</w:t>
            </w:r>
          </w:p>
        </w:tc>
        <w:tc>
          <w:tcPr>
            <w:tcW w:w="940" w:type="pct"/>
            <w:vMerge w:val="restar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DB11-501-2017</w:t>
            </w: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第I时段</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continue"/>
            <w:vAlign w:val="center"/>
          </w:tcPr>
          <w:p>
            <w:pPr>
              <w:widowControl/>
              <w:snapToGrid w:val="0"/>
              <w:jc w:val="center"/>
              <w:rPr>
                <w:rFonts w:ascii="Times New Roman" w:hAnsi="Times New Roman"/>
                <w:color w:val="000000"/>
                <w:kern w:val="0"/>
                <w:sz w:val="18"/>
                <w:szCs w:val="18"/>
              </w:rPr>
            </w:pPr>
          </w:p>
        </w:tc>
        <w:tc>
          <w:tcPr>
            <w:tcW w:w="427" w:type="pct"/>
            <w:vMerge w:val="continue"/>
            <w:noWrap/>
            <w:vAlign w:val="center"/>
          </w:tcPr>
          <w:p>
            <w:pPr>
              <w:widowControl/>
              <w:snapToGrid w:val="0"/>
              <w:jc w:val="center"/>
              <w:rPr>
                <w:rFonts w:ascii="Times New Roman" w:hAnsi="Times New Roman"/>
                <w:color w:val="000000"/>
                <w:kern w:val="0"/>
                <w:sz w:val="18"/>
                <w:szCs w:val="18"/>
              </w:rPr>
            </w:pPr>
          </w:p>
        </w:tc>
        <w:tc>
          <w:tcPr>
            <w:tcW w:w="1794" w:type="pct"/>
            <w:vMerge w:val="continue"/>
            <w:noWrap/>
            <w:vAlign w:val="center"/>
          </w:tcPr>
          <w:p>
            <w:pPr>
              <w:widowControl/>
              <w:snapToGrid w:val="0"/>
              <w:rPr>
                <w:rFonts w:ascii="Times New Roman" w:hAnsi="Times New Roman"/>
                <w:color w:val="000000"/>
                <w:kern w:val="0"/>
                <w:sz w:val="18"/>
                <w:szCs w:val="18"/>
              </w:rPr>
            </w:pPr>
          </w:p>
        </w:tc>
        <w:tc>
          <w:tcPr>
            <w:tcW w:w="940" w:type="pct"/>
            <w:vMerge w:val="continue"/>
            <w:noWrap/>
            <w:vAlign w:val="center"/>
          </w:tcPr>
          <w:p>
            <w:pPr>
              <w:widowControl/>
              <w:snapToGrid w:val="0"/>
              <w:rPr>
                <w:rFonts w:ascii="Times New Roman" w:hAnsi="Times New Roman"/>
                <w:color w:val="000000"/>
                <w:kern w:val="0"/>
                <w:sz w:val="18"/>
                <w:szCs w:val="18"/>
              </w:rPr>
            </w:pP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第II时段</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510" w:type="pct"/>
            <w:vMerge w:val="continue"/>
            <w:noWrap/>
            <w:vAlign w:val="center"/>
          </w:tcPr>
          <w:p>
            <w:pPr>
              <w:widowControl/>
              <w:snapToGrid w:val="0"/>
              <w:jc w:val="center"/>
              <w:rPr>
                <w:rFonts w:ascii="Times New Roman" w:hAnsi="Times New Roman"/>
                <w:color w:val="000000"/>
                <w:kern w:val="0"/>
                <w:sz w:val="18"/>
                <w:szCs w:val="18"/>
              </w:rPr>
            </w:pPr>
          </w:p>
        </w:tc>
        <w:tc>
          <w:tcPr>
            <w:tcW w:w="427" w:type="pct"/>
            <w:vMerge w:val="restart"/>
            <w:noWrap/>
            <w:vAlign w:val="center"/>
          </w:tcPr>
          <w:p>
            <w:pPr>
              <w:snapToGrid w:val="0"/>
              <w:jc w:val="center"/>
              <w:rPr>
                <w:rFonts w:hint="eastAsia" w:ascii="Times New Roman" w:hAnsi="Times New Roman"/>
                <w:color w:val="000000"/>
                <w:kern w:val="0"/>
                <w:sz w:val="18"/>
                <w:szCs w:val="18"/>
              </w:rPr>
            </w:pPr>
            <w:r>
              <w:rPr>
                <w:rFonts w:hint="eastAsia" w:ascii="Times New Roman" w:hAnsi="Times New Roman"/>
                <w:color w:val="000000"/>
                <w:kern w:val="0"/>
                <w:sz w:val="18"/>
                <w:szCs w:val="18"/>
              </w:rPr>
              <w:t>江苏</w:t>
            </w:r>
          </w:p>
        </w:tc>
        <w:tc>
          <w:tcPr>
            <w:tcW w:w="1794" w:type="pct"/>
            <w:vMerge w:val="restart"/>
            <w:noWrap/>
            <w:vAlign w:val="center"/>
          </w:tcPr>
          <w:p>
            <w:pPr>
              <w:snapToGrid w:val="0"/>
              <w:rPr>
                <w:rFonts w:ascii="Times New Roman" w:hAnsi="Times New Roman"/>
                <w:color w:val="000000"/>
                <w:kern w:val="0"/>
                <w:sz w:val="18"/>
                <w:szCs w:val="18"/>
              </w:rPr>
            </w:pPr>
            <w:r>
              <w:rPr>
                <w:rFonts w:ascii="Times New Roman" w:hAnsi="Times New Roman"/>
                <w:color w:val="000000"/>
                <w:kern w:val="0"/>
                <w:sz w:val="18"/>
                <w:szCs w:val="18"/>
              </w:rPr>
              <w:t>大气污染物综合排放标准</w:t>
            </w:r>
          </w:p>
        </w:tc>
        <w:tc>
          <w:tcPr>
            <w:tcW w:w="940" w:type="pct"/>
            <w:vMerge w:val="restart"/>
            <w:noWrap/>
            <w:vAlign w:val="center"/>
          </w:tcPr>
          <w:p>
            <w:pPr>
              <w:snapToGrid w:val="0"/>
              <w:rPr>
                <w:rFonts w:ascii="Times New Roman" w:hAnsi="Times New Roman"/>
                <w:sz w:val="18"/>
                <w:szCs w:val="18"/>
              </w:rPr>
            </w:pPr>
            <w:r>
              <w:rPr>
                <w:rFonts w:ascii="Times New Roman" w:hAnsi="Times New Roman"/>
                <w:sz w:val="18"/>
                <w:szCs w:val="18"/>
              </w:rPr>
              <w:t>DB 32</w:t>
            </w:r>
            <w:r>
              <w:rPr>
                <w:rFonts w:hint="eastAsia" w:ascii="Times New Roman" w:hAnsi="Times New Roman"/>
                <w:sz w:val="18"/>
                <w:szCs w:val="18"/>
              </w:rPr>
              <w:t>/</w:t>
            </w:r>
            <w:r>
              <w:rPr>
                <w:rFonts w:ascii="Times New Roman" w:hAnsi="Times New Roman"/>
                <w:sz w:val="18"/>
                <w:szCs w:val="18"/>
              </w:rPr>
              <w:t>4041-2021</w:t>
            </w:r>
          </w:p>
        </w:tc>
        <w:tc>
          <w:tcPr>
            <w:tcW w:w="683" w:type="pct"/>
            <w:noWrap/>
            <w:vAlign w:val="center"/>
          </w:tcPr>
          <w:p>
            <w:pPr>
              <w:widowControl/>
              <w:snapToGrid w:val="0"/>
              <w:jc w:val="center"/>
              <w:rPr>
                <w:rFonts w:hint="eastAsia" w:ascii="Times New Roman" w:hAnsi="Times New Roman"/>
                <w:color w:val="000000"/>
                <w:kern w:val="0"/>
                <w:sz w:val="18"/>
                <w:szCs w:val="18"/>
              </w:rPr>
            </w:pPr>
            <w:r>
              <w:rPr>
                <w:rFonts w:hint="eastAsia" w:ascii="Times New Roman" w:hAnsi="Times New Roman"/>
                <w:color w:val="000000"/>
                <w:kern w:val="0"/>
                <w:sz w:val="18"/>
                <w:szCs w:val="18"/>
              </w:rPr>
              <w:t>船舶制造室内涂装工艺</w:t>
            </w:r>
          </w:p>
        </w:tc>
        <w:tc>
          <w:tcPr>
            <w:tcW w:w="645" w:type="pct"/>
            <w:vAlign w:val="center"/>
          </w:tcPr>
          <w:p>
            <w:pPr>
              <w:widowControl/>
              <w:snapToGrid w:val="0"/>
              <w:jc w:val="center"/>
              <w:rPr>
                <w:rFonts w:hint="eastAsia" w:ascii="Times New Roman" w:hAnsi="Times New Roman"/>
                <w:color w:val="000000"/>
                <w:kern w:val="0"/>
                <w:sz w:val="18"/>
                <w:szCs w:val="18"/>
              </w:rPr>
            </w:pPr>
            <w:r>
              <w:rPr>
                <w:rFonts w:hint="eastAsia" w:ascii="Times New Roman" w:hAnsi="Times New Roman"/>
                <w:color w:val="000000"/>
                <w:kern w:val="0"/>
                <w:sz w:val="18"/>
                <w:szCs w:val="18"/>
              </w:rPr>
              <w:t>7</w:t>
            </w:r>
            <w:r>
              <w:rPr>
                <w:rFonts w:ascii="Times New Roman" w:hAnsi="Times New Roman"/>
                <w:color w:val="000000"/>
                <w:kern w:val="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510" w:type="pct"/>
            <w:vMerge w:val="continue"/>
            <w:noWrap/>
            <w:vAlign w:val="center"/>
          </w:tcPr>
          <w:p>
            <w:pPr>
              <w:widowControl/>
              <w:snapToGrid w:val="0"/>
              <w:jc w:val="center"/>
              <w:rPr>
                <w:rFonts w:ascii="Times New Roman" w:hAnsi="Times New Roman"/>
                <w:color w:val="000000"/>
                <w:kern w:val="0"/>
                <w:sz w:val="18"/>
                <w:szCs w:val="18"/>
              </w:rPr>
            </w:pPr>
          </w:p>
        </w:tc>
        <w:tc>
          <w:tcPr>
            <w:tcW w:w="427" w:type="pct"/>
            <w:vMerge w:val="continue"/>
            <w:noWrap/>
            <w:vAlign w:val="center"/>
          </w:tcPr>
          <w:p>
            <w:pPr>
              <w:widowControl/>
              <w:snapToGrid w:val="0"/>
              <w:jc w:val="center"/>
              <w:rPr>
                <w:rFonts w:ascii="Times New Roman" w:hAnsi="Times New Roman"/>
                <w:color w:val="000000"/>
                <w:kern w:val="0"/>
                <w:sz w:val="18"/>
                <w:szCs w:val="18"/>
              </w:rPr>
            </w:pPr>
          </w:p>
        </w:tc>
        <w:tc>
          <w:tcPr>
            <w:tcW w:w="1794" w:type="pct"/>
            <w:vMerge w:val="continue"/>
            <w:noWrap/>
            <w:vAlign w:val="center"/>
          </w:tcPr>
          <w:p>
            <w:pPr>
              <w:widowControl/>
              <w:snapToGrid w:val="0"/>
              <w:rPr>
                <w:rFonts w:ascii="Times New Roman" w:hAnsi="Times New Roman"/>
                <w:color w:val="000000"/>
                <w:kern w:val="0"/>
                <w:sz w:val="18"/>
                <w:szCs w:val="18"/>
              </w:rPr>
            </w:pPr>
          </w:p>
        </w:tc>
        <w:tc>
          <w:tcPr>
            <w:tcW w:w="940" w:type="pct"/>
            <w:vMerge w:val="continue"/>
            <w:noWrap/>
            <w:vAlign w:val="center"/>
          </w:tcPr>
          <w:p>
            <w:pPr>
              <w:widowControl/>
              <w:snapToGrid w:val="0"/>
              <w:rPr>
                <w:rFonts w:ascii="Times New Roman" w:hAnsi="Times New Roman"/>
                <w:color w:val="000000"/>
                <w:kern w:val="0"/>
                <w:sz w:val="18"/>
                <w:szCs w:val="18"/>
              </w:rPr>
            </w:pPr>
          </w:p>
        </w:tc>
        <w:tc>
          <w:tcPr>
            <w:tcW w:w="683" w:type="pct"/>
            <w:noWrap/>
            <w:vAlign w:val="center"/>
          </w:tcPr>
          <w:p>
            <w:pPr>
              <w:widowControl/>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其他</w:t>
            </w:r>
          </w:p>
        </w:tc>
        <w:tc>
          <w:tcPr>
            <w:tcW w:w="645" w:type="pct"/>
            <w:vAlign w:val="center"/>
          </w:tcPr>
          <w:p>
            <w:pPr>
              <w:widowControl/>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6</w:t>
            </w:r>
            <w:r>
              <w:rPr>
                <w:rFonts w:ascii="Times New Roman" w:hAnsi="Times New Roman"/>
                <w:color w:val="000000"/>
                <w:kern w:val="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510" w:type="pct"/>
            <w:vMerge w:val="restar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VOCs综合标准</w:t>
            </w:r>
          </w:p>
        </w:tc>
        <w:tc>
          <w:tcPr>
            <w:tcW w:w="427"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河北</w:t>
            </w:r>
          </w:p>
        </w:tc>
        <w:tc>
          <w:tcPr>
            <w:tcW w:w="1794"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工业企业挥发性有机物排放控制标准</w:t>
            </w:r>
          </w:p>
        </w:tc>
        <w:tc>
          <w:tcPr>
            <w:tcW w:w="940"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DB 13/ 2322—2016</w:t>
            </w: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30、50、60、70、80、100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continue"/>
            <w:vAlign w:val="center"/>
          </w:tcPr>
          <w:p>
            <w:pPr>
              <w:widowControl/>
              <w:snapToGrid w:val="0"/>
              <w:jc w:val="center"/>
              <w:rPr>
                <w:rFonts w:ascii="Times New Roman" w:hAnsi="Times New Roman"/>
                <w:color w:val="000000"/>
                <w:kern w:val="0"/>
                <w:sz w:val="18"/>
                <w:szCs w:val="18"/>
              </w:rPr>
            </w:pPr>
          </w:p>
        </w:tc>
        <w:tc>
          <w:tcPr>
            <w:tcW w:w="427"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陕西</w:t>
            </w:r>
          </w:p>
        </w:tc>
        <w:tc>
          <w:tcPr>
            <w:tcW w:w="1794"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陕西省挥发性有机物排放控制标准</w:t>
            </w:r>
          </w:p>
        </w:tc>
        <w:tc>
          <w:tcPr>
            <w:tcW w:w="940"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DB61/T 1061-2017</w:t>
            </w: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40、50、80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continue"/>
            <w:vAlign w:val="center"/>
          </w:tcPr>
          <w:p>
            <w:pPr>
              <w:widowControl/>
              <w:snapToGrid w:val="0"/>
              <w:jc w:val="center"/>
              <w:rPr>
                <w:rFonts w:ascii="Times New Roman" w:hAnsi="Times New Roman"/>
                <w:color w:val="000000"/>
                <w:kern w:val="0"/>
                <w:sz w:val="18"/>
                <w:szCs w:val="18"/>
              </w:rPr>
            </w:pPr>
          </w:p>
        </w:tc>
        <w:tc>
          <w:tcPr>
            <w:tcW w:w="427"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福建</w:t>
            </w:r>
          </w:p>
        </w:tc>
        <w:tc>
          <w:tcPr>
            <w:tcW w:w="1794"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工业企业挥发性有机物排放标准</w:t>
            </w:r>
          </w:p>
        </w:tc>
        <w:tc>
          <w:tcPr>
            <w:tcW w:w="940"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DB35/1782—2018</w:t>
            </w: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60、80、100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restar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工业涂装工序</w:t>
            </w:r>
          </w:p>
        </w:tc>
        <w:tc>
          <w:tcPr>
            <w:tcW w:w="427"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北京</w:t>
            </w:r>
          </w:p>
        </w:tc>
        <w:tc>
          <w:tcPr>
            <w:tcW w:w="1794"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工业涂装工序挥发性有机物排放标准</w:t>
            </w:r>
          </w:p>
        </w:tc>
        <w:tc>
          <w:tcPr>
            <w:tcW w:w="940"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DB11/ 1226-2015</w:t>
            </w: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continue"/>
            <w:vAlign w:val="center"/>
          </w:tcPr>
          <w:p>
            <w:pPr>
              <w:widowControl/>
              <w:snapToGrid w:val="0"/>
              <w:jc w:val="center"/>
              <w:rPr>
                <w:rFonts w:ascii="Times New Roman" w:hAnsi="Times New Roman"/>
                <w:color w:val="000000"/>
                <w:kern w:val="0"/>
                <w:sz w:val="18"/>
                <w:szCs w:val="18"/>
              </w:rPr>
            </w:pPr>
          </w:p>
        </w:tc>
        <w:tc>
          <w:tcPr>
            <w:tcW w:w="427"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河北</w:t>
            </w:r>
          </w:p>
        </w:tc>
        <w:tc>
          <w:tcPr>
            <w:tcW w:w="1794"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工业企业挥发性有机物排放控制标准</w:t>
            </w:r>
          </w:p>
        </w:tc>
        <w:tc>
          <w:tcPr>
            <w:tcW w:w="940"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DB 13/ 2322—2016</w:t>
            </w: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continue"/>
            <w:vAlign w:val="center"/>
          </w:tcPr>
          <w:p>
            <w:pPr>
              <w:widowControl/>
              <w:snapToGrid w:val="0"/>
              <w:jc w:val="center"/>
              <w:rPr>
                <w:rFonts w:ascii="Times New Roman" w:hAnsi="Times New Roman"/>
                <w:color w:val="000000"/>
                <w:kern w:val="0"/>
                <w:sz w:val="18"/>
                <w:szCs w:val="18"/>
              </w:rPr>
            </w:pPr>
          </w:p>
        </w:tc>
        <w:tc>
          <w:tcPr>
            <w:tcW w:w="427"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陕西</w:t>
            </w:r>
          </w:p>
        </w:tc>
        <w:tc>
          <w:tcPr>
            <w:tcW w:w="1794"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陕西省挥发性有机物排放控制标准</w:t>
            </w:r>
          </w:p>
        </w:tc>
        <w:tc>
          <w:tcPr>
            <w:tcW w:w="940"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DB61/T 1061-2017</w:t>
            </w: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continue"/>
            <w:vAlign w:val="center"/>
          </w:tcPr>
          <w:p>
            <w:pPr>
              <w:widowControl/>
              <w:snapToGrid w:val="0"/>
              <w:jc w:val="center"/>
              <w:rPr>
                <w:rFonts w:ascii="Times New Roman" w:hAnsi="Times New Roman"/>
                <w:color w:val="000000"/>
                <w:kern w:val="0"/>
                <w:sz w:val="18"/>
                <w:szCs w:val="18"/>
              </w:rPr>
            </w:pPr>
          </w:p>
        </w:tc>
        <w:tc>
          <w:tcPr>
            <w:tcW w:w="427" w:type="pct"/>
            <w:vMerge w:val="restar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浙江</w:t>
            </w:r>
          </w:p>
        </w:tc>
        <w:tc>
          <w:tcPr>
            <w:tcW w:w="1794" w:type="pct"/>
            <w:vMerge w:val="restar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工业涂装工序大气污染物排放标准</w:t>
            </w:r>
          </w:p>
        </w:tc>
        <w:tc>
          <w:tcPr>
            <w:tcW w:w="940" w:type="pct"/>
            <w:vMerge w:val="restar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DB 33 2146-2018</w:t>
            </w: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排放限值</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60/80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continue"/>
            <w:vAlign w:val="center"/>
          </w:tcPr>
          <w:p>
            <w:pPr>
              <w:widowControl/>
              <w:snapToGrid w:val="0"/>
              <w:jc w:val="center"/>
              <w:rPr>
                <w:rFonts w:ascii="Times New Roman" w:hAnsi="Times New Roman"/>
                <w:color w:val="000000"/>
                <w:kern w:val="0"/>
                <w:sz w:val="18"/>
                <w:szCs w:val="18"/>
              </w:rPr>
            </w:pPr>
          </w:p>
        </w:tc>
        <w:tc>
          <w:tcPr>
            <w:tcW w:w="427" w:type="pct"/>
            <w:vMerge w:val="continue"/>
            <w:noWrap/>
            <w:vAlign w:val="center"/>
          </w:tcPr>
          <w:p>
            <w:pPr>
              <w:widowControl/>
              <w:snapToGrid w:val="0"/>
              <w:jc w:val="center"/>
              <w:rPr>
                <w:rFonts w:ascii="Times New Roman" w:hAnsi="Times New Roman"/>
                <w:color w:val="000000"/>
                <w:kern w:val="0"/>
                <w:sz w:val="18"/>
                <w:szCs w:val="18"/>
              </w:rPr>
            </w:pPr>
          </w:p>
        </w:tc>
        <w:tc>
          <w:tcPr>
            <w:tcW w:w="1794" w:type="pct"/>
            <w:vMerge w:val="continue"/>
            <w:noWrap/>
            <w:vAlign w:val="center"/>
          </w:tcPr>
          <w:p>
            <w:pPr>
              <w:widowControl/>
              <w:snapToGrid w:val="0"/>
              <w:rPr>
                <w:rFonts w:ascii="Times New Roman" w:hAnsi="Times New Roman"/>
                <w:color w:val="000000"/>
                <w:kern w:val="0"/>
                <w:sz w:val="18"/>
                <w:szCs w:val="18"/>
              </w:rPr>
            </w:pPr>
          </w:p>
        </w:tc>
        <w:tc>
          <w:tcPr>
            <w:tcW w:w="940" w:type="pct"/>
            <w:vMerge w:val="continue"/>
            <w:noWrap/>
            <w:vAlign w:val="center"/>
          </w:tcPr>
          <w:p>
            <w:pPr>
              <w:widowControl/>
              <w:snapToGrid w:val="0"/>
              <w:rPr>
                <w:rFonts w:ascii="Times New Roman" w:hAnsi="Times New Roman"/>
                <w:color w:val="000000"/>
                <w:kern w:val="0"/>
                <w:sz w:val="18"/>
                <w:szCs w:val="18"/>
              </w:rPr>
            </w:pP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特别排放限值</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continue"/>
            <w:vAlign w:val="center"/>
          </w:tcPr>
          <w:p>
            <w:pPr>
              <w:widowControl/>
              <w:snapToGrid w:val="0"/>
              <w:jc w:val="center"/>
              <w:rPr>
                <w:rFonts w:ascii="Times New Roman" w:hAnsi="Times New Roman"/>
                <w:color w:val="000000"/>
                <w:kern w:val="0"/>
                <w:sz w:val="18"/>
                <w:szCs w:val="18"/>
              </w:rPr>
            </w:pPr>
          </w:p>
        </w:tc>
        <w:tc>
          <w:tcPr>
            <w:tcW w:w="427"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福建</w:t>
            </w:r>
          </w:p>
        </w:tc>
        <w:tc>
          <w:tcPr>
            <w:tcW w:w="1794"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工业涂装工序挥发性有机物排放标准</w:t>
            </w:r>
          </w:p>
        </w:tc>
        <w:tc>
          <w:tcPr>
            <w:tcW w:w="940"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报批稿</w:t>
            </w: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restar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电子工业</w:t>
            </w:r>
          </w:p>
        </w:tc>
        <w:tc>
          <w:tcPr>
            <w:tcW w:w="427" w:type="pct"/>
            <w:vMerge w:val="restar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国家</w:t>
            </w:r>
          </w:p>
        </w:tc>
        <w:tc>
          <w:tcPr>
            <w:tcW w:w="1794" w:type="pct"/>
            <w:vMerge w:val="restar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电子工业污染物排放标准</w:t>
            </w:r>
          </w:p>
        </w:tc>
        <w:tc>
          <w:tcPr>
            <w:tcW w:w="940" w:type="pct"/>
            <w:vMerge w:val="restar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（二次征求意见稿）</w:t>
            </w: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排放限值</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continue"/>
            <w:vAlign w:val="center"/>
          </w:tcPr>
          <w:p>
            <w:pPr>
              <w:widowControl/>
              <w:snapToGrid w:val="0"/>
              <w:jc w:val="center"/>
              <w:rPr>
                <w:rFonts w:ascii="Times New Roman" w:hAnsi="Times New Roman"/>
                <w:color w:val="000000"/>
                <w:kern w:val="0"/>
                <w:sz w:val="18"/>
                <w:szCs w:val="18"/>
              </w:rPr>
            </w:pPr>
          </w:p>
        </w:tc>
        <w:tc>
          <w:tcPr>
            <w:tcW w:w="427" w:type="pct"/>
            <w:vMerge w:val="continue"/>
            <w:noWrap/>
            <w:vAlign w:val="center"/>
          </w:tcPr>
          <w:p>
            <w:pPr>
              <w:widowControl/>
              <w:snapToGrid w:val="0"/>
              <w:jc w:val="center"/>
              <w:rPr>
                <w:rFonts w:ascii="Times New Roman" w:hAnsi="Times New Roman"/>
                <w:color w:val="000000"/>
                <w:kern w:val="0"/>
                <w:sz w:val="18"/>
                <w:szCs w:val="18"/>
              </w:rPr>
            </w:pPr>
          </w:p>
        </w:tc>
        <w:tc>
          <w:tcPr>
            <w:tcW w:w="1794" w:type="pct"/>
            <w:vMerge w:val="continue"/>
            <w:noWrap/>
            <w:vAlign w:val="center"/>
          </w:tcPr>
          <w:p>
            <w:pPr>
              <w:widowControl/>
              <w:snapToGrid w:val="0"/>
              <w:rPr>
                <w:rFonts w:ascii="Times New Roman" w:hAnsi="Times New Roman"/>
                <w:color w:val="000000"/>
                <w:kern w:val="0"/>
                <w:sz w:val="18"/>
                <w:szCs w:val="18"/>
              </w:rPr>
            </w:pPr>
          </w:p>
        </w:tc>
        <w:tc>
          <w:tcPr>
            <w:tcW w:w="940" w:type="pct"/>
            <w:vMerge w:val="continue"/>
            <w:noWrap/>
            <w:vAlign w:val="center"/>
          </w:tcPr>
          <w:p>
            <w:pPr>
              <w:widowControl/>
              <w:snapToGrid w:val="0"/>
              <w:rPr>
                <w:rFonts w:ascii="Times New Roman" w:hAnsi="Times New Roman"/>
                <w:color w:val="000000"/>
                <w:kern w:val="0"/>
                <w:sz w:val="18"/>
                <w:szCs w:val="18"/>
              </w:rPr>
            </w:pP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特别排放限值</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continue"/>
            <w:vAlign w:val="center"/>
          </w:tcPr>
          <w:p>
            <w:pPr>
              <w:widowControl/>
              <w:snapToGrid w:val="0"/>
              <w:jc w:val="center"/>
              <w:rPr>
                <w:rFonts w:ascii="Times New Roman" w:hAnsi="Times New Roman"/>
                <w:color w:val="000000"/>
                <w:kern w:val="0"/>
                <w:sz w:val="18"/>
                <w:szCs w:val="18"/>
              </w:rPr>
            </w:pPr>
          </w:p>
        </w:tc>
        <w:tc>
          <w:tcPr>
            <w:tcW w:w="427"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陕西</w:t>
            </w:r>
          </w:p>
        </w:tc>
        <w:tc>
          <w:tcPr>
            <w:tcW w:w="1794"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陕西省挥发性有机物排放控制标准</w:t>
            </w:r>
          </w:p>
        </w:tc>
        <w:tc>
          <w:tcPr>
            <w:tcW w:w="940"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DB61/T 1061-2017</w:t>
            </w: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continue"/>
            <w:vAlign w:val="center"/>
          </w:tcPr>
          <w:p>
            <w:pPr>
              <w:widowControl/>
              <w:snapToGrid w:val="0"/>
              <w:jc w:val="center"/>
              <w:rPr>
                <w:rFonts w:ascii="Times New Roman" w:hAnsi="Times New Roman"/>
                <w:color w:val="000000"/>
                <w:kern w:val="0"/>
                <w:sz w:val="18"/>
                <w:szCs w:val="18"/>
              </w:rPr>
            </w:pPr>
          </w:p>
        </w:tc>
        <w:tc>
          <w:tcPr>
            <w:tcW w:w="427"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福建</w:t>
            </w:r>
          </w:p>
        </w:tc>
        <w:tc>
          <w:tcPr>
            <w:tcW w:w="1794"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工业企业挥发性有机物排放标准</w:t>
            </w:r>
          </w:p>
        </w:tc>
        <w:tc>
          <w:tcPr>
            <w:tcW w:w="940"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DB35/1782—2018</w:t>
            </w: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restar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纺织印染</w:t>
            </w:r>
          </w:p>
        </w:tc>
        <w:tc>
          <w:tcPr>
            <w:tcW w:w="427" w:type="pct"/>
            <w:vMerge w:val="restar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国家</w:t>
            </w:r>
          </w:p>
        </w:tc>
        <w:tc>
          <w:tcPr>
            <w:tcW w:w="1794" w:type="pct"/>
            <w:vMerge w:val="restar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纺织印染工业大气污染物排放标准</w:t>
            </w:r>
          </w:p>
        </w:tc>
        <w:tc>
          <w:tcPr>
            <w:tcW w:w="940" w:type="pct"/>
            <w:vMerge w:val="restar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征求意见稿</w:t>
            </w: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排放限值</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continue"/>
            <w:vAlign w:val="center"/>
          </w:tcPr>
          <w:p>
            <w:pPr>
              <w:widowControl/>
              <w:snapToGrid w:val="0"/>
              <w:jc w:val="center"/>
              <w:rPr>
                <w:rFonts w:ascii="Times New Roman" w:hAnsi="Times New Roman"/>
                <w:color w:val="000000"/>
                <w:kern w:val="0"/>
                <w:sz w:val="18"/>
                <w:szCs w:val="18"/>
              </w:rPr>
            </w:pPr>
          </w:p>
        </w:tc>
        <w:tc>
          <w:tcPr>
            <w:tcW w:w="427" w:type="pct"/>
            <w:vMerge w:val="continue"/>
            <w:noWrap/>
            <w:vAlign w:val="center"/>
          </w:tcPr>
          <w:p>
            <w:pPr>
              <w:widowControl/>
              <w:snapToGrid w:val="0"/>
              <w:jc w:val="center"/>
              <w:rPr>
                <w:rFonts w:ascii="Times New Roman" w:hAnsi="Times New Roman"/>
                <w:color w:val="000000"/>
                <w:kern w:val="0"/>
                <w:sz w:val="18"/>
                <w:szCs w:val="18"/>
              </w:rPr>
            </w:pPr>
          </w:p>
        </w:tc>
        <w:tc>
          <w:tcPr>
            <w:tcW w:w="1794" w:type="pct"/>
            <w:vMerge w:val="continue"/>
            <w:noWrap/>
            <w:vAlign w:val="center"/>
          </w:tcPr>
          <w:p>
            <w:pPr>
              <w:widowControl/>
              <w:snapToGrid w:val="0"/>
              <w:rPr>
                <w:rFonts w:ascii="Times New Roman" w:hAnsi="Times New Roman"/>
                <w:color w:val="000000"/>
                <w:kern w:val="0"/>
                <w:sz w:val="18"/>
                <w:szCs w:val="18"/>
              </w:rPr>
            </w:pPr>
          </w:p>
        </w:tc>
        <w:tc>
          <w:tcPr>
            <w:tcW w:w="940" w:type="pct"/>
            <w:vMerge w:val="continue"/>
            <w:noWrap/>
            <w:vAlign w:val="center"/>
          </w:tcPr>
          <w:p>
            <w:pPr>
              <w:widowControl/>
              <w:snapToGrid w:val="0"/>
              <w:rPr>
                <w:rFonts w:ascii="Times New Roman" w:hAnsi="Times New Roman"/>
                <w:color w:val="000000"/>
                <w:kern w:val="0"/>
                <w:sz w:val="18"/>
                <w:szCs w:val="18"/>
              </w:rPr>
            </w:pP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特别排放限值</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30、60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restar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汽车维修业</w:t>
            </w:r>
          </w:p>
        </w:tc>
        <w:tc>
          <w:tcPr>
            <w:tcW w:w="427" w:type="pct"/>
            <w:vMerge w:val="restar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北京</w:t>
            </w:r>
          </w:p>
        </w:tc>
        <w:tc>
          <w:tcPr>
            <w:tcW w:w="1794" w:type="pct"/>
            <w:vMerge w:val="restar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汽车维修业大气污染物排放标准</w:t>
            </w:r>
          </w:p>
        </w:tc>
        <w:tc>
          <w:tcPr>
            <w:tcW w:w="940" w:type="pct"/>
            <w:vMerge w:val="restar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DB11/1228-2015</w:t>
            </w: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I时段</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continue"/>
            <w:vAlign w:val="center"/>
          </w:tcPr>
          <w:p>
            <w:pPr>
              <w:widowControl/>
              <w:snapToGrid w:val="0"/>
              <w:jc w:val="center"/>
              <w:rPr>
                <w:rFonts w:ascii="Times New Roman" w:hAnsi="Times New Roman"/>
                <w:color w:val="000000"/>
                <w:kern w:val="0"/>
                <w:sz w:val="18"/>
                <w:szCs w:val="18"/>
              </w:rPr>
            </w:pPr>
          </w:p>
        </w:tc>
        <w:tc>
          <w:tcPr>
            <w:tcW w:w="427" w:type="pct"/>
            <w:vMerge w:val="continue"/>
            <w:noWrap/>
            <w:vAlign w:val="center"/>
          </w:tcPr>
          <w:p>
            <w:pPr>
              <w:widowControl/>
              <w:snapToGrid w:val="0"/>
              <w:jc w:val="center"/>
              <w:rPr>
                <w:rFonts w:ascii="Times New Roman" w:hAnsi="Times New Roman"/>
                <w:color w:val="000000"/>
                <w:kern w:val="0"/>
                <w:sz w:val="18"/>
                <w:szCs w:val="18"/>
              </w:rPr>
            </w:pPr>
          </w:p>
        </w:tc>
        <w:tc>
          <w:tcPr>
            <w:tcW w:w="1794" w:type="pct"/>
            <w:vMerge w:val="continue"/>
            <w:noWrap/>
            <w:vAlign w:val="center"/>
          </w:tcPr>
          <w:p>
            <w:pPr>
              <w:widowControl/>
              <w:snapToGrid w:val="0"/>
              <w:rPr>
                <w:rFonts w:ascii="Times New Roman" w:hAnsi="Times New Roman"/>
                <w:color w:val="000000"/>
                <w:kern w:val="0"/>
                <w:sz w:val="18"/>
                <w:szCs w:val="18"/>
              </w:rPr>
            </w:pPr>
          </w:p>
        </w:tc>
        <w:tc>
          <w:tcPr>
            <w:tcW w:w="940" w:type="pct"/>
            <w:vMerge w:val="continue"/>
            <w:noWrap/>
            <w:vAlign w:val="center"/>
          </w:tcPr>
          <w:p>
            <w:pPr>
              <w:widowControl/>
              <w:snapToGrid w:val="0"/>
              <w:rPr>
                <w:rFonts w:ascii="Times New Roman" w:hAnsi="Times New Roman"/>
                <w:color w:val="000000"/>
                <w:kern w:val="0"/>
                <w:sz w:val="18"/>
                <w:szCs w:val="18"/>
              </w:rPr>
            </w:pP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II时段</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continue"/>
            <w:vAlign w:val="center"/>
          </w:tcPr>
          <w:p>
            <w:pPr>
              <w:widowControl/>
              <w:snapToGrid w:val="0"/>
              <w:jc w:val="center"/>
              <w:rPr>
                <w:rFonts w:ascii="Times New Roman" w:hAnsi="Times New Roman"/>
                <w:color w:val="000000"/>
                <w:kern w:val="0"/>
                <w:sz w:val="18"/>
                <w:szCs w:val="18"/>
              </w:rPr>
            </w:pPr>
          </w:p>
        </w:tc>
        <w:tc>
          <w:tcPr>
            <w:tcW w:w="427" w:type="pct"/>
            <w:vMerge w:val="restar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重庆</w:t>
            </w:r>
          </w:p>
        </w:tc>
        <w:tc>
          <w:tcPr>
            <w:tcW w:w="1794" w:type="pct"/>
            <w:vMerge w:val="restar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汽车维修业大气污染物排放标准</w:t>
            </w:r>
          </w:p>
        </w:tc>
        <w:tc>
          <w:tcPr>
            <w:tcW w:w="940" w:type="pct"/>
            <w:vMerge w:val="restar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DB 50 661-2016</w:t>
            </w: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I时段</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100、120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continue"/>
            <w:vAlign w:val="center"/>
          </w:tcPr>
          <w:p>
            <w:pPr>
              <w:widowControl/>
              <w:snapToGrid w:val="0"/>
              <w:jc w:val="center"/>
              <w:rPr>
                <w:rFonts w:ascii="Times New Roman" w:hAnsi="Times New Roman"/>
                <w:color w:val="000000"/>
                <w:kern w:val="0"/>
                <w:sz w:val="18"/>
                <w:szCs w:val="18"/>
              </w:rPr>
            </w:pPr>
          </w:p>
        </w:tc>
        <w:tc>
          <w:tcPr>
            <w:tcW w:w="427" w:type="pct"/>
            <w:vMerge w:val="continue"/>
            <w:noWrap/>
            <w:vAlign w:val="center"/>
          </w:tcPr>
          <w:p>
            <w:pPr>
              <w:widowControl/>
              <w:snapToGrid w:val="0"/>
              <w:jc w:val="center"/>
              <w:rPr>
                <w:rFonts w:ascii="Times New Roman" w:hAnsi="Times New Roman"/>
                <w:color w:val="000000"/>
                <w:kern w:val="0"/>
                <w:sz w:val="18"/>
                <w:szCs w:val="18"/>
              </w:rPr>
            </w:pPr>
          </w:p>
        </w:tc>
        <w:tc>
          <w:tcPr>
            <w:tcW w:w="1794" w:type="pct"/>
            <w:vMerge w:val="continue"/>
            <w:noWrap/>
            <w:vAlign w:val="center"/>
          </w:tcPr>
          <w:p>
            <w:pPr>
              <w:widowControl/>
              <w:snapToGrid w:val="0"/>
              <w:rPr>
                <w:rFonts w:ascii="Times New Roman" w:hAnsi="Times New Roman"/>
                <w:color w:val="000000"/>
                <w:kern w:val="0"/>
                <w:sz w:val="18"/>
                <w:szCs w:val="18"/>
              </w:rPr>
            </w:pPr>
          </w:p>
        </w:tc>
        <w:tc>
          <w:tcPr>
            <w:tcW w:w="940" w:type="pct"/>
            <w:vMerge w:val="continue"/>
            <w:noWrap/>
            <w:vAlign w:val="center"/>
          </w:tcPr>
          <w:p>
            <w:pPr>
              <w:widowControl/>
              <w:snapToGrid w:val="0"/>
              <w:rPr>
                <w:rFonts w:ascii="Times New Roman" w:hAnsi="Times New Roman"/>
                <w:color w:val="000000"/>
                <w:kern w:val="0"/>
                <w:sz w:val="18"/>
                <w:szCs w:val="18"/>
              </w:rPr>
            </w:pP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II时段</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continue"/>
            <w:vAlign w:val="center"/>
          </w:tcPr>
          <w:p>
            <w:pPr>
              <w:widowControl/>
              <w:snapToGrid w:val="0"/>
              <w:jc w:val="center"/>
              <w:rPr>
                <w:rFonts w:ascii="Times New Roman" w:hAnsi="Times New Roman"/>
                <w:color w:val="000000"/>
                <w:kern w:val="0"/>
                <w:sz w:val="18"/>
                <w:szCs w:val="18"/>
              </w:rPr>
            </w:pPr>
          </w:p>
        </w:tc>
        <w:tc>
          <w:tcPr>
            <w:tcW w:w="427" w:type="pct"/>
            <w:vMerge w:val="continue"/>
            <w:noWrap/>
            <w:vAlign w:val="center"/>
          </w:tcPr>
          <w:p>
            <w:pPr>
              <w:widowControl/>
              <w:snapToGrid w:val="0"/>
              <w:jc w:val="center"/>
              <w:rPr>
                <w:rFonts w:ascii="Times New Roman" w:hAnsi="Times New Roman"/>
                <w:color w:val="000000"/>
                <w:kern w:val="0"/>
                <w:sz w:val="18"/>
                <w:szCs w:val="18"/>
              </w:rPr>
            </w:pPr>
          </w:p>
        </w:tc>
        <w:tc>
          <w:tcPr>
            <w:tcW w:w="1794" w:type="pct"/>
            <w:vMerge w:val="continue"/>
            <w:noWrap/>
            <w:vAlign w:val="center"/>
          </w:tcPr>
          <w:p>
            <w:pPr>
              <w:widowControl/>
              <w:snapToGrid w:val="0"/>
              <w:rPr>
                <w:rFonts w:ascii="Times New Roman" w:hAnsi="Times New Roman"/>
                <w:color w:val="000000"/>
                <w:kern w:val="0"/>
                <w:sz w:val="18"/>
                <w:szCs w:val="18"/>
              </w:rPr>
            </w:pPr>
          </w:p>
        </w:tc>
        <w:tc>
          <w:tcPr>
            <w:tcW w:w="940" w:type="pct"/>
            <w:vMerge w:val="continue"/>
            <w:noWrap/>
            <w:vAlign w:val="center"/>
          </w:tcPr>
          <w:p>
            <w:pPr>
              <w:widowControl/>
              <w:snapToGrid w:val="0"/>
              <w:rPr>
                <w:rFonts w:ascii="Times New Roman" w:hAnsi="Times New Roman"/>
                <w:color w:val="000000"/>
                <w:kern w:val="0"/>
                <w:sz w:val="18"/>
                <w:szCs w:val="18"/>
              </w:rPr>
            </w:pP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推荐限值</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restar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船舶工业</w:t>
            </w:r>
          </w:p>
        </w:tc>
        <w:tc>
          <w:tcPr>
            <w:tcW w:w="427"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上海</w:t>
            </w:r>
          </w:p>
        </w:tc>
        <w:tc>
          <w:tcPr>
            <w:tcW w:w="1794"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船舶工业大气污染物排放标准</w:t>
            </w:r>
          </w:p>
        </w:tc>
        <w:tc>
          <w:tcPr>
            <w:tcW w:w="940"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DB31/934—2015</w:t>
            </w: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50、70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continue"/>
            <w:vAlign w:val="center"/>
          </w:tcPr>
          <w:p>
            <w:pPr>
              <w:widowControl/>
              <w:snapToGrid w:val="0"/>
              <w:jc w:val="center"/>
              <w:rPr>
                <w:rFonts w:ascii="Times New Roman" w:hAnsi="Times New Roman"/>
                <w:color w:val="000000"/>
                <w:kern w:val="0"/>
                <w:sz w:val="18"/>
                <w:szCs w:val="18"/>
              </w:rPr>
            </w:pPr>
          </w:p>
        </w:tc>
        <w:tc>
          <w:tcPr>
            <w:tcW w:w="427"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福建</w:t>
            </w:r>
          </w:p>
        </w:tc>
        <w:tc>
          <w:tcPr>
            <w:tcW w:w="1794"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工业涂装工序挥发性有机物排放标准</w:t>
            </w:r>
          </w:p>
        </w:tc>
        <w:tc>
          <w:tcPr>
            <w:tcW w:w="940"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报批稿</w:t>
            </w: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restar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合成树脂</w:t>
            </w:r>
          </w:p>
        </w:tc>
        <w:tc>
          <w:tcPr>
            <w:tcW w:w="427" w:type="pct"/>
            <w:vMerge w:val="restar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国家</w:t>
            </w:r>
          </w:p>
        </w:tc>
        <w:tc>
          <w:tcPr>
            <w:tcW w:w="1794" w:type="pct"/>
            <w:vMerge w:val="restar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合成树脂工业污染物排放标准</w:t>
            </w:r>
          </w:p>
        </w:tc>
        <w:tc>
          <w:tcPr>
            <w:tcW w:w="940" w:type="pct"/>
            <w:vMerge w:val="restar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GB 31572-2015</w:t>
            </w: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排放限值</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continue"/>
            <w:vAlign w:val="center"/>
          </w:tcPr>
          <w:p>
            <w:pPr>
              <w:widowControl/>
              <w:snapToGrid w:val="0"/>
              <w:jc w:val="center"/>
              <w:rPr>
                <w:rFonts w:ascii="Times New Roman" w:hAnsi="Times New Roman"/>
                <w:color w:val="000000"/>
                <w:kern w:val="0"/>
                <w:sz w:val="18"/>
                <w:szCs w:val="18"/>
              </w:rPr>
            </w:pPr>
          </w:p>
        </w:tc>
        <w:tc>
          <w:tcPr>
            <w:tcW w:w="427" w:type="pct"/>
            <w:vMerge w:val="continue"/>
            <w:noWrap/>
            <w:vAlign w:val="center"/>
          </w:tcPr>
          <w:p>
            <w:pPr>
              <w:widowControl/>
              <w:snapToGrid w:val="0"/>
              <w:jc w:val="center"/>
              <w:rPr>
                <w:rFonts w:ascii="Times New Roman" w:hAnsi="Times New Roman"/>
                <w:color w:val="000000"/>
                <w:kern w:val="0"/>
                <w:sz w:val="18"/>
                <w:szCs w:val="18"/>
              </w:rPr>
            </w:pPr>
          </w:p>
        </w:tc>
        <w:tc>
          <w:tcPr>
            <w:tcW w:w="1794" w:type="pct"/>
            <w:vMerge w:val="continue"/>
            <w:noWrap/>
            <w:vAlign w:val="center"/>
          </w:tcPr>
          <w:p>
            <w:pPr>
              <w:widowControl/>
              <w:snapToGrid w:val="0"/>
              <w:rPr>
                <w:rFonts w:ascii="Times New Roman" w:hAnsi="Times New Roman"/>
                <w:color w:val="000000"/>
                <w:kern w:val="0"/>
                <w:sz w:val="18"/>
                <w:szCs w:val="18"/>
              </w:rPr>
            </w:pPr>
          </w:p>
        </w:tc>
        <w:tc>
          <w:tcPr>
            <w:tcW w:w="940" w:type="pct"/>
            <w:vMerge w:val="continue"/>
            <w:noWrap/>
            <w:vAlign w:val="center"/>
          </w:tcPr>
          <w:p>
            <w:pPr>
              <w:widowControl/>
              <w:snapToGrid w:val="0"/>
              <w:rPr>
                <w:rFonts w:ascii="Times New Roman" w:hAnsi="Times New Roman"/>
                <w:color w:val="000000"/>
                <w:kern w:val="0"/>
                <w:sz w:val="18"/>
                <w:szCs w:val="18"/>
              </w:rPr>
            </w:pP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特别排放限值</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restar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人造板工业</w:t>
            </w:r>
          </w:p>
        </w:tc>
        <w:tc>
          <w:tcPr>
            <w:tcW w:w="427" w:type="pct"/>
            <w:vMerge w:val="restar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国家</w:t>
            </w:r>
          </w:p>
        </w:tc>
        <w:tc>
          <w:tcPr>
            <w:tcW w:w="1794" w:type="pct"/>
            <w:vMerge w:val="restar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人造板工业污染物排放标准</w:t>
            </w:r>
          </w:p>
        </w:tc>
        <w:tc>
          <w:tcPr>
            <w:tcW w:w="940" w:type="pct"/>
            <w:vMerge w:val="restar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（征求意见稿）</w:t>
            </w: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排放限值</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60/70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continue"/>
            <w:vAlign w:val="center"/>
          </w:tcPr>
          <w:p>
            <w:pPr>
              <w:widowControl/>
              <w:snapToGrid w:val="0"/>
              <w:jc w:val="center"/>
              <w:rPr>
                <w:rFonts w:ascii="Times New Roman" w:hAnsi="Times New Roman"/>
                <w:color w:val="000000"/>
                <w:kern w:val="0"/>
                <w:sz w:val="18"/>
                <w:szCs w:val="18"/>
              </w:rPr>
            </w:pPr>
          </w:p>
        </w:tc>
        <w:tc>
          <w:tcPr>
            <w:tcW w:w="427" w:type="pct"/>
            <w:vMerge w:val="continue"/>
            <w:noWrap/>
            <w:vAlign w:val="center"/>
          </w:tcPr>
          <w:p>
            <w:pPr>
              <w:widowControl/>
              <w:snapToGrid w:val="0"/>
              <w:jc w:val="center"/>
              <w:rPr>
                <w:rFonts w:ascii="Times New Roman" w:hAnsi="Times New Roman"/>
                <w:color w:val="000000"/>
                <w:kern w:val="0"/>
                <w:sz w:val="18"/>
                <w:szCs w:val="18"/>
              </w:rPr>
            </w:pPr>
          </w:p>
        </w:tc>
        <w:tc>
          <w:tcPr>
            <w:tcW w:w="1794" w:type="pct"/>
            <w:vMerge w:val="continue"/>
            <w:noWrap/>
            <w:vAlign w:val="center"/>
          </w:tcPr>
          <w:p>
            <w:pPr>
              <w:widowControl/>
              <w:snapToGrid w:val="0"/>
              <w:rPr>
                <w:rFonts w:ascii="Times New Roman" w:hAnsi="Times New Roman"/>
                <w:color w:val="000000"/>
                <w:kern w:val="0"/>
                <w:sz w:val="18"/>
                <w:szCs w:val="18"/>
              </w:rPr>
            </w:pPr>
          </w:p>
        </w:tc>
        <w:tc>
          <w:tcPr>
            <w:tcW w:w="940" w:type="pct"/>
            <w:vMerge w:val="continue"/>
            <w:noWrap/>
            <w:vAlign w:val="center"/>
          </w:tcPr>
          <w:p>
            <w:pPr>
              <w:widowControl/>
              <w:snapToGrid w:val="0"/>
              <w:rPr>
                <w:rFonts w:ascii="Times New Roman" w:hAnsi="Times New Roman"/>
                <w:color w:val="000000"/>
                <w:kern w:val="0"/>
                <w:sz w:val="18"/>
                <w:szCs w:val="18"/>
              </w:rPr>
            </w:pP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特别排放限值</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restar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木材加工业</w:t>
            </w:r>
          </w:p>
        </w:tc>
        <w:tc>
          <w:tcPr>
            <w:tcW w:w="427"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河北</w:t>
            </w:r>
          </w:p>
        </w:tc>
        <w:tc>
          <w:tcPr>
            <w:tcW w:w="1794"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工业企业挥发性有机物排放控制标准</w:t>
            </w:r>
          </w:p>
        </w:tc>
        <w:tc>
          <w:tcPr>
            <w:tcW w:w="940"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DB 13/ 2322—2016</w:t>
            </w: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continue"/>
            <w:vAlign w:val="center"/>
          </w:tcPr>
          <w:p>
            <w:pPr>
              <w:widowControl/>
              <w:snapToGrid w:val="0"/>
              <w:jc w:val="center"/>
              <w:rPr>
                <w:rFonts w:ascii="Times New Roman" w:hAnsi="Times New Roman"/>
                <w:color w:val="000000"/>
                <w:kern w:val="0"/>
                <w:sz w:val="18"/>
                <w:szCs w:val="18"/>
              </w:rPr>
            </w:pPr>
          </w:p>
        </w:tc>
        <w:tc>
          <w:tcPr>
            <w:tcW w:w="427"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福建</w:t>
            </w:r>
          </w:p>
        </w:tc>
        <w:tc>
          <w:tcPr>
            <w:tcW w:w="1794"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工业企业挥发性有机物排放标准</w:t>
            </w:r>
          </w:p>
        </w:tc>
        <w:tc>
          <w:tcPr>
            <w:tcW w:w="940"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DB35/1782—2018</w:t>
            </w: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restar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国外</w:t>
            </w:r>
          </w:p>
        </w:tc>
        <w:tc>
          <w:tcPr>
            <w:tcW w:w="427"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德国</w:t>
            </w:r>
          </w:p>
        </w:tc>
        <w:tc>
          <w:tcPr>
            <w:tcW w:w="1794"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940"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TA-Luft</w:t>
            </w: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continue"/>
            <w:noWrap/>
            <w:vAlign w:val="center"/>
          </w:tcPr>
          <w:p>
            <w:pPr>
              <w:widowControl/>
              <w:snapToGrid w:val="0"/>
              <w:jc w:val="center"/>
              <w:rPr>
                <w:rFonts w:ascii="Times New Roman" w:hAnsi="Times New Roman"/>
                <w:color w:val="000000"/>
                <w:kern w:val="0"/>
                <w:sz w:val="18"/>
                <w:szCs w:val="18"/>
              </w:rPr>
            </w:pPr>
          </w:p>
        </w:tc>
        <w:tc>
          <w:tcPr>
            <w:tcW w:w="427"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欧盟</w:t>
            </w:r>
          </w:p>
        </w:tc>
        <w:tc>
          <w:tcPr>
            <w:tcW w:w="1794"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940"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VOC指令</w:t>
            </w: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20~150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10" w:type="pct"/>
            <w:vMerge w:val="continue"/>
            <w:noWrap/>
            <w:vAlign w:val="center"/>
          </w:tcPr>
          <w:p>
            <w:pPr>
              <w:widowControl/>
              <w:snapToGrid w:val="0"/>
              <w:jc w:val="center"/>
              <w:rPr>
                <w:rFonts w:ascii="Times New Roman" w:hAnsi="Times New Roman"/>
                <w:color w:val="000000"/>
                <w:kern w:val="0"/>
                <w:sz w:val="18"/>
                <w:szCs w:val="18"/>
              </w:rPr>
            </w:pPr>
          </w:p>
        </w:tc>
        <w:tc>
          <w:tcPr>
            <w:tcW w:w="427"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美国</w:t>
            </w:r>
          </w:p>
        </w:tc>
        <w:tc>
          <w:tcPr>
            <w:tcW w:w="1794"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940" w:type="pct"/>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HAPs标准</w:t>
            </w:r>
          </w:p>
        </w:tc>
        <w:tc>
          <w:tcPr>
            <w:tcW w:w="683" w:type="pct"/>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645" w:type="pct"/>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20或去除效率98%</w:t>
            </w:r>
          </w:p>
        </w:tc>
      </w:tr>
    </w:tbl>
    <w:p>
      <w:pPr>
        <w:pStyle w:val="13"/>
        <w:spacing w:before="156" w:beforeLines="50" w:after="156" w:afterLines="50"/>
      </w:pPr>
      <w:r>
        <w:t>表7-10  国内外相关标准TVOC的有组织排放限值</w:t>
      </w:r>
    </w:p>
    <w:tbl>
      <w:tblPr>
        <w:tblStyle w:val="34"/>
        <w:tblW w:w="5000" w:type="pct"/>
        <w:tblInd w:w="0" w:type="dxa"/>
        <w:tblLayout w:type="fixed"/>
        <w:tblCellMar>
          <w:top w:w="0" w:type="dxa"/>
          <w:left w:w="0" w:type="dxa"/>
          <w:bottom w:w="0" w:type="dxa"/>
          <w:right w:w="0" w:type="dxa"/>
        </w:tblCellMar>
      </w:tblPr>
      <w:tblGrid>
        <w:gridCol w:w="709"/>
        <w:gridCol w:w="710"/>
        <w:gridCol w:w="2843"/>
        <w:gridCol w:w="1705"/>
        <w:gridCol w:w="1277"/>
        <w:gridCol w:w="1073"/>
      </w:tblGrid>
      <w:tr>
        <w:tblPrEx>
          <w:tblCellMar>
            <w:top w:w="0" w:type="dxa"/>
            <w:left w:w="0" w:type="dxa"/>
            <w:bottom w:w="0" w:type="dxa"/>
            <w:right w:w="0" w:type="dxa"/>
          </w:tblCellMar>
        </w:tblPrEx>
        <w:trPr>
          <w:trHeight w:val="570" w:hRule="atLeast"/>
          <w:tblHeader/>
        </w:trPr>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b/>
                <w:bCs/>
                <w:color w:val="000000"/>
                <w:kern w:val="0"/>
                <w:sz w:val="18"/>
                <w:szCs w:val="18"/>
              </w:rPr>
            </w:pPr>
            <w:r>
              <w:rPr>
                <w:rFonts w:ascii="Times New Roman" w:hAnsi="Times New Roman"/>
                <w:b/>
                <w:bCs/>
                <w:color w:val="000000"/>
                <w:kern w:val="0"/>
                <w:sz w:val="18"/>
                <w:szCs w:val="18"/>
              </w:rPr>
              <w:t>行业类别</w:t>
            </w:r>
          </w:p>
        </w:tc>
        <w:tc>
          <w:tcPr>
            <w:tcW w:w="427" w:type="pct"/>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b/>
                <w:bCs/>
                <w:color w:val="000000"/>
                <w:kern w:val="0"/>
                <w:sz w:val="18"/>
                <w:szCs w:val="18"/>
              </w:rPr>
            </w:pPr>
            <w:r>
              <w:rPr>
                <w:rFonts w:ascii="Times New Roman" w:hAnsi="Times New Roman"/>
                <w:b/>
                <w:bCs/>
                <w:color w:val="000000"/>
                <w:kern w:val="0"/>
                <w:sz w:val="18"/>
                <w:szCs w:val="18"/>
              </w:rPr>
              <w:t>国家/省市</w:t>
            </w:r>
          </w:p>
        </w:tc>
        <w:tc>
          <w:tcPr>
            <w:tcW w:w="1709" w:type="pct"/>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b/>
                <w:bCs/>
                <w:color w:val="000000"/>
                <w:kern w:val="0"/>
                <w:sz w:val="18"/>
                <w:szCs w:val="18"/>
              </w:rPr>
            </w:pPr>
            <w:r>
              <w:rPr>
                <w:rFonts w:ascii="Times New Roman" w:hAnsi="Times New Roman"/>
                <w:b/>
                <w:bCs/>
                <w:color w:val="000000"/>
                <w:kern w:val="0"/>
                <w:sz w:val="18"/>
                <w:szCs w:val="18"/>
              </w:rPr>
              <w:t>标准名称</w:t>
            </w:r>
          </w:p>
        </w:tc>
        <w:tc>
          <w:tcPr>
            <w:tcW w:w="1025" w:type="pct"/>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b/>
                <w:bCs/>
                <w:color w:val="000000"/>
                <w:kern w:val="0"/>
                <w:sz w:val="18"/>
                <w:szCs w:val="18"/>
              </w:rPr>
            </w:pPr>
            <w:r>
              <w:rPr>
                <w:rFonts w:ascii="Times New Roman" w:hAnsi="Times New Roman"/>
                <w:b/>
                <w:bCs/>
                <w:color w:val="000000"/>
                <w:kern w:val="0"/>
                <w:sz w:val="18"/>
                <w:szCs w:val="18"/>
              </w:rPr>
              <w:t>标准号</w:t>
            </w:r>
          </w:p>
        </w:tc>
        <w:tc>
          <w:tcPr>
            <w:tcW w:w="768" w:type="pct"/>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b/>
                <w:bCs/>
                <w:color w:val="000000"/>
                <w:kern w:val="0"/>
                <w:sz w:val="18"/>
                <w:szCs w:val="18"/>
              </w:rPr>
            </w:pPr>
            <w:r>
              <w:rPr>
                <w:rFonts w:ascii="Times New Roman" w:hAnsi="Times New Roman"/>
                <w:b/>
                <w:bCs/>
                <w:color w:val="000000"/>
                <w:kern w:val="0"/>
                <w:sz w:val="18"/>
                <w:szCs w:val="18"/>
              </w:rPr>
              <w:t>分类</w:t>
            </w:r>
          </w:p>
        </w:tc>
        <w:tc>
          <w:tcPr>
            <w:tcW w:w="645" w:type="pct"/>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b/>
                <w:bCs/>
                <w:color w:val="000000"/>
                <w:kern w:val="0"/>
                <w:sz w:val="18"/>
                <w:szCs w:val="18"/>
              </w:rPr>
            </w:pPr>
            <w:r>
              <w:rPr>
                <w:rFonts w:ascii="Times New Roman" w:hAnsi="Times New Roman"/>
                <w:b/>
                <w:bCs/>
                <w:color w:val="000000"/>
                <w:kern w:val="0"/>
                <w:sz w:val="18"/>
                <w:szCs w:val="18"/>
              </w:rPr>
              <w:t>有组织排放限值（mg/m3）</w:t>
            </w:r>
          </w:p>
        </w:tc>
      </w:tr>
      <w:tr>
        <w:tblPrEx>
          <w:tblCellMar>
            <w:top w:w="0" w:type="dxa"/>
            <w:left w:w="0" w:type="dxa"/>
            <w:bottom w:w="0" w:type="dxa"/>
            <w:right w:w="0" w:type="dxa"/>
          </w:tblCellMar>
        </w:tblPrEx>
        <w:trPr>
          <w:trHeight w:val="365" w:hRule="atLeast"/>
        </w:trPr>
        <w:tc>
          <w:tcPr>
            <w:tcW w:w="426" w:type="pct"/>
            <w:vMerge w:val="restart"/>
            <w:tcBorders>
              <w:top w:val="single" w:color="auto" w:sz="4" w:space="0"/>
              <w:left w:val="single" w:color="auto" w:sz="4" w:space="0"/>
              <w:bottom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VOCs综合标准</w:t>
            </w:r>
          </w:p>
        </w:tc>
        <w:tc>
          <w:tcPr>
            <w:tcW w:w="427" w:type="pct"/>
            <w:vMerge w:val="restart"/>
            <w:tcBorders>
              <w:top w:val="nil"/>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天津</w:t>
            </w:r>
          </w:p>
        </w:tc>
        <w:tc>
          <w:tcPr>
            <w:tcW w:w="1709"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工业企业挥发性有机物排放控制标准</w:t>
            </w:r>
          </w:p>
        </w:tc>
        <w:tc>
          <w:tcPr>
            <w:tcW w:w="1025"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DB 12/ 524—2014</w:t>
            </w: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第I时段</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10、60、80、90、100</w:t>
            </w:r>
          </w:p>
        </w:tc>
      </w:tr>
      <w:tr>
        <w:tblPrEx>
          <w:tblCellMar>
            <w:top w:w="0" w:type="dxa"/>
            <w:left w:w="0" w:type="dxa"/>
            <w:bottom w:w="0" w:type="dxa"/>
            <w:right w:w="0" w:type="dxa"/>
          </w:tblCellMar>
        </w:tblPrEx>
        <w:trPr>
          <w:trHeight w:val="285" w:hRule="atLeast"/>
        </w:trPr>
        <w:tc>
          <w:tcPr>
            <w:tcW w:w="426" w:type="pct"/>
            <w:vMerge w:val="continue"/>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1709"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1025"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第II时段</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20、40、80</w:t>
            </w:r>
          </w:p>
        </w:tc>
      </w:tr>
      <w:tr>
        <w:trPr>
          <w:trHeight w:val="570" w:hRule="atLeast"/>
        </w:trPr>
        <w:tc>
          <w:tcPr>
            <w:tcW w:w="426" w:type="pct"/>
            <w:vMerge w:val="continue"/>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restart"/>
            <w:tcBorders>
              <w:top w:val="nil"/>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四川</w:t>
            </w:r>
          </w:p>
        </w:tc>
        <w:tc>
          <w:tcPr>
            <w:tcW w:w="1709"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四川省固定污染源大气挥发性有机物排放标准</w:t>
            </w:r>
          </w:p>
        </w:tc>
        <w:tc>
          <w:tcPr>
            <w:tcW w:w="1025"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DB51/ 2377—2017</w:t>
            </w: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第I时段</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50、80、100、120</w:t>
            </w:r>
          </w:p>
        </w:tc>
      </w:tr>
      <w:tr>
        <w:tblPrEx>
          <w:tblCellMar>
            <w:top w:w="0" w:type="dxa"/>
            <w:left w:w="0" w:type="dxa"/>
            <w:bottom w:w="0" w:type="dxa"/>
            <w:right w:w="0" w:type="dxa"/>
          </w:tblCellMar>
        </w:tblPrEx>
        <w:trPr>
          <w:trHeight w:val="570" w:hRule="atLeast"/>
        </w:trPr>
        <w:tc>
          <w:tcPr>
            <w:tcW w:w="426" w:type="pct"/>
            <w:vMerge w:val="continue"/>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1709"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1025"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第II时段</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40、60、80、100</w:t>
            </w:r>
          </w:p>
        </w:tc>
      </w:tr>
      <w:tr>
        <w:tblPrEx>
          <w:tblCellMar>
            <w:top w:w="0" w:type="dxa"/>
            <w:left w:w="0" w:type="dxa"/>
            <w:bottom w:w="0" w:type="dxa"/>
            <w:right w:w="0" w:type="dxa"/>
          </w:tblCellMar>
        </w:tblPrEx>
        <w:trPr>
          <w:trHeight w:val="285" w:hRule="atLeast"/>
        </w:trPr>
        <w:tc>
          <w:tcPr>
            <w:tcW w:w="426" w:type="pct"/>
            <w:vMerge w:val="restart"/>
            <w:tcBorders>
              <w:top w:val="single" w:color="auto" w:sz="4" w:space="0"/>
              <w:left w:val="single" w:color="auto" w:sz="4" w:space="0"/>
              <w:bottom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工业涂装工序</w:t>
            </w:r>
          </w:p>
        </w:tc>
        <w:tc>
          <w:tcPr>
            <w:tcW w:w="427" w:type="pct"/>
            <w:vMerge w:val="restart"/>
            <w:tcBorders>
              <w:top w:val="nil"/>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天津</w:t>
            </w:r>
          </w:p>
        </w:tc>
        <w:tc>
          <w:tcPr>
            <w:tcW w:w="1709"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工业企业挥发性有机物排放控制标准</w:t>
            </w:r>
          </w:p>
        </w:tc>
        <w:tc>
          <w:tcPr>
            <w:tcW w:w="1025"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DB 12/ 524—2014</w:t>
            </w: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第I时段</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90、80</w:t>
            </w:r>
          </w:p>
        </w:tc>
      </w:tr>
      <w:tr>
        <w:trPr>
          <w:trHeight w:val="285" w:hRule="atLeast"/>
        </w:trPr>
        <w:tc>
          <w:tcPr>
            <w:tcW w:w="426" w:type="pct"/>
            <w:vMerge w:val="continue"/>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1709"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1025"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第II时段</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60、50</w:t>
            </w:r>
          </w:p>
        </w:tc>
      </w:tr>
      <w:tr>
        <w:tblPrEx>
          <w:tblCellMar>
            <w:top w:w="0" w:type="dxa"/>
            <w:left w:w="0" w:type="dxa"/>
            <w:bottom w:w="0" w:type="dxa"/>
            <w:right w:w="0" w:type="dxa"/>
          </w:tblCellMar>
        </w:tblPrEx>
        <w:trPr>
          <w:trHeight w:val="285" w:hRule="atLeast"/>
        </w:trPr>
        <w:tc>
          <w:tcPr>
            <w:tcW w:w="426" w:type="pct"/>
            <w:vMerge w:val="continue"/>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restart"/>
            <w:tcBorders>
              <w:top w:val="nil"/>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四川</w:t>
            </w:r>
          </w:p>
        </w:tc>
        <w:tc>
          <w:tcPr>
            <w:tcW w:w="1709"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四川省固定污染源大气挥发性有机物排放标准</w:t>
            </w:r>
          </w:p>
        </w:tc>
        <w:tc>
          <w:tcPr>
            <w:tcW w:w="1025"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DB51/ 2377—2017</w:t>
            </w: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第I时段</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80</w:t>
            </w:r>
          </w:p>
        </w:tc>
      </w:tr>
      <w:tr>
        <w:tblPrEx>
          <w:tblCellMar>
            <w:top w:w="0" w:type="dxa"/>
            <w:left w:w="0" w:type="dxa"/>
            <w:bottom w:w="0" w:type="dxa"/>
            <w:right w:w="0" w:type="dxa"/>
          </w:tblCellMar>
        </w:tblPrEx>
        <w:trPr>
          <w:trHeight w:val="285" w:hRule="atLeast"/>
        </w:trPr>
        <w:tc>
          <w:tcPr>
            <w:tcW w:w="426" w:type="pct"/>
            <w:vMerge w:val="continue"/>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1709"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1025"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第II时段</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60</w:t>
            </w:r>
          </w:p>
        </w:tc>
      </w:tr>
      <w:tr>
        <w:trPr>
          <w:trHeight w:val="285" w:hRule="atLeast"/>
        </w:trPr>
        <w:tc>
          <w:tcPr>
            <w:tcW w:w="426" w:type="pct"/>
            <w:vMerge w:val="continue"/>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restart"/>
            <w:tcBorders>
              <w:top w:val="nil"/>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山东</w:t>
            </w:r>
          </w:p>
        </w:tc>
        <w:tc>
          <w:tcPr>
            <w:tcW w:w="1709"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挥发性有机物排放标准 第5部分：表面涂装行业</w:t>
            </w:r>
          </w:p>
        </w:tc>
        <w:tc>
          <w:tcPr>
            <w:tcW w:w="1025"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DB 37/ 2801.5—2018</w:t>
            </w: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第I时段</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120</w:t>
            </w:r>
          </w:p>
        </w:tc>
      </w:tr>
      <w:tr>
        <w:tblPrEx>
          <w:tblCellMar>
            <w:top w:w="0" w:type="dxa"/>
            <w:left w:w="0" w:type="dxa"/>
            <w:bottom w:w="0" w:type="dxa"/>
            <w:right w:w="0" w:type="dxa"/>
          </w:tblCellMar>
        </w:tblPrEx>
        <w:trPr>
          <w:trHeight w:val="285" w:hRule="atLeast"/>
        </w:trPr>
        <w:tc>
          <w:tcPr>
            <w:tcW w:w="426" w:type="pct"/>
            <w:vMerge w:val="continue"/>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1709"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1025"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第II时段</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50、70</w:t>
            </w:r>
          </w:p>
        </w:tc>
      </w:tr>
      <w:tr>
        <w:trPr>
          <w:trHeight w:val="285" w:hRule="atLeast"/>
        </w:trPr>
        <w:tc>
          <w:tcPr>
            <w:tcW w:w="426" w:type="pct"/>
            <w:vMerge w:val="continue"/>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restart"/>
            <w:tcBorders>
              <w:top w:val="nil"/>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浙江</w:t>
            </w:r>
          </w:p>
        </w:tc>
        <w:tc>
          <w:tcPr>
            <w:tcW w:w="1709"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工业涂装工序大气污染物排放标准</w:t>
            </w:r>
          </w:p>
        </w:tc>
        <w:tc>
          <w:tcPr>
            <w:tcW w:w="1025"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DB 33 2146-2018</w:t>
            </w: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排放限值</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120、150</w:t>
            </w:r>
          </w:p>
        </w:tc>
      </w:tr>
      <w:tr>
        <w:tblPrEx>
          <w:tblCellMar>
            <w:top w:w="0" w:type="dxa"/>
            <w:left w:w="0" w:type="dxa"/>
            <w:bottom w:w="0" w:type="dxa"/>
            <w:right w:w="0" w:type="dxa"/>
          </w:tblCellMar>
        </w:tblPrEx>
        <w:trPr>
          <w:trHeight w:val="285" w:hRule="atLeast"/>
        </w:trPr>
        <w:tc>
          <w:tcPr>
            <w:tcW w:w="426" w:type="pct"/>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1709"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1025"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特别排放限值</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100、120</w:t>
            </w:r>
          </w:p>
        </w:tc>
      </w:tr>
      <w:tr>
        <w:tblPrEx>
          <w:tblCellMar>
            <w:top w:w="0" w:type="dxa"/>
            <w:left w:w="0" w:type="dxa"/>
            <w:bottom w:w="0" w:type="dxa"/>
            <w:right w:w="0" w:type="dxa"/>
          </w:tblCellMar>
        </w:tblPrEx>
        <w:trPr>
          <w:trHeight w:val="285" w:hRule="atLeast"/>
        </w:trPr>
        <w:tc>
          <w:tcPr>
            <w:tcW w:w="426"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电子工业</w:t>
            </w:r>
          </w:p>
        </w:tc>
        <w:tc>
          <w:tcPr>
            <w:tcW w:w="427" w:type="pct"/>
            <w:vMerge w:val="restart"/>
            <w:tcBorders>
              <w:top w:val="nil"/>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国家</w:t>
            </w:r>
          </w:p>
        </w:tc>
        <w:tc>
          <w:tcPr>
            <w:tcW w:w="1709"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电子工业污染物排放标准</w:t>
            </w:r>
          </w:p>
        </w:tc>
        <w:tc>
          <w:tcPr>
            <w:tcW w:w="1025"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（二次征求意见稿）</w:t>
            </w: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排放限值</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150</w:t>
            </w:r>
          </w:p>
        </w:tc>
      </w:tr>
      <w:tr>
        <w:tblPrEx>
          <w:tblCellMar>
            <w:top w:w="0" w:type="dxa"/>
            <w:left w:w="0" w:type="dxa"/>
            <w:bottom w:w="0" w:type="dxa"/>
            <w:right w:w="0" w:type="dxa"/>
          </w:tblCellMar>
        </w:tblPrEx>
        <w:trPr>
          <w:trHeight w:val="285" w:hRule="atLeast"/>
        </w:trPr>
        <w:tc>
          <w:tcPr>
            <w:tcW w:w="426"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1709"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1025"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特别排放限值</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100</w:t>
            </w:r>
          </w:p>
        </w:tc>
      </w:tr>
      <w:tr>
        <w:tblPrEx>
          <w:tblCellMar>
            <w:top w:w="0" w:type="dxa"/>
            <w:left w:w="0" w:type="dxa"/>
            <w:bottom w:w="0" w:type="dxa"/>
            <w:right w:w="0" w:type="dxa"/>
          </w:tblCellMar>
        </w:tblPrEx>
        <w:trPr>
          <w:trHeight w:val="285" w:hRule="atLeast"/>
        </w:trPr>
        <w:tc>
          <w:tcPr>
            <w:tcW w:w="426"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restart"/>
            <w:tcBorders>
              <w:top w:val="nil"/>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广东</w:t>
            </w:r>
          </w:p>
        </w:tc>
        <w:tc>
          <w:tcPr>
            <w:tcW w:w="1709"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电子工业挥发性有机物排放标准</w:t>
            </w:r>
          </w:p>
        </w:tc>
        <w:tc>
          <w:tcPr>
            <w:tcW w:w="1025"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征求意见稿</w:t>
            </w: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第I时段</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60</w:t>
            </w:r>
          </w:p>
        </w:tc>
      </w:tr>
      <w:tr>
        <w:trPr>
          <w:trHeight w:val="285" w:hRule="atLeast"/>
        </w:trPr>
        <w:tc>
          <w:tcPr>
            <w:tcW w:w="426"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1709"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1025"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第II时段</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30</w:t>
            </w:r>
          </w:p>
        </w:tc>
      </w:tr>
      <w:tr>
        <w:tblPrEx>
          <w:tblCellMar>
            <w:top w:w="0" w:type="dxa"/>
            <w:left w:w="0" w:type="dxa"/>
            <w:bottom w:w="0" w:type="dxa"/>
            <w:right w:w="0" w:type="dxa"/>
          </w:tblCellMar>
        </w:tblPrEx>
        <w:trPr>
          <w:trHeight w:val="285" w:hRule="atLeast"/>
        </w:trPr>
        <w:tc>
          <w:tcPr>
            <w:tcW w:w="426"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restart"/>
            <w:tcBorders>
              <w:top w:val="nil"/>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天津</w:t>
            </w:r>
          </w:p>
        </w:tc>
        <w:tc>
          <w:tcPr>
            <w:tcW w:w="1709"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工业企业挥发性有机物排放控制标准</w:t>
            </w:r>
          </w:p>
        </w:tc>
        <w:tc>
          <w:tcPr>
            <w:tcW w:w="1025"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DB 12/ 524—2014</w:t>
            </w: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第I时段</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80</w:t>
            </w:r>
          </w:p>
        </w:tc>
      </w:tr>
      <w:tr>
        <w:trPr>
          <w:trHeight w:val="285" w:hRule="atLeast"/>
        </w:trPr>
        <w:tc>
          <w:tcPr>
            <w:tcW w:w="426"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1709"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1025"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第II时段</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20、50</w:t>
            </w:r>
          </w:p>
        </w:tc>
      </w:tr>
      <w:tr>
        <w:trPr>
          <w:trHeight w:val="285" w:hRule="atLeast"/>
        </w:trPr>
        <w:tc>
          <w:tcPr>
            <w:tcW w:w="426"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restart"/>
            <w:tcBorders>
              <w:top w:val="nil"/>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四川</w:t>
            </w:r>
          </w:p>
        </w:tc>
        <w:tc>
          <w:tcPr>
            <w:tcW w:w="1709"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四川省固定污染源大气挥发性有机物排放标准</w:t>
            </w:r>
          </w:p>
        </w:tc>
        <w:tc>
          <w:tcPr>
            <w:tcW w:w="1025"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DB51/ 2377—2017</w:t>
            </w: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第I时段</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80</w:t>
            </w:r>
          </w:p>
        </w:tc>
      </w:tr>
      <w:tr>
        <w:tblPrEx>
          <w:tblCellMar>
            <w:top w:w="0" w:type="dxa"/>
            <w:left w:w="0" w:type="dxa"/>
            <w:bottom w:w="0" w:type="dxa"/>
            <w:right w:w="0" w:type="dxa"/>
          </w:tblCellMar>
        </w:tblPrEx>
        <w:trPr>
          <w:trHeight w:val="285" w:hRule="atLeast"/>
        </w:trPr>
        <w:tc>
          <w:tcPr>
            <w:tcW w:w="426"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1709"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1025"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第II时段</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60</w:t>
            </w:r>
          </w:p>
        </w:tc>
      </w:tr>
      <w:tr>
        <w:trPr>
          <w:trHeight w:val="285" w:hRule="atLeast"/>
        </w:trPr>
        <w:tc>
          <w:tcPr>
            <w:tcW w:w="426" w:type="pct"/>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纺织印染</w:t>
            </w:r>
          </w:p>
        </w:tc>
        <w:tc>
          <w:tcPr>
            <w:tcW w:w="427" w:type="pct"/>
            <w:vMerge w:val="restart"/>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国家</w:t>
            </w:r>
          </w:p>
        </w:tc>
        <w:tc>
          <w:tcPr>
            <w:tcW w:w="1709" w:type="pct"/>
            <w:vMerge w:val="restart"/>
            <w:tcBorders>
              <w:top w:val="single" w:color="auto" w:sz="4" w:space="0"/>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纺织印染工业大气污染物排放标准</w:t>
            </w:r>
          </w:p>
        </w:tc>
        <w:tc>
          <w:tcPr>
            <w:tcW w:w="1025" w:type="pct"/>
            <w:vMerge w:val="restart"/>
            <w:tcBorders>
              <w:top w:val="single" w:color="auto" w:sz="4" w:space="0"/>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征求意见稿</w:t>
            </w: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排放限值</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60、120</w:t>
            </w:r>
          </w:p>
        </w:tc>
      </w:tr>
      <w:tr>
        <w:tblPrEx>
          <w:tblCellMar>
            <w:top w:w="0" w:type="dxa"/>
            <w:left w:w="0" w:type="dxa"/>
            <w:bottom w:w="0" w:type="dxa"/>
            <w:right w:w="0" w:type="dxa"/>
          </w:tblCellMar>
        </w:tblPrEx>
        <w:trPr>
          <w:trHeight w:val="285" w:hRule="atLeast"/>
        </w:trPr>
        <w:tc>
          <w:tcPr>
            <w:tcW w:w="426" w:type="pct"/>
            <w:vMerge w:val="continue"/>
            <w:tcBorders>
              <w:top w:val="single" w:color="auto" w:sz="4" w:space="0"/>
              <w:left w:val="single" w:color="auto" w:sz="4" w:space="0"/>
              <w:bottom w:val="single" w:color="000000"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1709"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1025"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特别排放限值</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40、80</w:t>
            </w:r>
          </w:p>
        </w:tc>
      </w:tr>
      <w:tr>
        <w:tblPrEx>
          <w:tblCellMar>
            <w:top w:w="0" w:type="dxa"/>
            <w:left w:w="0" w:type="dxa"/>
            <w:bottom w:w="0" w:type="dxa"/>
            <w:right w:w="0" w:type="dxa"/>
          </w:tblCellMar>
        </w:tblPrEx>
        <w:trPr>
          <w:trHeight w:val="285" w:hRule="atLeast"/>
        </w:trPr>
        <w:tc>
          <w:tcPr>
            <w:tcW w:w="426" w:type="pct"/>
            <w:vMerge w:val="continue"/>
            <w:tcBorders>
              <w:top w:val="single" w:color="auto" w:sz="4" w:space="0"/>
              <w:left w:val="single" w:color="auto" w:sz="4" w:space="0"/>
              <w:bottom w:val="single" w:color="000000"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restart"/>
            <w:tcBorders>
              <w:top w:val="single" w:color="auto" w:sz="4" w:space="0"/>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浙江</w:t>
            </w:r>
          </w:p>
        </w:tc>
        <w:tc>
          <w:tcPr>
            <w:tcW w:w="1709" w:type="pct"/>
            <w:vMerge w:val="restart"/>
            <w:tcBorders>
              <w:top w:val="single" w:color="auto" w:sz="4" w:space="0"/>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纺织染整工业大气污染物排放标准</w:t>
            </w:r>
          </w:p>
        </w:tc>
        <w:tc>
          <w:tcPr>
            <w:tcW w:w="1025" w:type="pct"/>
            <w:vMerge w:val="restart"/>
            <w:tcBorders>
              <w:top w:val="single" w:color="auto" w:sz="4" w:space="0"/>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DB 33 962-2015</w:t>
            </w: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现有企业</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60、120</w:t>
            </w:r>
          </w:p>
        </w:tc>
      </w:tr>
      <w:tr>
        <w:tblPrEx>
          <w:tblCellMar>
            <w:top w:w="0" w:type="dxa"/>
            <w:left w:w="0" w:type="dxa"/>
            <w:bottom w:w="0" w:type="dxa"/>
            <w:right w:w="0" w:type="dxa"/>
          </w:tblCellMar>
        </w:tblPrEx>
        <w:trPr>
          <w:trHeight w:val="285" w:hRule="atLeast"/>
        </w:trPr>
        <w:tc>
          <w:tcPr>
            <w:tcW w:w="426" w:type="pct"/>
            <w:vMerge w:val="continue"/>
            <w:tcBorders>
              <w:top w:val="single" w:color="auto" w:sz="4" w:space="0"/>
              <w:left w:val="single" w:color="auto" w:sz="4" w:space="0"/>
              <w:bottom w:val="single" w:color="000000"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continue"/>
            <w:tcBorders>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1709" w:type="pct"/>
            <w:vMerge w:val="continue"/>
            <w:tcBorders>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1025" w:type="pct"/>
            <w:vMerge w:val="continue"/>
            <w:tcBorders>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新建企业</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40、80</w:t>
            </w:r>
          </w:p>
        </w:tc>
      </w:tr>
      <w:tr>
        <w:tblPrEx>
          <w:tblCellMar>
            <w:top w:w="0" w:type="dxa"/>
            <w:left w:w="0" w:type="dxa"/>
            <w:bottom w:w="0" w:type="dxa"/>
            <w:right w:w="0" w:type="dxa"/>
          </w:tblCellMar>
        </w:tblPrEx>
        <w:trPr>
          <w:trHeight w:val="285" w:hRule="atLeast"/>
        </w:trPr>
        <w:tc>
          <w:tcPr>
            <w:tcW w:w="426" w:type="pct"/>
            <w:vMerge w:val="continue"/>
            <w:tcBorders>
              <w:top w:val="single" w:color="auto" w:sz="4" w:space="0"/>
              <w:left w:val="single" w:color="auto" w:sz="4" w:space="0"/>
              <w:bottom w:val="single" w:color="000000"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1709"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1025"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特别排放限值</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30、60</w:t>
            </w:r>
          </w:p>
        </w:tc>
      </w:tr>
      <w:tr>
        <w:tblPrEx>
          <w:tblCellMar>
            <w:top w:w="0" w:type="dxa"/>
            <w:left w:w="0" w:type="dxa"/>
            <w:bottom w:w="0" w:type="dxa"/>
            <w:right w:w="0" w:type="dxa"/>
          </w:tblCellMar>
        </w:tblPrEx>
        <w:trPr>
          <w:trHeight w:val="285" w:hRule="atLeast"/>
        </w:trPr>
        <w:tc>
          <w:tcPr>
            <w:tcW w:w="426" w:type="pct"/>
            <w:vMerge w:val="continue"/>
            <w:tcBorders>
              <w:top w:val="single" w:color="auto" w:sz="4" w:space="0"/>
              <w:left w:val="single" w:color="auto" w:sz="4" w:space="0"/>
              <w:bottom w:val="single" w:color="000000"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restart"/>
            <w:tcBorders>
              <w:top w:val="nil"/>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山东</w:t>
            </w:r>
          </w:p>
        </w:tc>
        <w:tc>
          <w:tcPr>
            <w:tcW w:w="1709"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挥发性有机物排放标准</w:t>
            </w:r>
            <w:r>
              <w:rPr>
                <w:rFonts w:hint="eastAsia" w:ascii="Times New Roman" w:hAnsi="Times New Roman"/>
                <w:color w:val="000000"/>
                <w:kern w:val="0"/>
                <w:sz w:val="18"/>
                <w:szCs w:val="18"/>
              </w:rPr>
              <w:t xml:space="preserve"> </w:t>
            </w:r>
            <w:r>
              <w:rPr>
                <w:rFonts w:ascii="Times New Roman" w:hAnsi="Times New Roman"/>
                <w:color w:val="000000"/>
                <w:kern w:val="0"/>
                <w:sz w:val="18"/>
                <w:szCs w:val="18"/>
              </w:rPr>
              <w:t>第7部分：其他行业</w:t>
            </w:r>
          </w:p>
        </w:tc>
        <w:tc>
          <w:tcPr>
            <w:tcW w:w="1025"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二次征求意见稿</w:t>
            </w: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第I时段</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80</w:t>
            </w:r>
          </w:p>
        </w:tc>
      </w:tr>
      <w:tr>
        <w:tblPrEx>
          <w:tblCellMar>
            <w:top w:w="0" w:type="dxa"/>
            <w:left w:w="0" w:type="dxa"/>
            <w:bottom w:w="0" w:type="dxa"/>
            <w:right w:w="0" w:type="dxa"/>
          </w:tblCellMar>
        </w:tblPrEx>
        <w:trPr>
          <w:trHeight w:val="285" w:hRule="atLeast"/>
        </w:trPr>
        <w:tc>
          <w:tcPr>
            <w:tcW w:w="426" w:type="pct"/>
            <w:vMerge w:val="continue"/>
            <w:tcBorders>
              <w:top w:val="single" w:color="auto" w:sz="4" w:space="0"/>
              <w:left w:val="single" w:color="auto" w:sz="4" w:space="0"/>
              <w:bottom w:val="single" w:color="000000"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1709"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1025"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第II时段</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40</w:t>
            </w:r>
          </w:p>
        </w:tc>
      </w:tr>
      <w:tr>
        <w:trPr>
          <w:trHeight w:val="285" w:hRule="atLeast"/>
        </w:trPr>
        <w:tc>
          <w:tcPr>
            <w:tcW w:w="426"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农药工业</w:t>
            </w:r>
          </w:p>
        </w:tc>
        <w:tc>
          <w:tcPr>
            <w:tcW w:w="427" w:type="pct"/>
            <w:vMerge w:val="restart"/>
            <w:tcBorders>
              <w:top w:val="nil"/>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四川</w:t>
            </w:r>
          </w:p>
        </w:tc>
        <w:tc>
          <w:tcPr>
            <w:tcW w:w="1709"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四川省固定污染源大气挥发性有机物排放标准</w:t>
            </w:r>
          </w:p>
        </w:tc>
        <w:tc>
          <w:tcPr>
            <w:tcW w:w="1025"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DB51/ 2377—2017</w:t>
            </w: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第I时段</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80</w:t>
            </w:r>
          </w:p>
        </w:tc>
      </w:tr>
      <w:tr>
        <w:trPr>
          <w:trHeight w:val="285" w:hRule="atLeast"/>
        </w:trPr>
        <w:tc>
          <w:tcPr>
            <w:tcW w:w="426" w:type="pct"/>
            <w:vMerge w:val="continue"/>
            <w:tcBorders>
              <w:top w:val="nil"/>
              <w:left w:val="single" w:color="auto" w:sz="4" w:space="0"/>
              <w:bottom w:val="single" w:color="000000"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1709"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1025"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第II时段</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60</w:t>
            </w:r>
          </w:p>
        </w:tc>
      </w:tr>
      <w:tr>
        <w:tblPrEx>
          <w:tblCellMar>
            <w:top w:w="0" w:type="dxa"/>
            <w:left w:w="0" w:type="dxa"/>
            <w:bottom w:w="0" w:type="dxa"/>
            <w:right w:w="0" w:type="dxa"/>
          </w:tblCellMar>
        </w:tblPrEx>
        <w:trPr>
          <w:trHeight w:val="285" w:hRule="atLeast"/>
        </w:trPr>
        <w:tc>
          <w:tcPr>
            <w:tcW w:w="426" w:type="pct"/>
            <w:vMerge w:val="continue"/>
            <w:tcBorders>
              <w:top w:val="nil"/>
              <w:left w:val="single" w:color="auto" w:sz="4" w:space="0"/>
              <w:bottom w:val="single" w:color="000000"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restart"/>
            <w:tcBorders>
              <w:top w:val="nil"/>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山东</w:t>
            </w:r>
          </w:p>
        </w:tc>
        <w:tc>
          <w:tcPr>
            <w:tcW w:w="1709"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挥发性有机物排放标准</w:t>
            </w:r>
            <w:r>
              <w:rPr>
                <w:rFonts w:hint="eastAsia" w:ascii="Times New Roman" w:hAnsi="Times New Roman"/>
                <w:color w:val="000000"/>
                <w:kern w:val="0"/>
                <w:sz w:val="18"/>
                <w:szCs w:val="18"/>
              </w:rPr>
              <w:t xml:space="preserve"> </w:t>
            </w:r>
            <w:r>
              <w:rPr>
                <w:rFonts w:ascii="Times New Roman" w:hAnsi="Times New Roman"/>
                <w:color w:val="000000"/>
                <w:kern w:val="0"/>
                <w:sz w:val="18"/>
                <w:szCs w:val="18"/>
              </w:rPr>
              <w:t>第7部分：其他行业</w:t>
            </w:r>
          </w:p>
        </w:tc>
        <w:tc>
          <w:tcPr>
            <w:tcW w:w="1025"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二次征求意见稿</w:t>
            </w: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第I时段</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80</w:t>
            </w:r>
          </w:p>
        </w:tc>
      </w:tr>
      <w:tr>
        <w:trPr>
          <w:trHeight w:val="285" w:hRule="atLeast"/>
        </w:trPr>
        <w:tc>
          <w:tcPr>
            <w:tcW w:w="426" w:type="pct"/>
            <w:vMerge w:val="continue"/>
            <w:tcBorders>
              <w:top w:val="nil"/>
              <w:left w:val="single" w:color="auto" w:sz="4" w:space="0"/>
              <w:bottom w:val="single" w:color="000000"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1709"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1025"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第II时段</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40</w:t>
            </w:r>
          </w:p>
        </w:tc>
      </w:tr>
      <w:tr>
        <w:tblPrEx>
          <w:tblCellMar>
            <w:top w:w="0" w:type="dxa"/>
            <w:left w:w="0" w:type="dxa"/>
            <w:bottom w:w="0" w:type="dxa"/>
            <w:right w:w="0" w:type="dxa"/>
          </w:tblCellMar>
        </w:tblPrEx>
        <w:trPr>
          <w:trHeight w:val="285" w:hRule="atLeast"/>
        </w:trPr>
        <w:tc>
          <w:tcPr>
            <w:tcW w:w="426"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铝型材行业</w:t>
            </w:r>
          </w:p>
        </w:tc>
        <w:tc>
          <w:tcPr>
            <w:tcW w:w="427" w:type="pct"/>
            <w:vMerge w:val="restart"/>
            <w:tcBorders>
              <w:top w:val="nil"/>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山东</w:t>
            </w:r>
          </w:p>
        </w:tc>
        <w:tc>
          <w:tcPr>
            <w:tcW w:w="1709"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挥发性有机物排放标准 第2部分： 铝型材工业</w:t>
            </w:r>
          </w:p>
        </w:tc>
        <w:tc>
          <w:tcPr>
            <w:tcW w:w="1025"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征求意见</w:t>
            </w: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第I时段</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60</w:t>
            </w:r>
          </w:p>
        </w:tc>
      </w:tr>
      <w:tr>
        <w:trPr>
          <w:trHeight w:val="285" w:hRule="atLeast"/>
        </w:trPr>
        <w:tc>
          <w:tcPr>
            <w:tcW w:w="426" w:type="pct"/>
            <w:vMerge w:val="continue"/>
            <w:tcBorders>
              <w:top w:val="nil"/>
              <w:left w:val="single" w:color="auto" w:sz="4" w:space="0"/>
              <w:bottom w:val="single" w:color="000000"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1709"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1025"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第II时段</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40</w:t>
            </w:r>
          </w:p>
        </w:tc>
      </w:tr>
      <w:tr>
        <w:trPr>
          <w:trHeight w:val="285" w:hRule="atLeast"/>
        </w:trPr>
        <w:tc>
          <w:tcPr>
            <w:tcW w:w="426" w:type="pct"/>
            <w:vMerge w:val="restart"/>
            <w:tcBorders>
              <w:top w:val="nil"/>
              <w:left w:val="single" w:color="auto" w:sz="4" w:space="0"/>
              <w:bottom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木材加工业</w:t>
            </w:r>
          </w:p>
        </w:tc>
        <w:tc>
          <w:tcPr>
            <w:tcW w:w="427" w:type="pct"/>
            <w:vMerge w:val="restart"/>
            <w:tcBorders>
              <w:top w:val="nil"/>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山东</w:t>
            </w:r>
          </w:p>
        </w:tc>
        <w:tc>
          <w:tcPr>
            <w:tcW w:w="1709"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挥发性有机物排放标准</w:t>
            </w:r>
            <w:r>
              <w:rPr>
                <w:rFonts w:hint="eastAsia" w:ascii="Times New Roman" w:hAnsi="Times New Roman"/>
                <w:color w:val="000000"/>
                <w:kern w:val="0"/>
                <w:sz w:val="18"/>
                <w:szCs w:val="18"/>
              </w:rPr>
              <w:t xml:space="preserve"> </w:t>
            </w:r>
            <w:r>
              <w:rPr>
                <w:rFonts w:ascii="Times New Roman" w:hAnsi="Times New Roman"/>
                <w:color w:val="000000"/>
                <w:kern w:val="0"/>
                <w:sz w:val="18"/>
                <w:szCs w:val="18"/>
              </w:rPr>
              <w:t>第7部分：其他行业</w:t>
            </w:r>
          </w:p>
        </w:tc>
        <w:tc>
          <w:tcPr>
            <w:tcW w:w="1025"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二次征求意见稿</w:t>
            </w: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第I时段</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80</w:t>
            </w:r>
          </w:p>
        </w:tc>
      </w:tr>
      <w:tr>
        <w:tblPrEx>
          <w:tblCellMar>
            <w:top w:w="0" w:type="dxa"/>
            <w:left w:w="0" w:type="dxa"/>
            <w:bottom w:w="0" w:type="dxa"/>
            <w:right w:w="0" w:type="dxa"/>
          </w:tblCellMar>
        </w:tblPrEx>
        <w:trPr>
          <w:trHeight w:val="285" w:hRule="atLeast"/>
        </w:trPr>
        <w:tc>
          <w:tcPr>
            <w:tcW w:w="426"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1709"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1025"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第II时段</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40</w:t>
            </w:r>
          </w:p>
        </w:tc>
      </w:tr>
      <w:tr>
        <w:trPr>
          <w:trHeight w:val="285" w:hRule="atLeast"/>
        </w:trPr>
        <w:tc>
          <w:tcPr>
            <w:tcW w:w="426"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其它</w:t>
            </w:r>
          </w:p>
        </w:tc>
        <w:tc>
          <w:tcPr>
            <w:tcW w:w="427" w:type="pct"/>
            <w:vMerge w:val="restart"/>
            <w:tcBorders>
              <w:top w:val="nil"/>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天津</w:t>
            </w:r>
          </w:p>
        </w:tc>
        <w:tc>
          <w:tcPr>
            <w:tcW w:w="1709"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工业企业挥发性有机物排放控制标准</w:t>
            </w:r>
          </w:p>
        </w:tc>
        <w:tc>
          <w:tcPr>
            <w:tcW w:w="1025"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DB 12/ 524—2014</w:t>
            </w: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第I时段</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100</w:t>
            </w:r>
          </w:p>
        </w:tc>
      </w:tr>
      <w:tr>
        <w:tblPrEx>
          <w:tblCellMar>
            <w:top w:w="0" w:type="dxa"/>
            <w:left w:w="0" w:type="dxa"/>
            <w:bottom w:w="0" w:type="dxa"/>
            <w:right w:w="0" w:type="dxa"/>
          </w:tblCellMar>
        </w:tblPrEx>
        <w:trPr>
          <w:trHeight w:val="285" w:hRule="atLeast"/>
        </w:trPr>
        <w:tc>
          <w:tcPr>
            <w:tcW w:w="426" w:type="pct"/>
            <w:vMerge w:val="continue"/>
            <w:tcBorders>
              <w:top w:val="single" w:color="000000"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1709"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1025"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第II时段</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80</w:t>
            </w:r>
          </w:p>
        </w:tc>
      </w:tr>
      <w:tr>
        <w:trPr>
          <w:trHeight w:val="285" w:hRule="atLeast"/>
        </w:trPr>
        <w:tc>
          <w:tcPr>
            <w:tcW w:w="426" w:type="pct"/>
            <w:vMerge w:val="continue"/>
            <w:tcBorders>
              <w:top w:val="single" w:color="000000"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restart"/>
            <w:tcBorders>
              <w:top w:val="nil"/>
              <w:left w:val="nil"/>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四川</w:t>
            </w:r>
          </w:p>
        </w:tc>
        <w:tc>
          <w:tcPr>
            <w:tcW w:w="1709"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四川省固定污染源大气挥发性有机物排放标准</w:t>
            </w:r>
          </w:p>
        </w:tc>
        <w:tc>
          <w:tcPr>
            <w:tcW w:w="1025" w:type="pct"/>
            <w:vMerge w:val="restart"/>
            <w:tcBorders>
              <w:top w:val="nil"/>
              <w:left w:val="nil"/>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DB51/ 2377—2017</w:t>
            </w: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第I时段</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80</w:t>
            </w:r>
          </w:p>
        </w:tc>
      </w:tr>
      <w:tr>
        <w:trPr>
          <w:trHeight w:val="285" w:hRule="atLeast"/>
        </w:trPr>
        <w:tc>
          <w:tcPr>
            <w:tcW w:w="426" w:type="pct"/>
            <w:vMerge w:val="continue"/>
            <w:tcBorders>
              <w:top w:val="single" w:color="000000"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continue"/>
            <w:tcBorders>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1709"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1025" w:type="pct"/>
            <w:vMerge w:val="continue"/>
            <w:tcBorders>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第II时段</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60</w:t>
            </w:r>
          </w:p>
        </w:tc>
      </w:tr>
      <w:tr>
        <w:tblPrEx>
          <w:tblCellMar>
            <w:top w:w="0" w:type="dxa"/>
            <w:left w:w="0" w:type="dxa"/>
            <w:bottom w:w="0" w:type="dxa"/>
            <w:right w:w="0" w:type="dxa"/>
          </w:tblCellMar>
        </w:tblPrEx>
        <w:trPr>
          <w:trHeight w:val="285" w:hRule="atLeast"/>
        </w:trPr>
        <w:tc>
          <w:tcPr>
            <w:tcW w:w="426" w:type="pct"/>
            <w:vMerge w:val="continue"/>
            <w:tcBorders>
              <w:top w:val="single" w:color="000000"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restart"/>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山东</w:t>
            </w:r>
          </w:p>
        </w:tc>
        <w:tc>
          <w:tcPr>
            <w:tcW w:w="1709" w:type="pct"/>
            <w:vMerge w:val="restart"/>
            <w:tcBorders>
              <w:top w:val="single" w:color="auto" w:sz="4" w:space="0"/>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挥发性有机物排放标准</w:t>
            </w:r>
            <w:r>
              <w:rPr>
                <w:rFonts w:hint="eastAsia" w:ascii="Times New Roman" w:hAnsi="Times New Roman"/>
                <w:color w:val="000000"/>
                <w:kern w:val="0"/>
                <w:sz w:val="18"/>
                <w:szCs w:val="18"/>
              </w:rPr>
              <w:t xml:space="preserve"> </w:t>
            </w:r>
            <w:r>
              <w:rPr>
                <w:rFonts w:ascii="Times New Roman" w:hAnsi="Times New Roman"/>
                <w:color w:val="000000"/>
                <w:kern w:val="0"/>
                <w:sz w:val="18"/>
                <w:szCs w:val="18"/>
              </w:rPr>
              <w:t>第7部分：其他行业</w:t>
            </w:r>
          </w:p>
        </w:tc>
        <w:tc>
          <w:tcPr>
            <w:tcW w:w="1025" w:type="pct"/>
            <w:vMerge w:val="restart"/>
            <w:tcBorders>
              <w:top w:val="single" w:color="auto" w:sz="4" w:space="0"/>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二次征求意见稿</w:t>
            </w: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第I时段</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120</w:t>
            </w:r>
          </w:p>
        </w:tc>
      </w:tr>
      <w:tr>
        <w:trPr>
          <w:trHeight w:val="285" w:hRule="atLeast"/>
        </w:trPr>
        <w:tc>
          <w:tcPr>
            <w:tcW w:w="426" w:type="pct"/>
            <w:vMerge w:val="continue"/>
            <w:tcBorders>
              <w:top w:val="single" w:color="000000"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color w:val="000000"/>
                <w:kern w:val="0"/>
                <w:sz w:val="18"/>
                <w:szCs w:val="18"/>
              </w:rPr>
            </w:pPr>
          </w:p>
        </w:tc>
        <w:tc>
          <w:tcPr>
            <w:tcW w:w="427" w:type="pct"/>
            <w:vMerge w:val="continue"/>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p>
        </w:tc>
        <w:tc>
          <w:tcPr>
            <w:tcW w:w="1709" w:type="pct"/>
            <w:vMerge w:val="continue"/>
            <w:tcBorders>
              <w:top w:val="single" w:color="auto" w:sz="4" w:space="0"/>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1025" w:type="pct"/>
            <w:vMerge w:val="continue"/>
            <w:tcBorders>
              <w:top w:val="single" w:color="auto" w:sz="4" w:space="0"/>
              <w:left w:val="nil"/>
              <w:bottom w:val="single" w:color="auto" w:sz="4" w:space="0"/>
              <w:right w:val="single" w:color="auto" w:sz="4" w:space="0"/>
            </w:tcBorders>
            <w:shd w:val="clear" w:color="auto" w:fill="auto"/>
            <w:noWrap/>
            <w:vAlign w:val="center"/>
          </w:tcPr>
          <w:p>
            <w:pPr>
              <w:widowControl/>
              <w:snapToGrid w:val="0"/>
              <w:rPr>
                <w:rFonts w:ascii="Times New Roman" w:hAnsi="Times New Roman"/>
                <w:color w:val="000000"/>
                <w:kern w:val="0"/>
                <w:sz w:val="18"/>
                <w:szCs w:val="18"/>
              </w:rPr>
            </w:pPr>
          </w:p>
        </w:tc>
        <w:tc>
          <w:tcPr>
            <w:tcW w:w="768"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color w:val="000000"/>
                <w:kern w:val="0"/>
                <w:sz w:val="18"/>
                <w:szCs w:val="18"/>
              </w:rPr>
            </w:pPr>
            <w:r>
              <w:rPr>
                <w:rFonts w:ascii="Times New Roman" w:hAnsi="Times New Roman"/>
                <w:color w:val="000000"/>
                <w:kern w:val="0"/>
                <w:sz w:val="18"/>
                <w:szCs w:val="18"/>
              </w:rPr>
              <w:t>第II时段</w:t>
            </w:r>
          </w:p>
        </w:tc>
        <w:tc>
          <w:tcPr>
            <w:tcW w:w="645"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color w:val="000000"/>
                <w:kern w:val="0"/>
                <w:sz w:val="18"/>
                <w:szCs w:val="18"/>
              </w:rPr>
            </w:pPr>
            <w:r>
              <w:rPr>
                <w:rFonts w:ascii="Times New Roman" w:hAnsi="Times New Roman"/>
                <w:color w:val="000000"/>
                <w:kern w:val="0"/>
                <w:sz w:val="18"/>
                <w:szCs w:val="18"/>
              </w:rPr>
              <w:t>60、80</w:t>
            </w:r>
          </w:p>
        </w:tc>
      </w:tr>
    </w:tbl>
    <w:p>
      <w:pPr>
        <w:pStyle w:val="4"/>
        <w:ind w:left="0" w:firstLine="0"/>
      </w:pPr>
      <w:bookmarkStart w:id="169" w:name="_Toc26350790"/>
      <w:r>
        <w:t>无组织排放浓度限值确定</w:t>
      </w:r>
      <w:bookmarkEnd w:id="169"/>
    </w:p>
    <w:p>
      <w:pPr>
        <w:pStyle w:val="68"/>
        <w:rPr>
          <w:rFonts w:cs="Times New Roman"/>
        </w:rPr>
      </w:pPr>
      <w:r>
        <w:rPr>
          <w:rFonts w:cs="Times New Roman"/>
        </w:rPr>
        <w:t>无组织排放的控制一方面是从健康风险的角度考虑，另一方面也是控制其污染排放的重要手段。根据广东省典型行业的实际情况，大中型企业普遍安装集气设施，而小型、微型企业则主要为无组织排放。为防止企业通过增加无组织逸散的方式实现有组织排放达标，进一步监控企业对生产过程中VOCs排放环节的收集效果，本标准规定了</w:t>
      </w:r>
      <w:r>
        <w:rPr>
          <w:rFonts w:hint="eastAsia" w:cs="Times New Roman"/>
        </w:rPr>
        <w:t>企业</w:t>
      </w:r>
      <w:r>
        <w:rPr>
          <w:rFonts w:cs="Times New Roman"/>
        </w:rPr>
        <w:t>厂区内无组织排放监控点浓度限值</w:t>
      </w:r>
      <w:r>
        <w:rPr>
          <w:rFonts w:hint="eastAsia" w:cs="Times New Roman"/>
        </w:rPr>
        <w:t>，</w:t>
      </w:r>
      <w:r>
        <w:rPr>
          <w:rFonts w:cs="Times New Roman"/>
        </w:rPr>
        <w:t>并对无组织监控点及监测要求作出了明确规定。表7-</w:t>
      </w:r>
      <w:r>
        <w:rPr>
          <w:rFonts w:hint="eastAsia" w:cs="Times New Roman"/>
        </w:rPr>
        <w:t>1</w:t>
      </w:r>
      <w:r>
        <w:rPr>
          <w:rFonts w:cs="Times New Roman"/>
        </w:rPr>
        <w:t>1所示为国内相关标准中对无组织排放限值的要求。</w:t>
      </w:r>
    </w:p>
    <w:p>
      <w:pPr>
        <w:pStyle w:val="68"/>
        <w:ind w:firstLine="0" w:firstLineChars="0"/>
        <w:rPr>
          <w:rFonts w:cs="Times New Roman"/>
        </w:rPr>
        <w:sectPr>
          <w:headerReference r:id="rId10" w:type="default"/>
          <w:pgSz w:w="11906" w:h="16838"/>
          <w:pgMar w:top="1440" w:right="1800" w:bottom="1440" w:left="1800" w:header="851" w:footer="992" w:gutter="0"/>
          <w:pgNumType w:fmt="numberInDash"/>
          <w:cols w:space="425" w:num="1"/>
          <w:docGrid w:type="lines" w:linePitch="312" w:charSpace="0"/>
        </w:sectPr>
      </w:pPr>
    </w:p>
    <w:p>
      <w:pPr>
        <w:pStyle w:val="13"/>
        <w:spacing w:before="156" w:beforeLines="50" w:after="156" w:afterLines="50"/>
      </w:pPr>
      <w:r>
        <w:t>表7-11  国内外标准中NMHC无组织排放限值</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94"/>
        <w:gridCol w:w="991"/>
        <w:gridCol w:w="5255"/>
        <w:gridCol w:w="2129"/>
        <w:gridCol w:w="1419"/>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964" w:type="pct"/>
            <w:shd w:val="clear" w:color="auto" w:fill="auto"/>
            <w:vAlign w:val="center"/>
          </w:tcPr>
          <w:p>
            <w:pPr>
              <w:widowControl/>
              <w:jc w:val="center"/>
              <w:rPr>
                <w:rFonts w:ascii="Times New Roman" w:hAnsi="Times New Roman"/>
                <w:b/>
                <w:bCs/>
                <w:color w:val="000000"/>
                <w:kern w:val="0"/>
              </w:rPr>
            </w:pPr>
            <w:r>
              <w:rPr>
                <w:rFonts w:ascii="Times New Roman" w:hAnsi="Times New Roman"/>
                <w:b/>
                <w:bCs/>
                <w:color w:val="000000"/>
                <w:kern w:val="0"/>
              </w:rPr>
              <w:t>行业类别</w:t>
            </w:r>
          </w:p>
        </w:tc>
        <w:tc>
          <w:tcPr>
            <w:tcW w:w="355" w:type="pct"/>
            <w:shd w:val="clear" w:color="auto" w:fill="auto"/>
            <w:vAlign w:val="center"/>
          </w:tcPr>
          <w:p>
            <w:pPr>
              <w:widowControl/>
              <w:jc w:val="center"/>
              <w:rPr>
                <w:rFonts w:ascii="Times New Roman" w:hAnsi="Times New Roman"/>
                <w:b/>
                <w:bCs/>
                <w:color w:val="000000"/>
                <w:kern w:val="0"/>
              </w:rPr>
            </w:pPr>
            <w:r>
              <w:rPr>
                <w:rFonts w:ascii="Times New Roman" w:hAnsi="Times New Roman"/>
                <w:b/>
                <w:bCs/>
                <w:color w:val="000000"/>
                <w:kern w:val="0"/>
              </w:rPr>
              <w:t>国家/省市</w:t>
            </w:r>
          </w:p>
        </w:tc>
        <w:tc>
          <w:tcPr>
            <w:tcW w:w="1881" w:type="pct"/>
            <w:shd w:val="clear" w:color="auto" w:fill="auto"/>
            <w:vAlign w:val="center"/>
          </w:tcPr>
          <w:p>
            <w:pPr>
              <w:widowControl/>
              <w:jc w:val="center"/>
              <w:rPr>
                <w:rFonts w:ascii="Times New Roman" w:hAnsi="Times New Roman"/>
                <w:b/>
                <w:bCs/>
                <w:color w:val="000000"/>
                <w:kern w:val="0"/>
              </w:rPr>
            </w:pPr>
            <w:r>
              <w:rPr>
                <w:rFonts w:ascii="Times New Roman" w:hAnsi="Times New Roman"/>
                <w:b/>
                <w:bCs/>
                <w:color w:val="000000"/>
                <w:kern w:val="0"/>
              </w:rPr>
              <w:t>标准名称</w:t>
            </w:r>
          </w:p>
        </w:tc>
        <w:tc>
          <w:tcPr>
            <w:tcW w:w="762" w:type="pct"/>
            <w:shd w:val="clear" w:color="auto" w:fill="auto"/>
            <w:vAlign w:val="center"/>
          </w:tcPr>
          <w:p>
            <w:pPr>
              <w:widowControl/>
              <w:jc w:val="center"/>
              <w:rPr>
                <w:rFonts w:ascii="Times New Roman" w:hAnsi="Times New Roman"/>
                <w:b/>
                <w:bCs/>
                <w:color w:val="000000"/>
                <w:kern w:val="0"/>
              </w:rPr>
            </w:pPr>
            <w:r>
              <w:rPr>
                <w:rFonts w:ascii="Times New Roman" w:hAnsi="Times New Roman"/>
                <w:b/>
                <w:bCs/>
                <w:color w:val="000000"/>
                <w:kern w:val="0"/>
              </w:rPr>
              <w:t>标准号</w:t>
            </w:r>
          </w:p>
        </w:tc>
        <w:tc>
          <w:tcPr>
            <w:tcW w:w="508" w:type="pct"/>
            <w:shd w:val="clear" w:color="auto" w:fill="auto"/>
            <w:noWrap/>
            <w:vAlign w:val="center"/>
          </w:tcPr>
          <w:p>
            <w:pPr>
              <w:widowControl/>
              <w:jc w:val="center"/>
              <w:rPr>
                <w:rFonts w:ascii="Times New Roman" w:hAnsi="Times New Roman"/>
                <w:b/>
                <w:bCs/>
                <w:color w:val="000000"/>
                <w:kern w:val="0"/>
              </w:rPr>
            </w:pPr>
            <w:r>
              <w:rPr>
                <w:rFonts w:ascii="Times New Roman" w:hAnsi="Times New Roman"/>
                <w:b/>
                <w:bCs/>
                <w:color w:val="000000"/>
                <w:kern w:val="0"/>
              </w:rPr>
              <w:t>厂界限值（mg/m</w:t>
            </w:r>
            <w:r>
              <w:rPr>
                <w:rFonts w:ascii="Times New Roman" w:hAnsi="Times New Roman"/>
                <w:b/>
                <w:bCs/>
                <w:color w:val="000000"/>
                <w:kern w:val="0"/>
                <w:vertAlign w:val="superscript"/>
              </w:rPr>
              <w:t>3</w:t>
            </w:r>
            <w:r>
              <w:rPr>
                <w:rFonts w:ascii="Times New Roman" w:hAnsi="Times New Roman"/>
                <w:b/>
                <w:bCs/>
                <w:color w:val="000000"/>
                <w:kern w:val="0"/>
              </w:rPr>
              <w:t>）</w:t>
            </w:r>
          </w:p>
        </w:tc>
        <w:tc>
          <w:tcPr>
            <w:tcW w:w="530" w:type="pct"/>
            <w:shd w:val="clear" w:color="auto" w:fill="auto"/>
            <w:noWrap/>
            <w:vAlign w:val="center"/>
          </w:tcPr>
          <w:p>
            <w:pPr>
              <w:widowControl/>
              <w:jc w:val="center"/>
              <w:rPr>
                <w:rFonts w:ascii="Times New Roman" w:hAnsi="Times New Roman"/>
                <w:b/>
                <w:bCs/>
                <w:color w:val="000000"/>
                <w:kern w:val="0"/>
              </w:rPr>
            </w:pPr>
            <w:r>
              <w:rPr>
                <w:rFonts w:ascii="Times New Roman" w:hAnsi="Times New Roman"/>
                <w:b/>
                <w:bCs/>
                <w:color w:val="000000"/>
                <w:kern w:val="0"/>
              </w:rPr>
              <w:t>厂区内限值（mg/m</w:t>
            </w:r>
            <w:r>
              <w:rPr>
                <w:rFonts w:ascii="Times New Roman" w:hAnsi="Times New Roman"/>
                <w:b/>
                <w:bCs/>
                <w:color w:val="000000"/>
                <w:kern w:val="0"/>
                <w:vertAlign w:val="superscript"/>
              </w:rPr>
              <w:t>3</w:t>
            </w:r>
            <w:r>
              <w:rPr>
                <w:rFonts w:ascii="Times New Roman" w:hAnsi="Times New Roman"/>
                <w:b/>
                <w:bCs/>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964" w:type="pct"/>
            <w:vMerge w:val="restart"/>
            <w:shd w:val="clear" w:color="auto" w:fill="auto"/>
            <w:noWrap/>
            <w:vAlign w:val="center"/>
          </w:tcPr>
          <w:p>
            <w:pPr>
              <w:widowControl/>
              <w:rPr>
                <w:rFonts w:ascii="Times New Roman" w:hAnsi="Times New Roman"/>
                <w:color w:val="000000"/>
                <w:kern w:val="0"/>
              </w:rPr>
            </w:pPr>
            <w:r>
              <w:rPr>
                <w:rFonts w:ascii="Times New Roman" w:hAnsi="Times New Roman"/>
                <w:color w:val="000000"/>
                <w:kern w:val="0"/>
              </w:rPr>
              <w:t>大气综合标准</w:t>
            </w: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国家</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大气污染物综合排放标准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GB  16297-1996</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4</w:t>
            </w:r>
          </w:p>
        </w:tc>
        <w:tc>
          <w:tcPr>
            <w:tcW w:w="530"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continue"/>
            <w:shd w:val="clear" w:color="auto" w:fill="auto"/>
            <w:noWrap/>
            <w:vAlign w:val="center"/>
          </w:tcPr>
          <w:p>
            <w:pPr>
              <w:widowControl/>
              <w:rPr>
                <w:rFonts w:ascii="Times New Roman" w:hAnsi="Times New Roman" w:eastAsia="Times New Roman"/>
                <w:kern w:val="0"/>
              </w:rPr>
            </w:pP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广东</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大气污染物排放限值</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DB44/ 27—2001</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5</w:t>
            </w:r>
          </w:p>
        </w:tc>
        <w:tc>
          <w:tcPr>
            <w:tcW w:w="530" w:type="pct"/>
            <w:shd w:val="clear" w:color="auto" w:fill="auto"/>
            <w:noWrap/>
          </w:tcPr>
          <w:p>
            <w:pPr>
              <w:widowControl/>
              <w:jc w:val="center"/>
              <w:rPr>
                <w:rFonts w:ascii="Times New Roman" w:hAnsi="Times New Roman"/>
                <w:color w:val="000000"/>
                <w:kern w:val="0"/>
              </w:rPr>
            </w:pPr>
            <w:r>
              <w:rPr>
                <w:rFonts w:ascii="Times New Roman" w:hAnsi="Times New Roman"/>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continue"/>
            <w:shd w:val="clear" w:color="auto" w:fill="auto"/>
            <w:noWrap/>
            <w:vAlign w:val="center"/>
          </w:tcPr>
          <w:p>
            <w:pPr>
              <w:widowControl/>
              <w:rPr>
                <w:rFonts w:ascii="Times New Roman" w:hAnsi="Times New Roman" w:eastAsia="Times New Roman"/>
                <w:kern w:val="0"/>
              </w:rPr>
            </w:pP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厦门</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厦门市大气污染物排放标准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DB 35/323-2011</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3.2</w:t>
            </w:r>
          </w:p>
        </w:tc>
        <w:tc>
          <w:tcPr>
            <w:tcW w:w="530" w:type="pct"/>
            <w:shd w:val="clear" w:color="auto" w:fill="auto"/>
            <w:noWrap/>
          </w:tcPr>
          <w:p>
            <w:pPr>
              <w:widowControl/>
              <w:jc w:val="center"/>
              <w:rPr>
                <w:rFonts w:ascii="Times New Roman" w:hAnsi="Times New Roman"/>
                <w:color w:val="000000"/>
                <w:kern w:val="0"/>
              </w:rPr>
            </w:pPr>
            <w:r>
              <w:rPr>
                <w:rFonts w:ascii="Times New Roman" w:hAnsi="Times New Roman"/>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continue"/>
            <w:shd w:val="clear" w:color="auto" w:fill="auto"/>
            <w:noWrap/>
            <w:vAlign w:val="center"/>
          </w:tcPr>
          <w:p>
            <w:pPr>
              <w:widowControl/>
              <w:rPr>
                <w:rFonts w:ascii="Times New Roman" w:hAnsi="Times New Roman" w:eastAsia="Times New Roman"/>
                <w:kern w:val="0"/>
              </w:rPr>
            </w:pP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上海</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大气污染物综合排放标准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DB31/933—2015</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4</w:t>
            </w:r>
          </w:p>
        </w:tc>
        <w:tc>
          <w:tcPr>
            <w:tcW w:w="530"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continue"/>
            <w:shd w:val="clear" w:color="auto" w:fill="auto"/>
            <w:noWrap/>
            <w:vAlign w:val="center"/>
          </w:tcPr>
          <w:p>
            <w:pPr>
              <w:widowControl/>
              <w:rPr>
                <w:rFonts w:ascii="Times New Roman" w:hAnsi="Times New Roman"/>
                <w:color w:val="000000"/>
                <w:kern w:val="0"/>
              </w:rPr>
            </w:pP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重庆</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大气污染物综合排放标准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DB 50/418－2016</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4</w:t>
            </w:r>
          </w:p>
        </w:tc>
        <w:tc>
          <w:tcPr>
            <w:tcW w:w="530" w:type="pct"/>
            <w:shd w:val="clear" w:color="auto" w:fill="auto"/>
            <w:noWrap/>
          </w:tcPr>
          <w:p>
            <w:pPr>
              <w:widowControl/>
              <w:jc w:val="center"/>
              <w:rPr>
                <w:rFonts w:ascii="Times New Roman" w:hAnsi="Times New Roman"/>
                <w:color w:val="000000"/>
                <w:kern w:val="0"/>
              </w:rPr>
            </w:pPr>
            <w:r>
              <w:rPr>
                <w:rFonts w:ascii="Times New Roman" w:hAnsi="Times New Roman"/>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continue"/>
            <w:shd w:val="clear" w:color="auto" w:fill="auto"/>
            <w:noWrap/>
            <w:vAlign w:val="center"/>
          </w:tcPr>
          <w:p>
            <w:pPr>
              <w:widowControl/>
              <w:rPr>
                <w:rFonts w:ascii="Times New Roman" w:hAnsi="Times New Roman" w:eastAsia="Times New Roman"/>
                <w:kern w:val="0"/>
              </w:rPr>
            </w:pP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北京</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大气污染物综合排放标准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DB11-501-2017</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1</w:t>
            </w:r>
          </w:p>
        </w:tc>
        <w:tc>
          <w:tcPr>
            <w:tcW w:w="530" w:type="pct"/>
            <w:shd w:val="clear" w:color="auto" w:fill="auto"/>
            <w:noWrap/>
          </w:tcPr>
          <w:p>
            <w:pPr>
              <w:widowControl/>
              <w:jc w:val="center"/>
              <w:rPr>
                <w:rFonts w:ascii="Times New Roman" w:hAnsi="Times New Roman"/>
                <w:color w:val="000000"/>
                <w:kern w:val="0"/>
              </w:rPr>
            </w:pPr>
            <w:r>
              <w:rPr>
                <w:rFonts w:ascii="Times New Roman" w:hAnsi="Times New Roman"/>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continue"/>
            <w:shd w:val="clear" w:color="auto" w:fill="auto"/>
            <w:noWrap/>
            <w:vAlign w:val="center"/>
          </w:tcPr>
          <w:p>
            <w:pPr>
              <w:widowControl/>
              <w:rPr>
                <w:rFonts w:ascii="Times New Roman" w:hAnsi="Times New Roman" w:eastAsia="Times New Roman"/>
                <w:kern w:val="0"/>
              </w:rPr>
            </w:pPr>
          </w:p>
        </w:tc>
        <w:tc>
          <w:tcPr>
            <w:tcW w:w="355" w:type="pct"/>
            <w:shd w:val="clear" w:color="auto" w:fill="auto"/>
            <w:noWrap/>
            <w:vAlign w:val="center"/>
          </w:tcPr>
          <w:p>
            <w:pPr>
              <w:widowControl/>
              <w:jc w:val="left"/>
              <w:rPr>
                <w:rFonts w:ascii="Times New Roman" w:hAnsi="Times New Roman"/>
                <w:color w:val="000000"/>
                <w:kern w:val="0"/>
              </w:rPr>
            </w:pPr>
            <w:r>
              <w:rPr>
                <w:rFonts w:hint="eastAsia" w:ascii="Times New Roman" w:hAnsi="Times New Roman"/>
                <w:color w:val="000000"/>
                <w:kern w:val="0"/>
              </w:rPr>
              <w:t>江苏</w:t>
            </w:r>
          </w:p>
        </w:tc>
        <w:tc>
          <w:tcPr>
            <w:tcW w:w="1881" w:type="pct"/>
            <w:shd w:val="clear" w:color="auto" w:fill="auto"/>
            <w:noWrap/>
            <w:vAlign w:val="center"/>
          </w:tcPr>
          <w:p>
            <w:pPr>
              <w:widowControl/>
              <w:jc w:val="left"/>
              <w:rPr>
                <w:rFonts w:ascii="Times New Roman" w:hAnsi="Times New Roman"/>
                <w:color w:val="000000"/>
                <w:kern w:val="0"/>
              </w:rPr>
            </w:pPr>
            <w:r>
              <w:rPr>
                <w:rFonts w:ascii="Times New Roman" w:hAnsi="Times New Roman"/>
                <w:color w:val="000000"/>
                <w:kern w:val="0"/>
              </w:rPr>
              <w:t>大气污染物综合排放标准</w:t>
            </w:r>
          </w:p>
        </w:tc>
        <w:tc>
          <w:tcPr>
            <w:tcW w:w="762" w:type="pct"/>
            <w:shd w:val="clear" w:color="auto" w:fill="auto"/>
            <w:noWrap/>
            <w:vAlign w:val="center"/>
          </w:tcPr>
          <w:p>
            <w:pPr>
              <w:widowControl/>
              <w:jc w:val="left"/>
              <w:rPr>
                <w:rFonts w:ascii="Times New Roman" w:hAnsi="Times New Roman"/>
                <w:color w:val="000000"/>
                <w:kern w:val="0"/>
              </w:rPr>
            </w:pPr>
            <w:r>
              <w:rPr>
                <w:rFonts w:ascii="Times New Roman" w:hAnsi="Times New Roman"/>
                <w:color w:val="000000"/>
                <w:kern w:val="0"/>
              </w:rPr>
              <w:t>DB 32</w:t>
            </w:r>
            <w:r>
              <w:rPr>
                <w:rFonts w:hint="eastAsia" w:ascii="Times New Roman" w:hAnsi="Times New Roman"/>
                <w:color w:val="000000"/>
                <w:kern w:val="0"/>
              </w:rPr>
              <w:t>/</w:t>
            </w:r>
            <w:r>
              <w:rPr>
                <w:rFonts w:ascii="Times New Roman" w:hAnsi="Times New Roman"/>
                <w:color w:val="000000"/>
                <w:kern w:val="0"/>
              </w:rPr>
              <w:t>4041-2021</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4</w:t>
            </w:r>
          </w:p>
        </w:tc>
        <w:tc>
          <w:tcPr>
            <w:tcW w:w="530" w:type="pct"/>
            <w:shd w:val="clear" w:color="auto" w:fill="auto"/>
            <w:noWrap/>
          </w:tcPr>
          <w:p>
            <w:pPr>
              <w:widowControl/>
              <w:jc w:val="center"/>
              <w:rPr>
                <w:rFonts w:ascii="Times New Roman" w:hAnsi="Times New Roman"/>
                <w:color w:val="000000"/>
                <w:kern w:val="0"/>
              </w:rPr>
            </w:pPr>
            <w:r>
              <w:rPr>
                <w:rFonts w:ascii="Times New Roman" w:hAnsi="Times New Roman"/>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restart"/>
            <w:shd w:val="clear" w:color="auto" w:fill="auto"/>
            <w:noWrap/>
            <w:vAlign w:val="center"/>
          </w:tcPr>
          <w:p>
            <w:pPr>
              <w:widowControl/>
              <w:rPr>
                <w:rFonts w:ascii="Times New Roman" w:hAnsi="Times New Roman"/>
                <w:color w:val="000000"/>
                <w:kern w:val="0"/>
              </w:rPr>
            </w:pPr>
            <w:r>
              <w:rPr>
                <w:rFonts w:ascii="Times New Roman" w:hAnsi="Times New Roman"/>
                <w:color w:val="000000"/>
                <w:kern w:val="0"/>
              </w:rPr>
              <w:t>VOCs综合标准</w:t>
            </w: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河北</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工业企业挥发性有机物排放控制标准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DB 13/ 2322—2016</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2</w:t>
            </w:r>
          </w:p>
        </w:tc>
        <w:tc>
          <w:tcPr>
            <w:tcW w:w="530"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continue"/>
            <w:shd w:val="clear" w:color="auto" w:fill="auto"/>
            <w:noWrap/>
            <w:vAlign w:val="center"/>
          </w:tcPr>
          <w:p>
            <w:pPr>
              <w:widowControl/>
              <w:rPr>
                <w:rFonts w:ascii="Times New Roman" w:hAnsi="Times New Roman"/>
                <w:color w:val="000000"/>
                <w:kern w:val="0"/>
              </w:rPr>
            </w:pP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陕西</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陕西省挥发性有机物排放控制标准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DB61/T 1061-2017</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3</w:t>
            </w:r>
          </w:p>
        </w:tc>
        <w:tc>
          <w:tcPr>
            <w:tcW w:w="530"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continue"/>
            <w:shd w:val="clear" w:color="auto" w:fill="auto"/>
            <w:noWrap/>
            <w:vAlign w:val="center"/>
          </w:tcPr>
          <w:p>
            <w:pPr>
              <w:widowControl/>
              <w:rPr>
                <w:rFonts w:ascii="Times New Roman" w:hAnsi="Times New Roman"/>
                <w:color w:val="000000"/>
                <w:kern w:val="0"/>
              </w:rPr>
            </w:pP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福建</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工业企业挥发性有机物排放标准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DB35/1782—2018</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2</w:t>
            </w:r>
          </w:p>
        </w:tc>
        <w:tc>
          <w:tcPr>
            <w:tcW w:w="530"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restart"/>
            <w:shd w:val="clear" w:color="auto" w:fill="auto"/>
            <w:noWrap/>
            <w:vAlign w:val="center"/>
          </w:tcPr>
          <w:p>
            <w:pPr>
              <w:widowControl/>
              <w:rPr>
                <w:rFonts w:ascii="Times New Roman" w:hAnsi="Times New Roman"/>
                <w:color w:val="000000"/>
                <w:kern w:val="0"/>
              </w:rPr>
            </w:pPr>
            <w:r>
              <w:rPr>
                <w:rFonts w:ascii="Times New Roman" w:hAnsi="Times New Roman"/>
                <w:color w:val="000000"/>
                <w:kern w:val="0"/>
              </w:rPr>
              <w:t>炼油与石化</w:t>
            </w: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国家</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石油炼制工业污染物排放标准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GB 31570-2015</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4</w:t>
            </w:r>
          </w:p>
        </w:tc>
        <w:tc>
          <w:tcPr>
            <w:tcW w:w="530" w:type="pct"/>
            <w:shd w:val="clear" w:color="auto" w:fill="auto"/>
            <w:noWrap/>
          </w:tcPr>
          <w:p>
            <w:pPr>
              <w:widowControl/>
              <w:jc w:val="center"/>
              <w:rPr>
                <w:rFonts w:ascii="Times New Roman" w:hAnsi="Times New Roman"/>
                <w:color w:val="000000"/>
                <w:kern w:val="0"/>
              </w:rPr>
            </w:pPr>
            <w:r>
              <w:rPr>
                <w:rFonts w:ascii="Times New Roman" w:hAnsi="Times New Roman"/>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continue"/>
            <w:shd w:val="clear" w:color="auto" w:fill="auto"/>
            <w:noWrap/>
            <w:vAlign w:val="center"/>
          </w:tcPr>
          <w:p>
            <w:pPr>
              <w:widowControl/>
              <w:rPr>
                <w:rFonts w:ascii="Times New Roman" w:hAnsi="Times New Roman" w:eastAsia="Times New Roman"/>
                <w:kern w:val="0"/>
              </w:rPr>
            </w:pP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国家</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石油化学工业污染物排放标准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GB 31571-2015</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4</w:t>
            </w:r>
          </w:p>
        </w:tc>
        <w:tc>
          <w:tcPr>
            <w:tcW w:w="530" w:type="pct"/>
            <w:shd w:val="clear" w:color="auto" w:fill="auto"/>
            <w:noWrap/>
          </w:tcPr>
          <w:p>
            <w:pPr>
              <w:widowControl/>
              <w:jc w:val="center"/>
              <w:rPr>
                <w:rFonts w:ascii="Times New Roman" w:hAnsi="Times New Roman"/>
                <w:color w:val="000000"/>
                <w:kern w:val="0"/>
              </w:rPr>
            </w:pPr>
            <w:r>
              <w:rPr>
                <w:rFonts w:ascii="Times New Roman" w:hAnsi="Times New Roman"/>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continue"/>
            <w:shd w:val="clear" w:color="auto" w:fill="auto"/>
            <w:noWrap/>
            <w:vAlign w:val="center"/>
          </w:tcPr>
          <w:p>
            <w:pPr>
              <w:widowControl/>
              <w:rPr>
                <w:rFonts w:ascii="Times New Roman" w:hAnsi="Times New Roman" w:eastAsia="Times New Roman"/>
                <w:kern w:val="0"/>
              </w:rPr>
            </w:pP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北京</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炼油与石油化学工业大气污染物排放标准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DB11/447-2015</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4</w:t>
            </w:r>
          </w:p>
        </w:tc>
        <w:tc>
          <w:tcPr>
            <w:tcW w:w="530" w:type="pct"/>
            <w:shd w:val="clear" w:color="auto" w:fill="auto"/>
            <w:noWrap/>
          </w:tcPr>
          <w:p>
            <w:pPr>
              <w:widowControl/>
              <w:jc w:val="center"/>
              <w:rPr>
                <w:rFonts w:ascii="Times New Roman" w:hAnsi="Times New Roman"/>
                <w:color w:val="000000"/>
                <w:kern w:val="0"/>
              </w:rPr>
            </w:pPr>
            <w:r>
              <w:rPr>
                <w:rFonts w:ascii="Times New Roman" w:hAnsi="Times New Roman"/>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continue"/>
            <w:shd w:val="clear" w:color="auto" w:fill="auto"/>
            <w:noWrap/>
            <w:vAlign w:val="center"/>
          </w:tcPr>
          <w:p>
            <w:pPr>
              <w:widowControl/>
              <w:rPr>
                <w:rFonts w:ascii="Times New Roman" w:hAnsi="Times New Roman" w:eastAsia="Times New Roman"/>
                <w:kern w:val="0"/>
              </w:rPr>
            </w:pP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天津</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工业企业挥发性有机物排放控制标准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DB 12/ 524—2014</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2</w:t>
            </w:r>
          </w:p>
        </w:tc>
        <w:tc>
          <w:tcPr>
            <w:tcW w:w="530" w:type="pct"/>
            <w:shd w:val="clear" w:color="auto" w:fill="auto"/>
            <w:noWrap/>
          </w:tcPr>
          <w:p>
            <w:pPr>
              <w:widowControl/>
              <w:jc w:val="center"/>
              <w:rPr>
                <w:rFonts w:ascii="Times New Roman" w:hAnsi="Times New Roman"/>
                <w:color w:val="000000"/>
                <w:kern w:val="0"/>
              </w:rPr>
            </w:pPr>
            <w:r>
              <w:rPr>
                <w:rFonts w:ascii="Times New Roman" w:hAnsi="Times New Roman"/>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continue"/>
            <w:shd w:val="clear" w:color="auto" w:fill="auto"/>
            <w:noWrap/>
            <w:vAlign w:val="center"/>
          </w:tcPr>
          <w:p>
            <w:pPr>
              <w:widowControl/>
              <w:rPr>
                <w:rFonts w:ascii="Times New Roman" w:hAnsi="Times New Roman" w:eastAsia="Times New Roman"/>
                <w:kern w:val="0"/>
              </w:rPr>
            </w:pP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河北</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工业企业挥发性有机物排放控制标准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DB 13/ 2322—2016</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2</w:t>
            </w:r>
          </w:p>
        </w:tc>
        <w:tc>
          <w:tcPr>
            <w:tcW w:w="530" w:type="pct"/>
            <w:shd w:val="clear" w:color="auto" w:fill="auto"/>
            <w:noWrap/>
          </w:tcPr>
          <w:p>
            <w:pPr>
              <w:widowControl/>
              <w:jc w:val="center"/>
              <w:rPr>
                <w:rFonts w:ascii="Times New Roman" w:hAnsi="Times New Roman"/>
                <w:color w:val="000000"/>
                <w:kern w:val="0"/>
              </w:rPr>
            </w:pPr>
            <w:r>
              <w:rPr>
                <w:rFonts w:ascii="Times New Roman" w:hAnsi="Times New Roman"/>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restart"/>
            <w:shd w:val="clear" w:color="auto" w:fill="auto"/>
            <w:noWrap/>
            <w:vAlign w:val="center"/>
          </w:tcPr>
          <w:p>
            <w:pPr>
              <w:widowControl/>
              <w:rPr>
                <w:rFonts w:ascii="Times New Roman" w:hAnsi="Times New Roman"/>
                <w:color w:val="000000"/>
                <w:kern w:val="0"/>
              </w:rPr>
            </w:pPr>
            <w:r>
              <w:rPr>
                <w:rFonts w:ascii="Times New Roman" w:hAnsi="Times New Roman"/>
                <w:color w:val="000000"/>
                <w:kern w:val="0"/>
              </w:rPr>
              <w:t>化学工业</w:t>
            </w: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河北</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工业企业挥发性有机物排放控制标准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DB 13/ 2322—2016</w:t>
            </w:r>
          </w:p>
        </w:tc>
        <w:tc>
          <w:tcPr>
            <w:tcW w:w="508" w:type="pct"/>
            <w:shd w:val="clear" w:color="auto" w:fill="auto"/>
            <w:noWrap/>
            <w:vAlign w:val="center"/>
          </w:tcPr>
          <w:p>
            <w:pPr>
              <w:widowControl/>
              <w:jc w:val="center"/>
              <w:rPr>
                <w:rFonts w:ascii="Times New Roman" w:hAnsi="Times New Roman"/>
                <w:color w:val="000000"/>
                <w:kern w:val="0"/>
              </w:rPr>
            </w:pPr>
            <w:r>
              <w:rPr>
                <w:rFonts w:hint="eastAsia" w:ascii="Times New Roman" w:hAnsi="Times New Roman"/>
                <w:color w:val="000000"/>
                <w:kern w:val="0"/>
              </w:rPr>
              <w:t>/</w:t>
            </w:r>
          </w:p>
        </w:tc>
        <w:tc>
          <w:tcPr>
            <w:tcW w:w="530"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continue"/>
            <w:shd w:val="clear" w:color="auto" w:fill="auto"/>
            <w:noWrap/>
            <w:vAlign w:val="center"/>
          </w:tcPr>
          <w:p>
            <w:pPr>
              <w:widowControl/>
              <w:rPr>
                <w:rFonts w:ascii="Times New Roman" w:hAnsi="Times New Roman"/>
                <w:color w:val="000000"/>
                <w:kern w:val="0"/>
              </w:rPr>
            </w:pP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江苏</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化学工业挥发性有机物排放标准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DB32/3151—2016</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4</w:t>
            </w:r>
          </w:p>
        </w:tc>
        <w:tc>
          <w:tcPr>
            <w:tcW w:w="530" w:type="pct"/>
            <w:shd w:val="clear" w:color="auto" w:fill="auto"/>
            <w:noWrap/>
          </w:tcPr>
          <w:p>
            <w:pPr>
              <w:widowControl/>
              <w:jc w:val="center"/>
              <w:rPr>
                <w:rFonts w:ascii="Times New Roman" w:hAnsi="Times New Roman"/>
                <w:color w:val="000000"/>
                <w:kern w:val="0"/>
              </w:rPr>
            </w:pPr>
            <w:r>
              <w:rPr>
                <w:rFonts w:ascii="Times New Roman" w:hAnsi="Times New Roman"/>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restart"/>
            <w:shd w:val="clear" w:color="auto" w:fill="auto"/>
            <w:noWrap/>
            <w:vAlign w:val="center"/>
          </w:tcPr>
          <w:p>
            <w:pPr>
              <w:widowControl/>
              <w:rPr>
                <w:rFonts w:ascii="Times New Roman" w:hAnsi="Times New Roman"/>
                <w:color w:val="000000"/>
                <w:kern w:val="0"/>
              </w:rPr>
            </w:pPr>
            <w:r>
              <w:rPr>
                <w:rFonts w:ascii="Times New Roman" w:hAnsi="Times New Roman"/>
                <w:color w:val="000000"/>
                <w:kern w:val="0"/>
              </w:rPr>
              <w:t>涂料、油墨及染料制造业</w:t>
            </w: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国家</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涂料、油墨及胶黏剂工业大气污染物排放标准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征求意见稿</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4</w:t>
            </w:r>
          </w:p>
        </w:tc>
        <w:tc>
          <w:tcPr>
            <w:tcW w:w="530" w:type="pct"/>
            <w:shd w:val="clear" w:color="auto" w:fill="auto"/>
            <w:noWrap/>
          </w:tcPr>
          <w:p>
            <w:pPr>
              <w:widowControl/>
              <w:jc w:val="center"/>
              <w:rPr>
                <w:rFonts w:ascii="Times New Roman" w:hAnsi="Times New Roman"/>
                <w:color w:val="000000"/>
                <w:kern w:val="0"/>
              </w:rPr>
            </w:pPr>
            <w:r>
              <w:rPr>
                <w:rFonts w:ascii="Times New Roman" w:hAnsi="Times New Roman"/>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continue"/>
            <w:shd w:val="clear" w:color="auto" w:fill="auto"/>
            <w:noWrap/>
            <w:vAlign w:val="center"/>
          </w:tcPr>
          <w:p>
            <w:pPr>
              <w:widowControl/>
              <w:rPr>
                <w:rFonts w:ascii="Times New Roman" w:hAnsi="Times New Roman" w:eastAsia="Times New Roman"/>
                <w:kern w:val="0"/>
              </w:rPr>
            </w:pP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上海</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涂料、油墨及其类似产品制造工业大气污染物排放标准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DB 31 881-2015</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4</w:t>
            </w:r>
          </w:p>
        </w:tc>
        <w:tc>
          <w:tcPr>
            <w:tcW w:w="530"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continue"/>
            <w:shd w:val="clear" w:color="auto" w:fill="auto"/>
            <w:noWrap/>
            <w:vAlign w:val="center"/>
          </w:tcPr>
          <w:p>
            <w:pPr>
              <w:widowControl/>
              <w:rPr>
                <w:rFonts w:ascii="Times New Roman" w:hAnsi="Times New Roman"/>
                <w:color w:val="000000"/>
                <w:kern w:val="0"/>
              </w:rPr>
            </w:pP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陕西</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陕西省挥发性有机物排放控制标准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DB61/T 1061-2017</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3</w:t>
            </w:r>
          </w:p>
        </w:tc>
        <w:tc>
          <w:tcPr>
            <w:tcW w:w="530"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restart"/>
            <w:shd w:val="clear" w:color="auto" w:fill="auto"/>
            <w:noWrap/>
            <w:vAlign w:val="center"/>
          </w:tcPr>
          <w:p>
            <w:pPr>
              <w:widowControl/>
              <w:rPr>
                <w:rFonts w:ascii="Times New Roman" w:hAnsi="Times New Roman"/>
                <w:color w:val="000000"/>
                <w:kern w:val="0"/>
              </w:rPr>
            </w:pPr>
            <w:r>
              <w:rPr>
                <w:rFonts w:ascii="Times New Roman" w:hAnsi="Times New Roman"/>
                <w:color w:val="000000"/>
                <w:kern w:val="0"/>
              </w:rPr>
              <w:t>印刷业</w:t>
            </w: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国家</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印刷包装业大气污染物排放标准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未发布</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2</w:t>
            </w:r>
          </w:p>
        </w:tc>
        <w:tc>
          <w:tcPr>
            <w:tcW w:w="530"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continue"/>
            <w:shd w:val="clear" w:color="auto" w:fill="auto"/>
            <w:noWrap/>
            <w:vAlign w:val="center"/>
          </w:tcPr>
          <w:p>
            <w:pPr>
              <w:widowControl/>
              <w:rPr>
                <w:rFonts w:ascii="Times New Roman" w:hAnsi="Times New Roman"/>
                <w:color w:val="000000"/>
                <w:kern w:val="0"/>
              </w:rPr>
            </w:pP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北京</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印刷业挥发性有机物排放标准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DB11/1201-2015</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1</w:t>
            </w:r>
          </w:p>
        </w:tc>
        <w:tc>
          <w:tcPr>
            <w:tcW w:w="530"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continue"/>
            <w:shd w:val="clear" w:color="auto" w:fill="auto"/>
            <w:noWrap/>
            <w:vAlign w:val="center"/>
          </w:tcPr>
          <w:p>
            <w:pPr>
              <w:widowControl/>
              <w:rPr>
                <w:rFonts w:ascii="Times New Roman" w:hAnsi="Times New Roman"/>
                <w:color w:val="000000"/>
                <w:kern w:val="0"/>
              </w:rPr>
            </w:pP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上海</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印刷业大气污染物排放标准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DB 31 872-2015</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4</w:t>
            </w:r>
          </w:p>
        </w:tc>
        <w:tc>
          <w:tcPr>
            <w:tcW w:w="530"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continue"/>
            <w:shd w:val="clear" w:color="auto" w:fill="auto"/>
            <w:noWrap/>
            <w:vAlign w:val="center"/>
          </w:tcPr>
          <w:p>
            <w:pPr>
              <w:widowControl/>
              <w:rPr>
                <w:rFonts w:ascii="Times New Roman" w:hAnsi="Times New Roman" w:eastAsia="Times New Roman"/>
                <w:kern w:val="0"/>
              </w:rPr>
            </w:pP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福建</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印刷行业挥发性有机物排放标准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报批稿</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w:t>
            </w:r>
          </w:p>
        </w:tc>
        <w:tc>
          <w:tcPr>
            <w:tcW w:w="530"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continue"/>
            <w:shd w:val="clear" w:color="auto" w:fill="auto"/>
            <w:noWrap/>
            <w:vAlign w:val="center"/>
          </w:tcPr>
          <w:p>
            <w:pPr>
              <w:widowControl/>
              <w:rPr>
                <w:rFonts w:ascii="Times New Roman" w:hAnsi="Times New Roman"/>
                <w:color w:val="000000"/>
                <w:kern w:val="0"/>
              </w:rPr>
            </w:pP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重庆</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包装印刷业大气污染物排放标准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DB 50/758—2017</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4</w:t>
            </w:r>
          </w:p>
        </w:tc>
        <w:tc>
          <w:tcPr>
            <w:tcW w:w="530"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continue"/>
            <w:shd w:val="clear" w:color="auto" w:fill="auto"/>
            <w:noWrap/>
            <w:vAlign w:val="center"/>
          </w:tcPr>
          <w:p>
            <w:pPr>
              <w:widowControl/>
              <w:rPr>
                <w:rFonts w:ascii="Times New Roman" w:hAnsi="Times New Roman"/>
                <w:color w:val="000000"/>
                <w:kern w:val="0"/>
              </w:rPr>
            </w:pP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河北</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工业企业挥发性有机物排放控制标准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DB 13/ 2322—2016</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w:t>
            </w:r>
          </w:p>
        </w:tc>
        <w:tc>
          <w:tcPr>
            <w:tcW w:w="530"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restart"/>
            <w:shd w:val="clear" w:color="auto" w:fill="auto"/>
            <w:noWrap/>
            <w:vAlign w:val="center"/>
          </w:tcPr>
          <w:p>
            <w:pPr>
              <w:widowControl/>
              <w:rPr>
                <w:rFonts w:ascii="Times New Roman" w:hAnsi="Times New Roman"/>
                <w:color w:val="000000"/>
                <w:kern w:val="0"/>
              </w:rPr>
            </w:pPr>
            <w:r>
              <w:rPr>
                <w:rFonts w:ascii="Times New Roman" w:hAnsi="Times New Roman"/>
                <w:color w:val="000000"/>
                <w:kern w:val="0"/>
              </w:rPr>
              <w:t>家具制造业</w:t>
            </w: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北京</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木质家具制造业大气污染物排放标准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DB11/1202-2015</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0.5</w:t>
            </w:r>
          </w:p>
        </w:tc>
        <w:tc>
          <w:tcPr>
            <w:tcW w:w="530"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continue"/>
            <w:shd w:val="clear" w:color="auto" w:fill="auto"/>
            <w:noWrap/>
            <w:vAlign w:val="center"/>
          </w:tcPr>
          <w:p>
            <w:pPr>
              <w:widowControl/>
              <w:rPr>
                <w:rFonts w:ascii="Times New Roman" w:hAnsi="Times New Roman"/>
                <w:color w:val="000000"/>
                <w:kern w:val="0"/>
              </w:rPr>
            </w:pP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上海</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家具制造业大气污染物排放标准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 xml:space="preserve">DB 31 1059—2017 </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2</w:t>
            </w:r>
          </w:p>
        </w:tc>
        <w:tc>
          <w:tcPr>
            <w:tcW w:w="530"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continue"/>
            <w:shd w:val="clear" w:color="auto" w:fill="auto"/>
            <w:noWrap/>
            <w:vAlign w:val="center"/>
          </w:tcPr>
          <w:p>
            <w:pPr>
              <w:widowControl/>
              <w:rPr>
                <w:rFonts w:ascii="Times New Roman" w:hAnsi="Times New Roman"/>
                <w:color w:val="000000"/>
                <w:kern w:val="0"/>
              </w:rPr>
            </w:pP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重庆</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家具制造业大气污染物排放标准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DB 50/757—2017</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4</w:t>
            </w:r>
          </w:p>
        </w:tc>
        <w:tc>
          <w:tcPr>
            <w:tcW w:w="530" w:type="pct"/>
            <w:shd w:val="clear" w:color="auto" w:fill="auto"/>
            <w:noWrap/>
            <w:vAlign w:val="center"/>
          </w:tcPr>
          <w:p>
            <w:pPr>
              <w:widowControl/>
              <w:jc w:val="center"/>
              <w:rPr>
                <w:rFonts w:ascii="Times New Roman" w:hAnsi="Times New Roman"/>
                <w:color w:val="000000"/>
                <w:kern w:val="0"/>
              </w:rPr>
            </w:pPr>
            <w:r>
              <w:rPr>
                <w:rFonts w:hint="eastAsia" w:ascii="Times New Roman" w:hAnsi="Times New Roman"/>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continue"/>
            <w:shd w:val="clear" w:color="auto" w:fill="auto"/>
            <w:noWrap/>
            <w:vAlign w:val="center"/>
          </w:tcPr>
          <w:p>
            <w:pPr>
              <w:widowControl/>
              <w:rPr>
                <w:rFonts w:ascii="Times New Roman" w:hAnsi="Times New Roman" w:eastAsia="Times New Roman"/>
                <w:kern w:val="0"/>
              </w:rPr>
            </w:pP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河北</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工业企业挥发性有机物排放控制标准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DB 13/ 2322—2016</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w:t>
            </w:r>
          </w:p>
        </w:tc>
        <w:tc>
          <w:tcPr>
            <w:tcW w:w="530"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restart"/>
            <w:shd w:val="clear" w:color="auto" w:fill="auto"/>
            <w:noWrap/>
            <w:vAlign w:val="center"/>
          </w:tcPr>
          <w:p>
            <w:pPr>
              <w:widowControl/>
              <w:rPr>
                <w:rFonts w:ascii="Times New Roman" w:hAnsi="Times New Roman"/>
                <w:color w:val="000000"/>
                <w:kern w:val="0"/>
              </w:rPr>
            </w:pPr>
            <w:r>
              <w:rPr>
                <w:rFonts w:ascii="Times New Roman" w:hAnsi="Times New Roman"/>
                <w:color w:val="000000"/>
                <w:kern w:val="0"/>
              </w:rPr>
              <w:t>工业涂装工序</w:t>
            </w: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北京</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工业涂装工序挥发性有机物排放标准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DB11/ 1226-2015</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5</w:t>
            </w:r>
          </w:p>
        </w:tc>
        <w:tc>
          <w:tcPr>
            <w:tcW w:w="530" w:type="pct"/>
            <w:shd w:val="clear" w:color="auto" w:fill="auto"/>
            <w:noWrap/>
            <w:vAlign w:val="center"/>
          </w:tcPr>
          <w:p>
            <w:pPr>
              <w:widowControl/>
              <w:jc w:val="center"/>
              <w:rPr>
                <w:rFonts w:ascii="Times New Roman" w:hAnsi="Times New Roman"/>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continue"/>
            <w:shd w:val="clear" w:color="auto" w:fill="auto"/>
            <w:noWrap/>
            <w:vAlign w:val="center"/>
          </w:tcPr>
          <w:p>
            <w:pPr>
              <w:widowControl/>
              <w:rPr>
                <w:rFonts w:ascii="Times New Roman" w:hAnsi="Times New Roman" w:eastAsia="Times New Roman"/>
                <w:kern w:val="0"/>
              </w:rPr>
            </w:pP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河北</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工业企业挥发性有机物排放控制标准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DB 13/ 2322—2016</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w:t>
            </w:r>
          </w:p>
        </w:tc>
        <w:tc>
          <w:tcPr>
            <w:tcW w:w="530"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continue"/>
            <w:shd w:val="clear" w:color="auto" w:fill="auto"/>
            <w:noWrap/>
            <w:vAlign w:val="center"/>
          </w:tcPr>
          <w:p>
            <w:pPr>
              <w:widowControl/>
              <w:rPr>
                <w:rFonts w:ascii="Times New Roman" w:hAnsi="Times New Roman"/>
                <w:color w:val="000000"/>
                <w:kern w:val="0"/>
              </w:rPr>
            </w:pP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浙江</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工业涂装工序大气污染物排放标准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DB 33 2146-2018</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4</w:t>
            </w:r>
          </w:p>
        </w:tc>
        <w:tc>
          <w:tcPr>
            <w:tcW w:w="530"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continue"/>
            <w:shd w:val="clear" w:color="auto" w:fill="auto"/>
            <w:noWrap/>
            <w:vAlign w:val="center"/>
          </w:tcPr>
          <w:p>
            <w:pPr>
              <w:widowControl/>
              <w:rPr>
                <w:rFonts w:ascii="Times New Roman" w:hAnsi="Times New Roman"/>
                <w:color w:val="000000"/>
                <w:kern w:val="0"/>
              </w:rPr>
            </w:pP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福建</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工业涂装工序挥发性有机物排放标准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报批稿</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4、2</w:t>
            </w:r>
          </w:p>
        </w:tc>
        <w:tc>
          <w:tcPr>
            <w:tcW w:w="530"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restart"/>
            <w:shd w:val="clear" w:color="auto" w:fill="auto"/>
            <w:noWrap/>
            <w:vAlign w:val="center"/>
          </w:tcPr>
          <w:p>
            <w:pPr>
              <w:widowControl/>
              <w:rPr>
                <w:rFonts w:ascii="Times New Roman" w:hAnsi="Times New Roman"/>
                <w:color w:val="000000"/>
                <w:kern w:val="0"/>
              </w:rPr>
            </w:pPr>
            <w:r>
              <w:rPr>
                <w:rFonts w:ascii="Times New Roman" w:hAnsi="Times New Roman"/>
                <w:color w:val="000000"/>
                <w:kern w:val="0"/>
              </w:rPr>
              <w:t>医药制造业</w:t>
            </w: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国家</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制药工业大气污染物排放标准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征求意见稿</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4</w:t>
            </w:r>
          </w:p>
        </w:tc>
        <w:tc>
          <w:tcPr>
            <w:tcW w:w="530"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continue"/>
            <w:shd w:val="clear" w:color="auto" w:fill="auto"/>
            <w:noWrap/>
            <w:vAlign w:val="center"/>
          </w:tcPr>
          <w:p>
            <w:pPr>
              <w:widowControl/>
              <w:rPr>
                <w:rFonts w:ascii="Times New Roman" w:hAnsi="Times New Roman"/>
                <w:color w:val="000000"/>
                <w:kern w:val="0"/>
              </w:rPr>
            </w:pP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上海</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生物制药行业污染物排放标准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DB 31 373-2010</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2</w:t>
            </w:r>
          </w:p>
        </w:tc>
        <w:tc>
          <w:tcPr>
            <w:tcW w:w="530" w:type="pct"/>
            <w:shd w:val="clear" w:color="auto" w:fill="auto"/>
            <w:noWrap/>
          </w:tcPr>
          <w:p>
            <w:pPr>
              <w:widowControl/>
              <w:jc w:val="center"/>
              <w:rPr>
                <w:rFonts w:ascii="Times New Roman" w:hAnsi="Times New Roman"/>
                <w:color w:val="000000"/>
                <w:kern w:val="0"/>
              </w:rPr>
            </w:pPr>
            <w:r>
              <w:rPr>
                <w:rFonts w:ascii="Times New Roman" w:hAnsi="Times New Roman"/>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continue"/>
            <w:shd w:val="clear" w:color="auto" w:fill="auto"/>
            <w:noWrap/>
            <w:vAlign w:val="center"/>
          </w:tcPr>
          <w:p>
            <w:pPr>
              <w:widowControl/>
              <w:rPr>
                <w:rFonts w:ascii="Times New Roman" w:hAnsi="Times New Roman" w:eastAsia="Times New Roman"/>
                <w:kern w:val="0"/>
              </w:rPr>
            </w:pP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浙江</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生物制药工业污染物排放标准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DB 33 923-2014</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4</w:t>
            </w:r>
          </w:p>
        </w:tc>
        <w:tc>
          <w:tcPr>
            <w:tcW w:w="530" w:type="pct"/>
            <w:shd w:val="clear" w:color="auto" w:fill="auto"/>
            <w:noWrap/>
          </w:tcPr>
          <w:p>
            <w:pPr>
              <w:widowControl/>
              <w:jc w:val="center"/>
              <w:rPr>
                <w:rFonts w:ascii="Times New Roman" w:hAnsi="Times New Roman"/>
                <w:color w:val="000000"/>
                <w:kern w:val="0"/>
              </w:rPr>
            </w:pPr>
            <w:r>
              <w:rPr>
                <w:rFonts w:ascii="Times New Roman" w:hAnsi="Times New Roman"/>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continue"/>
            <w:shd w:val="clear" w:color="auto" w:fill="auto"/>
            <w:noWrap/>
            <w:vAlign w:val="center"/>
          </w:tcPr>
          <w:p>
            <w:pPr>
              <w:widowControl/>
              <w:rPr>
                <w:rFonts w:ascii="Times New Roman" w:hAnsi="Times New Roman" w:eastAsia="Times New Roman"/>
                <w:kern w:val="0"/>
              </w:rPr>
            </w:pP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浙江</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化学合成类制药工业大气污染物排放标准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DB 33 2015</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4</w:t>
            </w:r>
          </w:p>
        </w:tc>
        <w:tc>
          <w:tcPr>
            <w:tcW w:w="530" w:type="pct"/>
            <w:shd w:val="clear" w:color="auto" w:fill="auto"/>
            <w:noWrap/>
          </w:tcPr>
          <w:p>
            <w:pPr>
              <w:widowControl/>
              <w:jc w:val="center"/>
              <w:rPr>
                <w:rFonts w:ascii="Times New Roman" w:hAnsi="Times New Roman"/>
                <w:color w:val="000000"/>
                <w:kern w:val="0"/>
              </w:rPr>
            </w:pPr>
            <w:r>
              <w:rPr>
                <w:rFonts w:ascii="Times New Roman" w:hAnsi="Times New Roman"/>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restart"/>
            <w:shd w:val="clear" w:color="auto" w:fill="auto"/>
            <w:noWrap/>
            <w:vAlign w:val="center"/>
          </w:tcPr>
          <w:p>
            <w:pPr>
              <w:widowControl/>
              <w:rPr>
                <w:rFonts w:ascii="Times New Roman" w:hAnsi="Times New Roman"/>
                <w:color w:val="000000"/>
                <w:kern w:val="0"/>
              </w:rPr>
            </w:pPr>
            <w:r>
              <w:rPr>
                <w:rFonts w:ascii="Times New Roman" w:hAnsi="Times New Roman"/>
                <w:color w:val="000000"/>
                <w:kern w:val="0"/>
              </w:rPr>
              <w:t>汽车维修业</w:t>
            </w: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北京</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汽车维修业大气污染物排放标准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DB11/1228-2015</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5</w:t>
            </w:r>
          </w:p>
        </w:tc>
        <w:tc>
          <w:tcPr>
            <w:tcW w:w="530" w:type="pct"/>
            <w:shd w:val="clear" w:color="auto" w:fill="auto"/>
            <w:noWrap/>
          </w:tcPr>
          <w:p>
            <w:pPr>
              <w:widowControl/>
              <w:jc w:val="center"/>
              <w:rPr>
                <w:rFonts w:ascii="Times New Roman" w:hAnsi="Times New Roman"/>
                <w:color w:val="000000"/>
                <w:kern w:val="0"/>
              </w:rPr>
            </w:pPr>
            <w:r>
              <w:rPr>
                <w:rFonts w:ascii="Times New Roman" w:hAnsi="Times New Roman"/>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continue"/>
            <w:shd w:val="clear" w:color="auto" w:fill="auto"/>
            <w:noWrap/>
            <w:vAlign w:val="center"/>
          </w:tcPr>
          <w:p>
            <w:pPr>
              <w:widowControl/>
              <w:rPr>
                <w:rFonts w:ascii="Times New Roman" w:hAnsi="Times New Roman" w:eastAsia="Times New Roman"/>
                <w:kern w:val="0"/>
              </w:rPr>
            </w:pP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重庆</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汽车维修业大气污染物排放标准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DB 50 661-2016</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2</w:t>
            </w:r>
          </w:p>
        </w:tc>
        <w:tc>
          <w:tcPr>
            <w:tcW w:w="530" w:type="pct"/>
            <w:shd w:val="clear" w:color="auto" w:fill="auto"/>
            <w:noWrap/>
          </w:tcPr>
          <w:p>
            <w:pPr>
              <w:widowControl/>
              <w:jc w:val="center"/>
              <w:rPr>
                <w:rFonts w:ascii="Times New Roman" w:hAnsi="Times New Roman"/>
                <w:color w:val="000000"/>
                <w:kern w:val="0"/>
              </w:rPr>
            </w:pPr>
            <w:r>
              <w:rPr>
                <w:rFonts w:ascii="Times New Roman" w:hAnsi="Times New Roman"/>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restart"/>
            <w:shd w:val="clear" w:color="auto" w:fill="auto"/>
            <w:noWrap/>
            <w:vAlign w:val="center"/>
          </w:tcPr>
          <w:p>
            <w:pPr>
              <w:widowControl/>
              <w:rPr>
                <w:rFonts w:ascii="Times New Roman" w:hAnsi="Times New Roman"/>
                <w:color w:val="000000"/>
                <w:kern w:val="0"/>
              </w:rPr>
            </w:pPr>
            <w:r>
              <w:rPr>
                <w:rFonts w:ascii="Times New Roman" w:hAnsi="Times New Roman"/>
                <w:color w:val="000000"/>
                <w:kern w:val="0"/>
              </w:rPr>
              <w:t>船舶工业</w:t>
            </w: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上海</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船舶工业大气污染物排放标准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DB31/934—2015</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4</w:t>
            </w:r>
          </w:p>
        </w:tc>
        <w:tc>
          <w:tcPr>
            <w:tcW w:w="530" w:type="pct"/>
            <w:shd w:val="clear" w:color="auto" w:fill="auto"/>
            <w:noWrap/>
          </w:tcPr>
          <w:p>
            <w:pPr>
              <w:widowControl/>
              <w:jc w:val="center"/>
              <w:rPr>
                <w:rFonts w:ascii="Times New Roman" w:hAnsi="Times New Roman"/>
                <w:color w:val="000000"/>
                <w:kern w:val="0"/>
              </w:rPr>
            </w:pPr>
            <w:r>
              <w:rPr>
                <w:rFonts w:ascii="Times New Roman" w:hAnsi="Times New Roman"/>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vMerge w:val="continue"/>
            <w:shd w:val="clear" w:color="auto" w:fill="auto"/>
            <w:noWrap/>
            <w:vAlign w:val="center"/>
          </w:tcPr>
          <w:p>
            <w:pPr>
              <w:widowControl/>
              <w:rPr>
                <w:rFonts w:ascii="Times New Roman" w:hAnsi="Times New Roman" w:eastAsia="Times New Roman"/>
                <w:kern w:val="0"/>
              </w:rPr>
            </w:pP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福建</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工业涂装工序挥发性有机物排放标准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报批稿</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4</w:t>
            </w:r>
          </w:p>
        </w:tc>
        <w:tc>
          <w:tcPr>
            <w:tcW w:w="530" w:type="pct"/>
            <w:shd w:val="clear" w:color="auto" w:fill="auto"/>
            <w:noWrap/>
          </w:tcPr>
          <w:p>
            <w:pPr>
              <w:widowControl/>
              <w:jc w:val="center"/>
              <w:rPr>
                <w:rFonts w:ascii="Times New Roman" w:hAnsi="Times New Roman"/>
                <w:color w:val="000000"/>
                <w:kern w:val="0"/>
              </w:rPr>
            </w:pPr>
            <w:r>
              <w:rPr>
                <w:rFonts w:ascii="Times New Roman" w:hAnsi="Times New Roman"/>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shd w:val="clear" w:color="auto" w:fill="auto"/>
            <w:noWrap/>
            <w:vAlign w:val="center"/>
          </w:tcPr>
          <w:p>
            <w:pPr>
              <w:widowControl/>
              <w:rPr>
                <w:rFonts w:ascii="Times New Roman" w:hAnsi="Times New Roman"/>
                <w:color w:val="000000"/>
                <w:kern w:val="0"/>
              </w:rPr>
            </w:pPr>
            <w:r>
              <w:rPr>
                <w:rFonts w:ascii="Times New Roman" w:hAnsi="Times New Roman"/>
                <w:color w:val="000000"/>
                <w:kern w:val="0"/>
              </w:rPr>
              <w:t>橡胶制品</w:t>
            </w: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国家</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橡胶制品工业污染物排放标准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GB 27632-2011</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4</w:t>
            </w:r>
          </w:p>
        </w:tc>
        <w:tc>
          <w:tcPr>
            <w:tcW w:w="530" w:type="pct"/>
            <w:shd w:val="clear" w:color="auto" w:fill="auto"/>
            <w:noWrap/>
          </w:tcPr>
          <w:p>
            <w:pPr>
              <w:widowControl/>
              <w:jc w:val="center"/>
              <w:rPr>
                <w:rFonts w:ascii="Times New Roman" w:hAnsi="Times New Roman"/>
                <w:color w:val="000000"/>
                <w:kern w:val="0"/>
              </w:rPr>
            </w:pPr>
            <w:r>
              <w:rPr>
                <w:rFonts w:ascii="Times New Roman" w:hAnsi="Times New Roman"/>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shd w:val="clear" w:color="auto" w:fill="auto"/>
            <w:noWrap/>
            <w:vAlign w:val="center"/>
          </w:tcPr>
          <w:p>
            <w:pPr>
              <w:widowControl/>
              <w:rPr>
                <w:rFonts w:ascii="Times New Roman" w:hAnsi="Times New Roman"/>
                <w:color w:val="000000"/>
                <w:kern w:val="0"/>
              </w:rPr>
            </w:pPr>
            <w:r>
              <w:rPr>
                <w:rFonts w:ascii="Times New Roman" w:hAnsi="Times New Roman"/>
                <w:color w:val="000000"/>
                <w:kern w:val="0"/>
              </w:rPr>
              <w:t>合成树脂</w:t>
            </w: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国家</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合成树脂工业污染物排放标准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GB 31572-2015</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4</w:t>
            </w:r>
          </w:p>
        </w:tc>
        <w:tc>
          <w:tcPr>
            <w:tcW w:w="530" w:type="pct"/>
            <w:shd w:val="clear" w:color="auto" w:fill="auto"/>
            <w:noWrap/>
          </w:tcPr>
          <w:p>
            <w:pPr>
              <w:widowControl/>
              <w:jc w:val="center"/>
              <w:rPr>
                <w:rFonts w:ascii="Times New Roman" w:hAnsi="Times New Roman"/>
                <w:color w:val="000000"/>
                <w:kern w:val="0"/>
              </w:rPr>
            </w:pPr>
            <w:r>
              <w:rPr>
                <w:rFonts w:ascii="Times New Roman" w:hAnsi="Times New Roman"/>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shd w:val="clear" w:color="auto" w:fill="auto"/>
            <w:noWrap/>
            <w:vAlign w:val="center"/>
          </w:tcPr>
          <w:p>
            <w:pPr>
              <w:widowControl/>
              <w:rPr>
                <w:rFonts w:ascii="Times New Roman" w:hAnsi="Times New Roman"/>
                <w:color w:val="000000"/>
                <w:kern w:val="0"/>
              </w:rPr>
            </w:pPr>
            <w:r>
              <w:rPr>
                <w:rFonts w:ascii="Times New Roman" w:hAnsi="Times New Roman"/>
                <w:color w:val="000000"/>
                <w:kern w:val="0"/>
              </w:rPr>
              <w:t>人造板工业</w:t>
            </w: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国家</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人造板工业污染物排放标准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（征求意见稿）</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4</w:t>
            </w:r>
          </w:p>
        </w:tc>
        <w:tc>
          <w:tcPr>
            <w:tcW w:w="530" w:type="pct"/>
            <w:shd w:val="clear" w:color="auto" w:fill="auto"/>
            <w:noWrap/>
          </w:tcPr>
          <w:p>
            <w:pPr>
              <w:widowControl/>
              <w:jc w:val="center"/>
              <w:rPr>
                <w:rFonts w:ascii="Times New Roman" w:hAnsi="Times New Roman"/>
                <w:color w:val="000000"/>
                <w:kern w:val="0"/>
              </w:rPr>
            </w:pPr>
            <w:r>
              <w:rPr>
                <w:rFonts w:ascii="Times New Roman" w:hAnsi="Times New Roman"/>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64" w:type="pct"/>
            <w:shd w:val="clear" w:color="auto" w:fill="auto"/>
            <w:noWrap/>
            <w:vAlign w:val="center"/>
          </w:tcPr>
          <w:p>
            <w:pPr>
              <w:widowControl/>
              <w:rPr>
                <w:rFonts w:ascii="Times New Roman" w:hAnsi="Times New Roman"/>
                <w:color w:val="000000"/>
                <w:kern w:val="0"/>
              </w:rPr>
            </w:pPr>
            <w:r>
              <w:rPr>
                <w:rFonts w:ascii="Times New Roman" w:hAnsi="Times New Roman"/>
                <w:color w:val="000000"/>
                <w:kern w:val="0"/>
              </w:rPr>
              <w:t>木材加工业</w:t>
            </w:r>
          </w:p>
        </w:tc>
        <w:tc>
          <w:tcPr>
            <w:tcW w:w="355"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河北</w:t>
            </w:r>
          </w:p>
        </w:tc>
        <w:tc>
          <w:tcPr>
            <w:tcW w:w="1881"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工业企业挥发性有机物排放控制标准</w:t>
            </w:r>
          </w:p>
        </w:tc>
        <w:tc>
          <w:tcPr>
            <w:tcW w:w="762" w:type="pct"/>
            <w:shd w:val="clear" w:color="auto" w:fill="auto"/>
            <w:noWrap/>
            <w:vAlign w:val="bottom"/>
          </w:tcPr>
          <w:p>
            <w:pPr>
              <w:widowControl/>
              <w:jc w:val="left"/>
              <w:rPr>
                <w:rFonts w:ascii="Times New Roman" w:hAnsi="Times New Roman"/>
                <w:color w:val="000000"/>
                <w:kern w:val="0"/>
              </w:rPr>
            </w:pPr>
            <w:r>
              <w:rPr>
                <w:rFonts w:ascii="Times New Roman" w:hAnsi="Times New Roman"/>
                <w:color w:val="000000"/>
                <w:kern w:val="0"/>
              </w:rPr>
              <w:t>DB 13/ 2322—2016</w:t>
            </w:r>
          </w:p>
        </w:tc>
        <w:tc>
          <w:tcPr>
            <w:tcW w:w="508"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w:t>
            </w:r>
          </w:p>
        </w:tc>
        <w:tc>
          <w:tcPr>
            <w:tcW w:w="530"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4</w:t>
            </w:r>
          </w:p>
        </w:tc>
      </w:tr>
    </w:tbl>
    <w:p>
      <w:pPr>
        <w:pStyle w:val="68"/>
        <w:ind w:firstLine="0" w:firstLineChars="0"/>
        <w:rPr>
          <w:rFonts w:cs="Times New Roman"/>
        </w:rPr>
        <w:sectPr>
          <w:pgSz w:w="16838" w:h="11906" w:orient="landscape"/>
          <w:pgMar w:top="1800" w:right="1440" w:bottom="1800" w:left="1440" w:header="851" w:footer="992" w:gutter="0"/>
          <w:pgNumType w:fmt="numberInDash"/>
          <w:cols w:space="425" w:num="1"/>
          <w:docGrid w:type="lines" w:linePitch="312" w:charSpace="0"/>
        </w:sectPr>
      </w:pPr>
    </w:p>
    <w:p>
      <w:pPr>
        <w:pStyle w:val="68"/>
        <w:ind w:firstLine="0" w:firstLineChars="0"/>
        <w:rPr>
          <w:rFonts w:cs="Times New Roman"/>
          <w:b/>
          <w:bCs/>
        </w:rPr>
      </w:pPr>
      <w:r>
        <w:rPr>
          <w:rFonts w:cs="Times New Roman"/>
          <w:b/>
          <w:bCs/>
        </w:rPr>
        <w:t>7.6.3.1 厂区内限值的确定</w:t>
      </w:r>
    </w:p>
    <w:p>
      <w:pPr>
        <w:pStyle w:val="68"/>
        <w:rPr>
          <w:rFonts w:cs="Times New Roman"/>
        </w:rPr>
      </w:pPr>
      <w:r>
        <w:rPr>
          <w:rFonts w:cs="Times New Roman"/>
        </w:rPr>
        <w:t>为了推动企业加强车间无组织排放的收集处理，防止工业企业生产活动产生的有机废气通过厂房门窗或通风口、其他开口（孔）无组织逸散，因此设置厂区内大气污染物监控点浓度限值。厂区VOCs无组织排放限值的确定，</w:t>
      </w:r>
      <w:r>
        <w:rPr>
          <w:rFonts w:hint="eastAsia" w:cs="Times New Roman"/>
        </w:rPr>
        <w:t>主要</w:t>
      </w:r>
      <w:r>
        <w:rPr>
          <w:rFonts w:cs="Times New Roman"/>
        </w:rPr>
        <w:t>参考我国《</w:t>
      </w:r>
      <w:r>
        <w:rPr>
          <w:rFonts w:cs="Times New Roman"/>
          <w:kern w:val="0"/>
          <w:szCs w:val="21"/>
        </w:rPr>
        <w:t>挥发性有机物无组织排放控制标准</w:t>
      </w:r>
      <w:r>
        <w:rPr>
          <w:rFonts w:cs="Times New Roman"/>
        </w:rPr>
        <w:t>》</w:t>
      </w:r>
      <w:r>
        <w:rPr>
          <w:rFonts w:hint="eastAsia" w:cs="Times New Roman"/>
        </w:rPr>
        <w:t>（GB</w:t>
      </w:r>
      <w:r>
        <w:rPr>
          <w:rFonts w:cs="Times New Roman"/>
        </w:rPr>
        <w:t xml:space="preserve"> 37822</w:t>
      </w:r>
      <w:r>
        <w:rPr>
          <w:rFonts w:hint="eastAsia" w:cs="Times New Roman"/>
        </w:rPr>
        <w:t>）</w:t>
      </w:r>
      <w:r>
        <w:rPr>
          <w:rFonts w:cs="Times New Roman"/>
        </w:rPr>
        <w:t>。</w:t>
      </w:r>
      <w:r>
        <w:rPr>
          <w:rFonts w:hint="eastAsia" w:cs="Times New Roman"/>
        </w:rPr>
        <w:t>标准编制组</w:t>
      </w:r>
      <w:r>
        <w:rPr>
          <w:rFonts w:cs="Times New Roman"/>
        </w:rPr>
        <w:t>对</w:t>
      </w:r>
      <w:r>
        <w:rPr>
          <w:rFonts w:hint="eastAsia" w:cs="Times New Roman"/>
        </w:rPr>
        <w:t>多</w:t>
      </w:r>
      <w:r>
        <w:rPr>
          <w:rFonts w:cs="Times New Roman"/>
        </w:rPr>
        <w:t>家工业企业在车间外1米~2米处进行NMHC实测，监测结果如下：厂1：1.02~1.73 mg/m</w:t>
      </w:r>
      <w:r>
        <w:rPr>
          <w:rFonts w:cs="Times New Roman"/>
          <w:vertAlign w:val="superscript"/>
        </w:rPr>
        <w:t>3</w:t>
      </w:r>
      <w:r>
        <w:rPr>
          <w:rFonts w:cs="Times New Roman"/>
        </w:rPr>
        <w:t>；厂2：1.89~3.59 mg/m</w:t>
      </w:r>
      <w:r>
        <w:rPr>
          <w:rFonts w:cs="Times New Roman"/>
          <w:vertAlign w:val="superscript"/>
        </w:rPr>
        <w:t>3</w:t>
      </w:r>
      <w:r>
        <w:rPr>
          <w:rFonts w:cs="Times New Roman"/>
        </w:rPr>
        <w:t>；厂3：4.20~102 mg/m</w:t>
      </w:r>
      <w:r>
        <w:rPr>
          <w:rFonts w:cs="Times New Roman"/>
          <w:vertAlign w:val="superscript"/>
        </w:rPr>
        <w:t>3</w:t>
      </w:r>
      <w:r>
        <w:rPr>
          <w:rFonts w:hint="eastAsia" w:cs="Times New Roman"/>
        </w:rPr>
        <w:t>；</w:t>
      </w:r>
      <w:r>
        <w:rPr>
          <w:rFonts w:cs="Times New Roman"/>
        </w:rPr>
        <w:t>厂4：1.6~10 mg/m</w:t>
      </w:r>
      <w:r>
        <w:rPr>
          <w:rFonts w:cs="Times New Roman"/>
          <w:vertAlign w:val="superscript"/>
        </w:rPr>
        <w:t>3</w:t>
      </w:r>
      <w:r>
        <w:rPr>
          <w:rFonts w:cs="Times New Roman"/>
        </w:rPr>
        <w:t>、厂5：24~64 mg/m</w:t>
      </w:r>
      <w:r>
        <w:rPr>
          <w:rFonts w:cs="Times New Roman"/>
          <w:vertAlign w:val="superscript"/>
        </w:rPr>
        <w:t>3</w:t>
      </w:r>
      <w:r>
        <w:rPr>
          <w:rFonts w:cs="Times New Roman"/>
        </w:rPr>
        <w:t>，厂6：8~32 mg/m</w:t>
      </w:r>
      <w:r>
        <w:rPr>
          <w:rFonts w:cs="Times New Roman"/>
          <w:vertAlign w:val="superscript"/>
        </w:rPr>
        <w:t>3</w:t>
      </w:r>
      <w:r>
        <w:rPr>
          <w:rFonts w:cs="Times New Roman"/>
        </w:rPr>
        <w:t>。可以看出，无组织排放控制效果好的企业总体上可以达到10 mg/m</w:t>
      </w:r>
      <w:r>
        <w:rPr>
          <w:rFonts w:cs="Times New Roman"/>
          <w:vertAlign w:val="superscript"/>
        </w:rPr>
        <w:t>3</w:t>
      </w:r>
      <w:r>
        <w:rPr>
          <w:rFonts w:cs="Times New Roman"/>
        </w:rPr>
        <w:t>以下</w:t>
      </w:r>
      <w:r>
        <w:rPr>
          <w:rFonts w:hint="eastAsia" w:cs="Times New Roman"/>
        </w:rPr>
        <w:t>；经调研，</w:t>
      </w:r>
      <w:r>
        <w:rPr>
          <w:rFonts w:cs="Times New Roman"/>
        </w:rPr>
        <w:t>一旦无组织排放没有得到有效控制，则可能达到100 mg/m</w:t>
      </w:r>
      <w:r>
        <w:rPr>
          <w:rFonts w:cs="Times New Roman"/>
          <w:vertAlign w:val="superscript"/>
        </w:rPr>
        <w:t>3</w:t>
      </w:r>
      <w:r>
        <w:rPr>
          <w:rFonts w:cs="Times New Roman"/>
        </w:rPr>
        <w:t>以上。VOC</w:t>
      </w:r>
      <w:r>
        <w:rPr>
          <w:rFonts w:hint="eastAsia" w:cs="Times New Roman"/>
        </w:rPr>
        <w:t>s</w:t>
      </w:r>
      <w:r>
        <w:rPr>
          <w:rFonts w:cs="Times New Roman"/>
        </w:rPr>
        <w:t>散发出车间后，考虑到一定的稀释倍数（10左右），</w:t>
      </w:r>
      <w:r>
        <w:rPr>
          <w:rFonts w:hint="eastAsia" w:cs="Times New Roman"/>
        </w:rPr>
        <w:t>进一步结合《广东省生态环境厅关于执行厂区内挥发性有机物无组织排放监控要求的通告》，</w:t>
      </w:r>
      <w:r>
        <w:rPr>
          <w:rFonts w:cs="Times New Roman"/>
        </w:rPr>
        <w:t>同时</w:t>
      </w:r>
      <w:r>
        <w:rPr>
          <w:rFonts w:hint="eastAsia" w:cs="Times New Roman"/>
        </w:rPr>
        <w:t>参考</w:t>
      </w:r>
      <w:r>
        <w:rPr>
          <w:rFonts w:cs="Times New Roman"/>
        </w:rPr>
        <w:t>国内相关标准（表7-20）选择6mg/m</w:t>
      </w:r>
      <w:r>
        <w:rPr>
          <w:rFonts w:cs="Times New Roman"/>
          <w:vertAlign w:val="superscript"/>
        </w:rPr>
        <w:t>3</w:t>
      </w:r>
      <w:r>
        <w:rPr>
          <w:rFonts w:cs="Times New Roman"/>
        </w:rPr>
        <w:t>作为排放限值</w:t>
      </w:r>
      <w:r>
        <w:rPr>
          <w:rFonts w:hint="eastAsia" w:cs="Times New Roman"/>
        </w:rPr>
        <w:t>，</w:t>
      </w:r>
      <w:r>
        <w:rPr>
          <w:rFonts w:cs="Times New Roman"/>
        </w:rPr>
        <w:t>选择20 mg/m</w:t>
      </w:r>
      <w:r>
        <w:rPr>
          <w:rFonts w:cs="Times New Roman"/>
          <w:vertAlign w:val="superscript"/>
        </w:rPr>
        <w:t>3</w:t>
      </w:r>
      <w:r>
        <w:rPr>
          <w:rFonts w:cs="Times New Roman"/>
        </w:rPr>
        <w:t>作为任意一次浓度限值。限值规定与《挥发性有机物无组织排放控制标准</w:t>
      </w:r>
      <w:r>
        <w:rPr>
          <w:rFonts w:hint="eastAsia" w:cs="Times New Roman"/>
        </w:rPr>
        <w:t>（G</w:t>
      </w:r>
      <w:r>
        <w:rPr>
          <w:rFonts w:cs="Times New Roman"/>
        </w:rPr>
        <w:t>B 37822-2019</w:t>
      </w:r>
      <w:r>
        <w:rPr>
          <w:rFonts w:hint="eastAsia" w:cs="Times New Roman"/>
        </w:rPr>
        <w:t>）</w:t>
      </w:r>
      <w:r>
        <w:rPr>
          <w:rFonts w:cs="Times New Roman"/>
        </w:rPr>
        <w:t>》</w:t>
      </w:r>
      <w:r>
        <w:rPr>
          <w:rFonts w:hint="eastAsia" w:cs="Times New Roman"/>
        </w:rPr>
        <w:t>附录A</w:t>
      </w:r>
      <w:r>
        <w:rPr>
          <w:rFonts w:cs="Times New Roman"/>
        </w:rPr>
        <w:t>中厂区内VOCs无组织</w:t>
      </w:r>
      <w:r>
        <w:rPr>
          <w:rFonts w:hint="eastAsia" w:cs="Times New Roman"/>
        </w:rPr>
        <w:t>特别</w:t>
      </w:r>
      <w:r>
        <w:rPr>
          <w:rFonts w:cs="Times New Roman"/>
        </w:rPr>
        <w:t>排放限值一致。具体如表7-12所示。</w:t>
      </w:r>
    </w:p>
    <w:p>
      <w:pPr>
        <w:pStyle w:val="13"/>
        <w:spacing w:before="156" w:beforeLines="50" w:after="156" w:afterLines="50"/>
      </w:pPr>
      <w:r>
        <w:t>表7-12  厂区内无组织排放监控点浓度限值</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72"/>
        <w:gridCol w:w="2133"/>
        <w:gridCol w:w="2835"/>
        <w:gridCol w:w="2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blHeader/>
        </w:trPr>
        <w:tc>
          <w:tcPr>
            <w:tcW w:w="765" w:type="pct"/>
            <w:vAlign w:val="center"/>
          </w:tcPr>
          <w:p>
            <w:pPr>
              <w:widowControl/>
              <w:jc w:val="center"/>
              <w:rPr>
                <w:rFonts w:ascii="Times New Roman" w:hAnsi="Times New Roman"/>
                <w:kern w:val="0"/>
              </w:rPr>
            </w:pPr>
            <w:r>
              <w:rPr>
                <w:rFonts w:ascii="Times New Roman" w:hAnsi="Times New Roman"/>
                <w:kern w:val="0"/>
              </w:rPr>
              <w:t>污染物项目</w:t>
            </w:r>
          </w:p>
        </w:tc>
        <w:tc>
          <w:tcPr>
            <w:tcW w:w="1282" w:type="pct"/>
            <w:vAlign w:val="center"/>
          </w:tcPr>
          <w:p>
            <w:pPr>
              <w:widowControl/>
              <w:jc w:val="center"/>
              <w:rPr>
                <w:rFonts w:ascii="Times New Roman" w:hAnsi="Times New Roman"/>
                <w:kern w:val="0"/>
              </w:rPr>
            </w:pPr>
            <w:r>
              <w:rPr>
                <w:rFonts w:ascii="Times New Roman" w:hAnsi="Times New Roman"/>
                <w:kern w:val="0"/>
              </w:rPr>
              <w:t>排放限值（</w:t>
            </w:r>
            <w:r>
              <w:rPr>
                <w:rFonts w:ascii="Times New Roman" w:hAnsi="Times New Roman" w:eastAsia="黑体"/>
                <w:kern w:val="0"/>
              </w:rPr>
              <w:t>mg/m</w:t>
            </w:r>
            <w:r>
              <w:rPr>
                <w:rFonts w:ascii="Times New Roman" w:hAnsi="Times New Roman" w:eastAsia="黑体"/>
                <w:kern w:val="0"/>
                <w:vertAlign w:val="superscript"/>
              </w:rPr>
              <w:t>3</w:t>
            </w:r>
            <w:r>
              <w:rPr>
                <w:rFonts w:ascii="Times New Roman" w:hAnsi="Times New Roman" w:eastAsia="黑体"/>
                <w:kern w:val="0"/>
              </w:rPr>
              <w:t>）</w:t>
            </w:r>
          </w:p>
        </w:tc>
        <w:tc>
          <w:tcPr>
            <w:tcW w:w="1704" w:type="pct"/>
            <w:vAlign w:val="center"/>
          </w:tcPr>
          <w:p>
            <w:pPr>
              <w:widowControl/>
              <w:jc w:val="center"/>
              <w:rPr>
                <w:rFonts w:ascii="Times New Roman" w:hAnsi="Times New Roman"/>
                <w:kern w:val="0"/>
              </w:rPr>
            </w:pPr>
            <w:r>
              <w:rPr>
                <w:rFonts w:ascii="Times New Roman" w:hAnsi="Times New Roman"/>
                <w:kern w:val="0"/>
              </w:rPr>
              <w:t>限值含义</w:t>
            </w:r>
          </w:p>
        </w:tc>
        <w:tc>
          <w:tcPr>
            <w:tcW w:w="1248" w:type="pct"/>
            <w:vAlign w:val="center"/>
          </w:tcPr>
          <w:p>
            <w:pPr>
              <w:widowControl/>
              <w:jc w:val="center"/>
              <w:rPr>
                <w:rFonts w:ascii="Times New Roman" w:hAnsi="Times New Roman"/>
                <w:kern w:val="0"/>
              </w:rPr>
            </w:pPr>
            <w:r>
              <w:rPr>
                <w:rFonts w:ascii="Times New Roman" w:hAnsi="Times New Roman"/>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765" w:type="pct"/>
            <w:vMerge w:val="restart"/>
            <w:tcBorders>
              <w:top w:val="single" w:color="auto" w:sz="4" w:space="0"/>
              <w:left w:val="single" w:color="auto" w:sz="4" w:space="0"/>
              <w:right w:val="single" w:color="auto" w:sz="4" w:space="0"/>
            </w:tcBorders>
            <w:vAlign w:val="center"/>
          </w:tcPr>
          <w:p>
            <w:pPr>
              <w:widowControl/>
              <w:jc w:val="center"/>
              <w:rPr>
                <w:rFonts w:ascii="Times New Roman" w:hAnsi="Times New Roman"/>
                <w:kern w:val="0"/>
              </w:rPr>
            </w:pPr>
            <w:r>
              <w:rPr>
                <w:rFonts w:ascii="Times New Roman" w:hAnsi="Times New Roman"/>
                <w:kern w:val="0"/>
              </w:rPr>
              <w:t>NMHC</w:t>
            </w:r>
          </w:p>
        </w:tc>
        <w:tc>
          <w:tcPr>
            <w:tcW w:w="128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rPr>
            </w:pPr>
            <w:r>
              <w:rPr>
                <w:rFonts w:ascii="Times New Roman" w:hAnsi="Times New Roman"/>
                <w:kern w:val="0"/>
              </w:rPr>
              <w:t>6</w:t>
            </w:r>
          </w:p>
        </w:tc>
        <w:tc>
          <w:tcPr>
            <w:tcW w:w="170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rPr>
            </w:pPr>
            <w:r>
              <w:rPr>
                <w:rFonts w:ascii="Times New Roman" w:hAnsi="Times New Roman"/>
                <w:kern w:val="0"/>
              </w:rPr>
              <w:t>监控点处1小时平均浓度值</w:t>
            </w:r>
          </w:p>
        </w:tc>
        <w:tc>
          <w:tcPr>
            <w:tcW w:w="1248" w:type="pct"/>
            <w:vMerge w:val="restart"/>
            <w:tcBorders>
              <w:top w:val="single" w:color="auto" w:sz="4" w:space="0"/>
              <w:left w:val="single" w:color="auto" w:sz="4" w:space="0"/>
              <w:right w:val="single" w:color="auto" w:sz="4" w:space="0"/>
            </w:tcBorders>
            <w:vAlign w:val="center"/>
          </w:tcPr>
          <w:p>
            <w:pPr>
              <w:widowControl/>
              <w:jc w:val="center"/>
              <w:rPr>
                <w:rFonts w:ascii="Times New Roman" w:hAnsi="Times New Roman"/>
                <w:kern w:val="0"/>
              </w:rPr>
            </w:pPr>
            <w:r>
              <w:rPr>
                <w:rFonts w:ascii="Times New Roman" w:hAnsi="Times New Roman"/>
                <w:kern w:val="0"/>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765" w:type="pct"/>
            <w:vMerge w:val="continue"/>
            <w:tcBorders>
              <w:left w:val="single" w:color="auto" w:sz="4" w:space="0"/>
              <w:right w:val="single" w:color="auto" w:sz="4" w:space="0"/>
            </w:tcBorders>
            <w:vAlign w:val="center"/>
          </w:tcPr>
          <w:p>
            <w:pPr>
              <w:widowControl/>
              <w:jc w:val="center"/>
              <w:rPr>
                <w:rFonts w:ascii="Times New Roman" w:hAnsi="Times New Roman"/>
                <w:kern w:val="0"/>
              </w:rPr>
            </w:pPr>
          </w:p>
        </w:tc>
        <w:tc>
          <w:tcPr>
            <w:tcW w:w="128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rPr>
            </w:pPr>
            <w:r>
              <w:rPr>
                <w:rFonts w:ascii="Times New Roman" w:hAnsi="Times New Roman"/>
                <w:kern w:val="0"/>
              </w:rPr>
              <w:t>20</w:t>
            </w:r>
          </w:p>
        </w:tc>
        <w:tc>
          <w:tcPr>
            <w:tcW w:w="170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rPr>
            </w:pPr>
            <w:r>
              <w:rPr>
                <w:rFonts w:ascii="Times New Roman" w:hAnsi="Times New Roman"/>
                <w:kern w:val="0"/>
              </w:rPr>
              <w:t>监控点处任意一次浓度值</w:t>
            </w:r>
          </w:p>
        </w:tc>
        <w:tc>
          <w:tcPr>
            <w:tcW w:w="1248" w:type="pct"/>
            <w:vMerge w:val="continue"/>
            <w:tcBorders>
              <w:left w:val="single" w:color="auto" w:sz="4" w:space="0"/>
              <w:bottom w:val="single" w:color="auto" w:sz="4" w:space="0"/>
              <w:right w:val="single" w:color="auto" w:sz="4" w:space="0"/>
            </w:tcBorders>
            <w:vAlign w:val="center"/>
          </w:tcPr>
          <w:p>
            <w:pPr>
              <w:widowControl/>
              <w:jc w:val="center"/>
              <w:rPr>
                <w:rFonts w:ascii="Times New Roman" w:hAnsi="Times New Roman"/>
                <w:kern w:val="0"/>
              </w:rPr>
            </w:pPr>
          </w:p>
        </w:tc>
      </w:tr>
    </w:tbl>
    <w:p>
      <w:pPr>
        <w:pStyle w:val="68"/>
        <w:ind w:firstLine="0" w:firstLineChars="0"/>
        <w:rPr>
          <w:rFonts w:cs="Times New Roman"/>
          <w:b/>
          <w:bCs/>
        </w:rPr>
      </w:pPr>
      <w:r>
        <w:rPr>
          <w:rFonts w:cs="Times New Roman"/>
          <w:b/>
          <w:bCs/>
        </w:rPr>
        <w:t>7.6.3.2 企业边界限值的确定</w:t>
      </w:r>
    </w:p>
    <w:p>
      <w:pPr>
        <w:pStyle w:val="68"/>
        <w:ind w:firstLine="482"/>
        <w:rPr>
          <w:rFonts w:cs="Times New Roman"/>
          <w:b/>
          <w:bCs/>
        </w:rPr>
      </w:pPr>
      <w:r>
        <w:rPr>
          <w:rFonts w:hint="eastAsia" w:cs="Times New Roman"/>
          <w:b/>
          <w:bCs/>
        </w:rPr>
        <w:t>1</w:t>
      </w:r>
      <w:r>
        <w:rPr>
          <w:rFonts w:cs="Times New Roman"/>
          <w:b/>
          <w:bCs/>
        </w:rPr>
        <w:t xml:space="preserve">. </w:t>
      </w:r>
      <w:r>
        <w:rPr>
          <w:rFonts w:hint="eastAsia" w:cs="Times New Roman"/>
          <w:b/>
          <w:bCs/>
        </w:rPr>
        <w:t>苯</w:t>
      </w:r>
    </w:p>
    <w:p>
      <w:pPr>
        <w:pStyle w:val="68"/>
        <w:rPr>
          <w:rFonts w:cs="Times New Roman"/>
        </w:rPr>
      </w:pPr>
      <w:r>
        <w:rPr>
          <w:rFonts w:cs="Times New Roman"/>
        </w:rPr>
        <w:t>苯为无色透明液体，有强烈芳香味；不溶于水，溶于醇、醚、丙酮等多数有机溶剂；属中等毒类；高浓度苯对</w:t>
      </w:r>
      <w:r>
        <w:rPr>
          <w:rFonts w:hint="eastAsia" w:cs="Times New Roman"/>
        </w:rPr>
        <w:t>人体</w:t>
      </w:r>
      <w:r>
        <w:rPr>
          <w:rFonts w:cs="Times New Roman"/>
        </w:rPr>
        <w:t>中枢神经系统有麻醉作用，引起急性中毒，还对造血系统会造成损害，引起慢性中毒；国际癌症研究中心（IARC）已确认为致癌物。</w:t>
      </w:r>
    </w:p>
    <w:p>
      <w:pPr>
        <w:pStyle w:val="13"/>
        <w:spacing w:before="156" w:beforeLines="50" w:after="156" w:afterLines="50"/>
      </w:pPr>
      <w:r>
        <w:t>表7-13  国内外相关标准</w:t>
      </w:r>
      <w:r>
        <w:rPr>
          <w:rFonts w:hint="eastAsia"/>
        </w:rPr>
        <w:t>苯的企业边界</w:t>
      </w:r>
      <w:r>
        <w:t>限值</w:t>
      </w:r>
    </w:p>
    <w:tbl>
      <w:tblPr>
        <w:tblStyle w:val="34"/>
        <w:tblW w:w="85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1"/>
        <w:gridCol w:w="680"/>
        <w:gridCol w:w="3686"/>
        <w:gridCol w:w="1955"/>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1191" w:type="dxa"/>
            <w:shd w:val="clear" w:color="auto" w:fill="auto"/>
            <w:noWrap/>
            <w:vAlign w:val="center"/>
          </w:tcPr>
          <w:p>
            <w:pPr>
              <w:widowControl/>
              <w:jc w:val="center"/>
              <w:rPr>
                <w:rFonts w:ascii="Times New Roman" w:hAnsi="Times New Roman"/>
                <w:b/>
                <w:bCs/>
                <w:color w:val="000000"/>
                <w:kern w:val="0"/>
                <w:sz w:val="18"/>
                <w:szCs w:val="18"/>
              </w:rPr>
            </w:pPr>
            <w:r>
              <w:rPr>
                <w:rFonts w:ascii="Times New Roman" w:hAnsi="Times New Roman"/>
                <w:b/>
                <w:bCs/>
                <w:color w:val="000000"/>
                <w:kern w:val="0"/>
                <w:sz w:val="18"/>
                <w:szCs w:val="18"/>
              </w:rPr>
              <w:t>行业类别</w:t>
            </w:r>
          </w:p>
        </w:tc>
        <w:tc>
          <w:tcPr>
            <w:tcW w:w="680" w:type="dxa"/>
            <w:shd w:val="clear" w:color="auto" w:fill="auto"/>
            <w:noWrap/>
            <w:vAlign w:val="center"/>
          </w:tcPr>
          <w:p>
            <w:pPr>
              <w:widowControl/>
              <w:jc w:val="center"/>
              <w:rPr>
                <w:rFonts w:ascii="Times New Roman" w:hAnsi="Times New Roman"/>
                <w:b/>
                <w:bCs/>
                <w:color w:val="000000"/>
                <w:kern w:val="0"/>
                <w:sz w:val="18"/>
                <w:szCs w:val="18"/>
              </w:rPr>
            </w:pPr>
            <w:r>
              <w:rPr>
                <w:rFonts w:ascii="Times New Roman" w:hAnsi="Times New Roman"/>
                <w:b/>
                <w:bCs/>
                <w:color w:val="000000"/>
                <w:kern w:val="0"/>
                <w:sz w:val="18"/>
                <w:szCs w:val="18"/>
              </w:rPr>
              <w:t>国家/省市</w:t>
            </w:r>
          </w:p>
        </w:tc>
        <w:tc>
          <w:tcPr>
            <w:tcW w:w="3686" w:type="dxa"/>
            <w:shd w:val="clear" w:color="auto" w:fill="auto"/>
            <w:noWrap/>
            <w:vAlign w:val="center"/>
          </w:tcPr>
          <w:p>
            <w:pPr>
              <w:widowControl/>
              <w:jc w:val="center"/>
              <w:rPr>
                <w:rFonts w:ascii="Times New Roman" w:hAnsi="Times New Roman"/>
                <w:b/>
                <w:bCs/>
                <w:color w:val="000000"/>
                <w:kern w:val="0"/>
                <w:sz w:val="18"/>
                <w:szCs w:val="18"/>
              </w:rPr>
            </w:pPr>
            <w:r>
              <w:rPr>
                <w:rFonts w:ascii="Times New Roman" w:hAnsi="Times New Roman"/>
                <w:b/>
                <w:bCs/>
                <w:color w:val="000000"/>
                <w:kern w:val="0"/>
                <w:sz w:val="18"/>
                <w:szCs w:val="18"/>
              </w:rPr>
              <w:t>标准名称</w:t>
            </w:r>
          </w:p>
        </w:tc>
        <w:tc>
          <w:tcPr>
            <w:tcW w:w="1955" w:type="dxa"/>
            <w:shd w:val="clear" w:color="auto" w:fill="auto"/>
            <w:noWrap/>
            <w:vAlign w:val="center"/>
          </w:tcPr>
          <w:p>
            <w:pPr>
              <w:widowControl/>
              <w:jc w:val="center"/>
              <w:rPr>
                <w:rFonts w:ascii="Times New Roman" w:hAnsi="Times New Roman"/>
                <w:b/>
                <w:bCs/>
                <w:color w:val="000000"/>
                <w:kern w:val="0"/>
                <w:sz w:val="18"/>
                <w:szCs w:val="18"/>
              </w:rPr>
            </w:pPr>
            <w:r>
              <w:rPr>
                <w:rFonts w:ascii="Times New Roman" w:hAnsi="Times New Roman"/>
                <w:b/>
                <w:bCs/>
                <w:color w:val="000000"/>
                <w:kern w:val="0"/>
                <w:sz w:val="18"/>
                <w:szCs w:val="18"/>
              </w:rPr>
              <w:t>标准号</w:t>
            </w:r>
          </w:p>
        </w:tc>
        <w:tc>
          <w:tcPr>
            <w:tcW w:w="1020" w:type="dxa"/>
            <w:shd w:val="clear" w:color="auto" w:fill="auto"/>
            <w:noWrap/>
            <w:vAlign w:val="center"/>
          </w:tcPr>
          <w:p>
            <w:pPr>
              <w:widowControl/>
              <w:jc w:val="center"/>
              <w:rPr>
                <w:rFonts w:ascii="Times New Roman" w:hAnsi="Times New Roman"/>
                <w:b/>
                <w:bCs/>
                <w:color w:val="000000"/>
                <w:kern w:val="0"/>
                <w:sz w:val="18"/>
                <w:szCs w:val="18"/>
              </w:rPr>
            </w:pPr>
            <w:r>
              <w:rPr>
                <w:rFonts w:ascii="Times New Roman" w:hAnsi="Times New Roman"/>
                <w:b/>
                <w:bCs/>
                <w:color w:val="000000"/>
                <w:kern w:val="0"/>
                <w:sz w:val="18"/>
                <w:szCs w:val="18"/>
              </w:rPr>
              <w:t>企业边界限值</w:t>
            </w:r>
            <w:r>
              <w:rPr>
                <w:rFonts w:hint="eastAsia" w:ascii="Times New Roman" w:hAnsi="Times New Roman"/>
                <w:b/>
                <w:bCs/>
                <w:color w:val="000000"/>
                <w:kern w:val="0"/>
                <w:sz w:val="18"/>
                <w:szCs w:val="18"/>
              </w:rPr>
              <w:t>（mg/m</w:t>
            </w:r>
            <w:r>
              <w:rPr>
                <w:rFonts w:hint="eastAsia" w:ascii="Times New Roman" w:hAnsi="Times New Roman"/>
                <w:b/>
                <w:bCs/>
                <w:color w:val="000000"/>
                <w:kern w:val="0"/>
                <w:sz w:val="18"/>
                <w:szCs w:val="18"/>
                <w:vertAlign w:val="superscript"/>
              </w:rPr>
              <w:t>3</w:t>
            </w:r>
            <w:r>
              <w:rPr>
                <w:rFonts w:hint="eastAsia" w:ascii="Times New Roman" w:hAnsi="Times New Roman"/>
                <w:b/>
                <w:bCs/>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restart"/>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大气综合标准</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国家</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大气污染物综合排放标准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GB 16297-1996</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广东</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大气污染物排放限值</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44/ 27—2001</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江苏</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大气污染物综合排放标准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32</w:t>
            </w:r>
            <w:r>
              <w:rPr>
                <w:rFonts w:hint="eastAsia" w:ascii="Times New Roman" w:hAnsi="Times New Roman"/>
                <w:color w:val="000000"/>
                <w:kern w:val="0"/>
                <w:sz w:val="18"/>
                <w:szCs w:val="18"/>
              </w:rPr>
              <w:t>/</w:t>
            </w:r>
            <w:r>
              <w:rPr>
                <w:rFonts w:ascii="Times New Roman" w:hAnsi="Times New Roman"/>
                <w:color w:val="000000"/>
                <w:kern w:val="0"/>
                <w:sz w:val="18"/>
                <w:szCs w:val="18"/>
              </w:rPr>
              <w:t>4041-2021</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北京</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大气污染物综合排放标准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11-501-2017</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上海</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大气污染物综合排放标准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31/933—2015</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重庆</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大气污染物综合排放标准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50/418－2016</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厦门</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厦门市大气污染物排放标准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35/323-2011</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restart"/>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VOCs综合标准</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天津</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工业企业挥发性有机物排放控制标准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12/ 524—2014</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河北</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工业企业挥发性有机物排放控制标准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13/ 2322—2016</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陕西</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陕西省挥发性有机物排放控制标准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61/T 1061-2017</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四川</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四川省固定污染源大气挥发性有机物排放标准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51/ 2377—2017</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福建</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工业企业挥发性有机物排放标准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35/1782—2018</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山东</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挥发性有机物排放标准</w:t>
            </w:r>
            <w:r>
              <w:rPr>
                <w:rFonts w:ascii="Times New Roman" w:hAnsi="Times New Roman"/>
                <w:color w:val="000000"/>
                <w:kern w:val="0"/>
                <w:sz w:val="18"/>
                <w:szCs w:val="18"/>
              </w:rPr>
              <w:br w:type="textWrapping"/>
            </w:r>
            <w:r>
              <w:rPr>
                <w:rFonts w:ascii="Times New Roman" w:hAnsi="Times New Roman"/>
                <w:color w:val="000000"/>
                <w:kern w:val="0"/>
                <w:sz w:val="18"/>
                <w:szCs w:val="18"/>
              </w:rPr>
              <w:t>第7部分：其他行业</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37/ 2801.7—2018</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restart"/>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炼油与石化</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国家</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石油炼制工业污染物排放标准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GB 31570-2015</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国家</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石油化学工业污染物排放标准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GB 31571-2015</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北京</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炼油与石油化学工业大气污染物排放标准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DB11/447-2015</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天津</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工业企业挥发性有机物排放控制标准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12/ 524—2014</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河北</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工业企业挥发性有机物排放控制标准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13/ 2322—2016</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四川</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四川省固定污染源大气挥发性有机物排放标准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51/ 2377—2017</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restart"/>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化学工业</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北京</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有机化学品制造业大气污染物排放标准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11/ 1385—2017</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山东</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挥发性有机物排放标准 第6部分：有机化工行业</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37/ 2801.6—2018</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河北</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工业企业挥发性有机物排放控制标准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13/ 2322—2016</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江苏</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化学工业挥发性有机物排放标准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32/3151—2016</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restart"/>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涂料、油墨及染料制造业</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国家</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涂料、油墨及胶黏剂工业大气污染物排放标准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35/1782—2018</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上海</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涂料、油墨及其类似产品制造工业大气污染物排放标准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31 881-2015</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restart"/>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印刷业</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国家</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印刷包装业大气污染物排放标准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征求意见稿</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广东</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广东省印刷行业VOCs排放标准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44 815-2010</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北京</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印刷业挥发性有机物排放标准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11/1201-2015</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上海</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印刷业大气污染物排放标准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31 872-2015</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山东</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挥发性有机物排放标准 第4部分：印刷业</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37/ 2801.4—2017</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福建</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印刷行业挥发性有机物排放标准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35/ 1784—2018</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重庆</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包装印刷业大气污染物排放标准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50/758—2017</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restart"/>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家具制造业</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广东</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广东省家具制造行业VOCs排放标准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44 814-2010</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北京</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木质家具制造业大气污染物排放标准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11/1202-2015</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上海</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家具制造业大气污染物排放标准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 xml:space="preserve">DB 31 1059—2017 </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山东</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挥发性有机物排放标准 第3部分：家具制造业</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37/ 2801.3—2017</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重庆</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家具制造业大气污染物排放标准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50/757—2017</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福建</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工业涂装工序挥发性有机物排放标准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35/ 1783—2018</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restart"/>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汽车制造业</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广东</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表面涂装（汽车制造业）VOCs排放标准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44 816-2010</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北京</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汽车整车制造业（涂装工序）大气污染物排放标准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11/ 1227-2015</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上海</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汽车制造业（涂装）大气污染物排放标准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31 859-2014</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山东</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挥发性有机物排放标准 第1部分：汽车制造业</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DB37/ 2801.1－2016</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江苏</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表面涂装（汽车制造业）挥发性有机物排放标准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32 2862—2016</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重庆</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汽车整车制造表面涂装大气污染物排放标准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50 577-2015</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重庆</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摩托车及汽车配件制造表面涂装大气污染物排放标准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 xml:space="preserve">DB 50 660-2016 </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restart"/>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工业涂装工序</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北京</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工业涂装工序挥发性有机物排放标准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11/ 1226-2015</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山东</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挥发性有机物排放标准 第5部分：表面涂装行业</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37/ 2801.5—2018</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浙江</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工业涂装工序大气污染物排放标准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33 2146-2018</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福建</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工业涂装工序挥发性有机物排放标准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35/ 1783—2018</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restart"/>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医药制造业</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国家</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制药工业大气污染物排放标准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GB 37823—2019</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上海</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生物制药行业污染物排放标准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31 373-2010</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浙江</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生物制药工业污染物排放标准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33 923-2014</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浙江</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化学合成类制药工业大气污染物排放标准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33 2015</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集装箱</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广东</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广东省集装箱制造业VOCs排放标准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44 1837-2016</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restart"/>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制鞋工业</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广东</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广东省制鞋行业VOCs排放标准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44 817-2010</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浙江</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制鞋工业大气污染排放标准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33 2046—2017</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restart"/>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电子工业</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国家</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电子工业污染物排放标准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（二次征求意见稿）</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广东</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电子工业挥发性有机物排放标准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征求意见稿</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restart"/>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纺织印染</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国家</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纺织印染工业大气污染物排放标准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征求意见稿</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浙江</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纺织染整工业大气污染物排放标准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33 962-2015</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restart"/>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汽车维修业</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北京</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汽车维修业大气污染物排放标准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11/1228-2015</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重庆</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汽车维修业大气污染物排放标准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50 661-2016</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restart"/>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船舶工业</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上海</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船舶工业大气污染物排放标准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31/934—2015</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福建</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工业涂装工序挥发性有机物排放标准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35/ 1783—2018</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合成革与人造革</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国家</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合成革与人造革工业污染物排放标准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GB 21902—2008</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合成树脂</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国家</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合成树脂工业污染物排放标准</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GB 31572-2015</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铝型材行业</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山东</w:t>
            </w:r>
          </w:p>
        </w:tc>
        <w:tc>
          <w:tcPr>
            <w:tcW w:w="368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挥发性有机物排放标准 第2部分： 铝型材工业</w:t>
            </w:r>
          </w:p>
        </w:tc>
        <w:tc>
          <w:tcPr>
            <w:tcW w:w="195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37/ 2801.2—2018</w:t>
            </w:r>
          </w:p>
        </w:tc>
        <w:tc>
          <w:tcPr>
            <w:tcW w:w="102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bl>
    <w:p>
      <w:pPr>
        <w:pStyle w:val="68"/>
        <w:rPr>
          <w:rFonts w:cs="Times New Roman"/>
        </w:rPr>
      </w:pPr>
      <w:r>
        <w:rPr>
          <w:rFonts w:hint="eastAsia" w:cs="Times New Roman"/>
        </w:rPr>
        <w:t>国内相关标准中苯的企业边界限值如表7-</w:t>
      </w:r>
      <w:r>
        <w:rPr>
          <w:rFonts w:cs="Times New Roman"/>
        </w:rPr>
        <w:t>13</w:t>
      </w:r>
      <w:r>
        <w:rPr>
          <w:rFonts w:hint="eastAsia" w:cs="Times New Roman"/>
        </w:rPr>
        <w:t>所示，</w:t>
      </w:r>
      <w:r>
        <w:rPr>
          <w:rFonts w:cs="Times New Roman"/>
        </w:rPr>
        <w:t>国家、广东省和</w:t>
      </w:r>
      <w:r>
        <w:rPr>
          <w:rFonts w:hint="eastAsia" w:cs="Times New Roman"/>
        </w:rPr>
        <w:t>重庆</w:t>
      </w:r>
      <w:r>
        <w:rPr>
          <w:rFonts w:cs="Times New Roman"/>
        </w:rPr>
        <w:t>市大气污染物综合排放标准中</w:t>
      </w:r>
      <w:r>
        <w:rPr>
          <w:rFonts w:hint="eastAsia" w:cs="Times New Roman"/>
        </w:rPr>
        <w:t>苯</w:t>
      </w:r>
      <w:r>
        <w:rPr>
          <w:rFonts w:cs="Times New Roman"/>
        </w:rPr>
        <w:t>的</w:t>
      </w:r>
      <w:r>
        <w:rPr>
          <w:rFonts w:hint="eastAsia" w:cs="Times New Roman"/>
        </w:rPr>
        <w:t>企业边界</w:t>
      </w:r>
      <w:r>
        <w:rPr>
          <w:rFonts w:cs="Times New Roman"/>
        </w:rPr>
        <w:t>限值均为0.4 mg/m</w:t>
      </w:r>
      <w:r>
        <w:rPr>
          <w:rFonts w:cs="Times New Roman"/>
          <w:vertAlign w:val="superscript"/>
        </w:rPr>
        <w:t>3</w:t>
      </w:r>
      <w:r>
        <w:rPr>
          <w:rFonts w:cs="Times New Roman"/>
        </w:rPr>
        <w:t>，</w:t>
      </w:r>
      <w:r>
        <w:rPr>
          <w:rFonts w:hint="eastAsia" w:cs="Times New Roman"/>
        </w:rPr>
        <w:t>其他省市</w:t>
      </w:r>
      <w:r>
        <w:rPr>
          <w:rFonts w:cs="Times New Roman"/>
        </w:rPr>
        <w:t>大气污染物综合排放标准</w:t>
      </w:r>
      <w:r>
        <w:rPr>
          <w:rFonts w:hint="eastAsia" w:cs="Times New Roman"/>
        </w:rPr>
        <w:t>和挥发性有机物综合排放标准中苯的企业边界</w:t>
      </w:r>
      <w:r>
        <w:rPr>
          <w:rFonts w:cs="Times New Roman"/>
        </w:rPr>
        <w:t>限值均为0.1 mg/m</w:t>
      </w:r>
      <w:r>
        <w:rPr>
          <w:rFonts w:cs="Times New Roman"/>
          <w:vertAlign w:val="superscript"/>
        </w:rPr>
        <w:t>3</w:t>
      </w:r>
      <w:r>
        <w:rPr>
          <w:rFonts w:hint="eastAsia" w:cs="Times New Roman"/>
        </w:rPr>
        <w:t>。石油炼制和石油化学工业苯的企业边界</w:t>
      </w:r>
      <w:r>
        <w:rPr>
          <w:rFonts w:cs="Times New Roman"/>
        </w:rPr>
        <w:t>限值</w:t>
      </w:r>
      <w:r>
        <w:rPr>
          <w:rFonts w:hint="eastAsia" w:cs="Times New Roman"/>
        </w:rPr>
        <w:t>普遍较高，为0</w:t>
      </w:r>
      <w:r>
        <w:rPr>
          <w:rFonts w:cs="Times New Roman"/>
        </w:rPr>
        <w:t>.2 mg/m</w:t>
      </w:r>
      <w:r>
        <w:rPr>
          <w:rFonts w:cs="Times New Roman"/>
          <w:vertAlign w:val="superscript"/>
        </w:rPr>
        <w:t>3</w:t>
      </w:r>
      <w:r>
        <w:rPr>
          <w:rFonts w:hint="eastAsia" w:cs="Times New Roman"/>
        </w:rPr>
        <w:t>和0</w:t>
      </w:r>
      <w:r>
        <w:rPr>
          <w:rFonts w:cs="Times New Roman"/>
        </w:rPr>
        <w:t>.4 mg/m</w:t>
      </w:r>
      <w:r>
        <w:rPr>
          <w:rFonts w:cs="Times New Roman"/>
          <w:vertAlign w:val="superscript"/>
        </w:rPr>
        <w:t>3</w:t>
      </w:r>
      <w:r>
        <w:rPr>
          <w:rFonts w:hint="eastAsia" w:cs="Times New Roman"/>
        </w:rPr>
        <w:t>；国家、上海和浙江制药行业苯的企业边界</w:t>
      </w:r>
      <w:r>
        <w:rPr>
          <w:rFonts w:cs="Times New Roman"/>
        </w:rPr>
        <w:t>限值</w:t>
      </w:r>
      <w:r>
        <w:rPr>
          <w:rFonts w:hint="eastAsia" w:cs="Times New Roman"/>
        </w:rPr>
        <w:t>为0</w:t>
      </w:r>
      <w:r>
        <w:rPr>
          <w:rFonts w:cs="Times New Roman"/>
        </w:rPr>
        <w:t>.4 mg/m</w:t>
      </w:r>
      <w:r>
        <w:rPr>
          <w:rFonts w:cs="Times New Roman"/>
          <w:vertAlign w:val="superscript"/>
        </w:rPr>
        <w:t>3</w:t>
      </w:r>
      <w:r>
        <w:rPr>
          <w:rFonts w:hint="eastAsia" w:cs="Times New Roman"/>
        </w:rPr>
        <w:t>；北京市汽车维修业大气污染物排放标准中苯的企业边界</w:t>
      </w:r>
      <w:r>
        <w:rPr>
          <w:rFonts w:cs="Times New Roman"/>
        </w:rPr>
        <w:t>限值</w:t>
      </w:r>
      <w:r>
        <w:rPr>
          <w:rFonts w:hint="eastAsia" w:cs="Times New Roman"/>
        </w:rPr>
        <w:t>为0</w:t>
      </w:r>
      <w:r>
        <w:rPr>
          <w:rFonts w:cs="Times New Roman"/>
        </w:rPr>
        <w:t>.5 mg/m</w:t>
      </w:r>
      <w:r>
        <w:rPr>
          <w:rFonts w:cs="Times New Roman"/>
          <w:vertAlign w:val="superscript"/>
        </w:rPr>
        <w:t>3</w:t>
      </w:r>
      <w:r>
        <w:rPr>
          <w:rFonts w:hint="eastAsia" w:cs="Times New Roman"/>
        </w:rPr>
        <w:t>；国家合成树脂工业污染物排放标准中苯的企业边界</w:t>
      </w:r>
      <w:r>
        <w:rPr>
          <w:rFonts w:cs="Times New Roman"/>
        </w:rPr>
        <w:t>限值</w:t>
      </w:r>
      <w:r>
        <w:rPr>
          <w:rFonts w:hint="eastAsia" w:cs="Times New Roman"/>
        </w:rPr>
        <w:t>为0</w:t>
      </w:r>
      <w:r>
        <w:rPr>
          <w:rFonts w:cs="Times New Roman"/>
        </w:rPr>
        <w:t>.4 mg/m</w:t>
      </w:r>
      <w:r>
        <w:rPr>
          <w:rFonts w:cs="Times New Roman"/>
          <w:vertAlign w:val="superscript"/>
        </w:rPr>
        <w:t>3</w:t>
      </w:r>
      <w:r>
        <w:rPr>
          <w:rFonts w:hint="eastAsia" w:cs="Times New Roman"/>
        </w:rPr>
        <w:t>；浙江纺织染整工业大气污染物排放标准中苯的企业边界</w:t>
      </w:r>
      <w:r>
        <w:rPr>
          <w:rFonts w:cs="Times New Roman"/>
        </w:rPr>
        <w:t>限值</w:t>
      </w:r>
      <w:r>
        <w:rPr>
          <w:rFonts w:hint="eastAsia" w:cs="Times New Roman"/>
        </w:rPr>
        <w:t>为0</w:t>
      </w:r>
      <w:r>
        <w:rPr>
          <w:rFonts w:cs="Times New Roman"/>
        </w:rPr>
        <w:t>.2 mg/m</w:t>
      </w:r>
      <w:r>
        <w:rPr>
          <w:rFonts w:cs="Times New Roman"/>
          <w:vertAlign w:val="superscript"/>
        </w:rPr>
        <w:t>3</w:t>
      </w:r>
      <w:r>
        <w:rPr>
          <w:rFonts w:hint="eastAsia" w:cs="Times New Roman"/>
        </w:rPr>
        <w:t>；其他行业国家和各省市相关标准中苯的企业边界</w:t>
      </w:r>
      <w:r>
        <w:rPr>
          <w:rFonts w:cs="Times New Roman"/>
        </w:rPr>
        <w:t>限值</w:t>
      </w:r>
      <w:r>
        <w:rPr>
          <w:rFonts w:hint="eastAsia" w:cs="Times New Roman"/>
        </w:rPr>
        <w:t>均为0</w:t>
      </w:r>
      <w:r>
        <w:rPr>
          <w:rFonts w:cs="Times New Roman"/>
        </w:rPr>
        <w:t>.1 mg/m</w:t>
      </w:r>
      <w:r>
        <w:rPr>
          <w:rFonts w:cs="Times New Roman"/>
          <w:vertAlign w:val="superscript"/>
        </w:rPr>
        <w:t>3</w:t>
      </w:r>
      <w:r>
        <w:rPr>
          <w:rFonts w:hint="eastAsia" w:cs="Times New Roman"/>
        </w:rPr>
        <w:t>。因此，从健康防护角度考虑，进一步结合国内及各省市相关标准限值要求，本标准苯的企业边界</w:t>
      </w:r>
      <w:r>
        <w:rPr>
          <w:rFonts w:cs="Times New Roman"/>
        </w:rPr>
        <w:t>限值</w:t>
      </w:r>
      <w:r>
        <w:rPr>
          <w:rFonts w:hint="eastAsia" w:cs="Times New Roman"/>
        </w:rPr>
        <w:t>确定为为0</w:t>
      </w:r>
      <w:r>
        <w:rPr>
          <w:rFonts w:cs="Times New Roman"/>
        </w:rPr>
        <w:t>.1 mg/m</w:t>
      </w:r>
      <w:r>
        <w:rPr>
          <w:rFonts w:cs="Times New Roman"/>
          <w:vertAlign w:val="superscript"/>
        </w:rPr>
        <w:t>3</w:t>
      </w:r>
      <w:r>
        <w:rPr>
          <w:rFonts w:hint="eastAsia" w:cs="Times New Roman"/>
        </w:rPr>
        <w:t>。</w:t>
      </w:r>
    </w:p>
    <w:p>
      <w:pPr>
        <w:pStyle w:val="68"/>
        <w:ind w:firstLine="482"/>
        <w:rPr>
          <w:rFonts w:cs="Times New Roman"/>
          <w:b/>
          <w:bCs/>
        </w:rPr>
      </w:pPr>
      <w:r>
        <w:rPr>
          <w:rFonts w:cs="Times New Roman"/>
          <w:b/>
          <w:bCs/>
        </w:rPr>
        <w:t>2. 甲醛</w:t>
      </w:r>
    </w:p>
    <w:p>
      <w:pPr>
        <w:pStyle w:val="68"/>
        <w:rPr>
          <w:rFonts w:cs="Times New Roman"/>
        </w:rPr>
      </w:pPr>
      <w:r>
        <w:rPr>
          <w:rFonts w:cs="Times New Roman"/>
        </w:rPr>
        <w:t>甲醛的主要危害表现为对皮肤粘膜的刺激作用。甲醛在室内达到一定浓度时，人就有不适感，大于0.08 mg/m³的甲醛浓度可引起眼红、眼痒、咽喉不适或疼痛、声音嘶哑、喷嚏、胸闷、气喘、皮炎等。甲醛有刺激性气味，低浓度即可嗅到，人对甲醛的嗅觉阈通常是0.06</w:t>
      </w:r>
      <w:r>
        <w:rPr>
          <w:rFonts w:hint="eastAsia" w:cs="Times New Roman"/>
        </w:rPr>
        <w:t>~</w:t>
      </w:r>
      <w:r>
        <w:rPr>
          <w:rFonts w:cs="Times New Roman"/>
        </w:rPr>
        <w:t>0.07mg/m</w:t>
      </w:r>
      <w:r>
        <w:rPr>
          <w:rFonts w:cs="Times New Roman"/>
          <w:vertAlign w:val="superscript"/>
        </w:rPr>
        <w:t>3</w:t>
      </w:r>
      <w:r>
        <w:rPr>
          <w:rFonts w:cs="Times New Roman"/>
        </w:rPr>
        <w:t>。长期、低浓度接触甲醛会引起头痛、头晕、乏力、感觉障碍、免疫力降低，并可出现瞌睡、记忆力减退或神经衰弱、精神抑郁；慢性中毒对呼吸系统的危害也是巨大的，长期接触甲醛可引发呼吸功能障碍和肝中毒性病变，表现为肝细胞损伤、肝辐射能异常等。</w:t>
      </w:r>
    </w:p>
    <w:p>
      <w:pPr>
        <w:pStyle w:val="13"/>
        <w:spacing w:before="156" w:beforeLines="50" w:after="156" w:afterLines="50"/>
      </w:pPr>
      <w:r>
        <w:t>表7-14  国内外相关标准甲醛</w:t>
      </w:r>
      <w:r>
        <w:rPr>
          <w:rFonts w:hint="eastAsia"/>
        </w:rPr>
        <w:t>的企业边界</w:t>
      </w:r>
      <w:r>
        <w:t>限值</w:t>
      </w:r>
    </w:p>
    <w:tbl>
      <w:tblPr>
        <w:tblStyle w:val="34"/>
        <w:tblW w:w="8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1"/>
        <w:gridCol w:w="680"/>
        <w:gridCol w:w="3685"/>
        <w:gridCol w:w="1956"/>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91"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b/>
                <w:bCs/>
                <w:color w:val="000000"/>
                <w:kern w:val="0"/>
                <w:sz w:val="18"/>
                <w:szCs w:val="18"/>
              </w:rPr>
              <w:t>行业类别</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b/>
                <w:bCs/>
                <w:color w:val="000000"/>
                <w:kern w:val="0"/>
                <w:sz w:val="18"/>
                <w:szCs w:val="18"/>
              </w:rPr>
              <w:t>国家/省市</w:t>
            </w:r>
          </w:p>
        </w:tc>
        <w:tc>
          <w:tcPr>
            <w:tcW w:w="3685"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b/>
                <w:bCs/>
                <w:color w:val="000000"/>
                <w:kern w:val="0"/>
                <w:sz w:val="18"/>
                <w:szCs w:val="18"/>
              </w:rPr>
              <w:t>标准名称</w:t>
            </w:r>
          </w:p>
        </w:tc>
        <w:tc>
          <w:tcPr>
            <w:tcW w:w="1956"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b/>
                <w:bCs/>
                <w:color w:val="000000"/>
                <w:kern w:val="0"/>
                <w:sz w:val="18"/>
                <w:szCs w:val="18"/>
              </w:rPr>
              <w:t>标准号</w:t>
            </w:r>
          </w:p>
        </w:tc>
        <w:tc>
          <w:tcPr>
            <w:tcW w:w="1078"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b/>
                <w:bCs/>
                <w:color w:val="000000"/>
                <w:kern w:val="0"/>
                <w:sz w:val="18"/>
                <w:szCs w:val="18"/>
              </w:rPr>
              <w:t>企业边界限值</w:t>
            </w:r>
            <w:r>
              <w:rPr>
                <w:rFonts w:hint="eastAsia" w:ascii="Times New Roman" w:hAnsi="Times New Roman"/>
                <w:b/>
                <w:bCs/>
                <w:color w:val="000000"/>
                <w:kern w:val="0"/>
                <w:sz w:val="18"/>
                <w:szCs w:val="18"/>
              </w:rPr>
              <w:t>（mg/m</w:t>
            </w:r>
            <w:r>
              <w:rPr>
                <w:rFonts w:hint="eastAsia" w:ascii="Times New Roman" w:hAnsi="Times New Roman"/>
                <w:b/>
                <w:bCs/>
                <w:color w:val="000000"/>
                <w:kern w:val="0"/>
                <w:sz w:val="18"/>
                <w:szCs w:val="18"/>
                <w:vertAlign w:val="superscript"/>
              </w:rPr>
              <w:t>3</w:t>
            </w:r>
            <w:r>
              <w:rPr>
                <w:rFonts w:hint="eastAsia" w:ascii="Times New Roman" w:hAnsi="Times New Roman"/>
                <w:b/>
                <w:bCs/>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restart"/>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大气综合标准</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国家</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大气污染物综合排放标准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GB  16297-1996</w:t>
            </w:r>
          </w:p>
        </w:tc>
        <w:tc>
          <w:tcPr>
            <w:tcW w:w="1078"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广东</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大气污染物排放限值</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DB44/ 27—2001</w:t>
            </w:r>
          </w:p>
        </w:tc>
        <w:tc>
          <w:tcPr>
            <w:tcW w:w="1078"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江苏</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大气污染物综合排放标准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32</w:t>
            </w:r>
            <w:r>
              <w:rPr>
                <w:rFonts w:hint="eastAsia" w:ascii="Times New Roman" w:hAnsi="Times New Roman"/>
                <w:color w:val="000000"/>
                <w:kern w:val="0"/>
                <w:sz w:val="18"/>
                <w:szCs w:val="18"/>
              </w:rPr>
              <w:t>/</w:t>
            </w:r>
            <w:r>
              <w:rPr>
                <w:rFonts w:ascii="Times New Roman" w:hAnsi="Times New Roman"/>
                <w:color w:val="000000"/>
                <w:kern w:val="0"/>
                <w:sz w:val="18"/>
                <w:szCs w:val="18"/>
              </w:rPr>
              <w:t>4041-2021</w:t>
            </w:r>
          </w:p>
        </w:tc>
        <w:tc>
          <w:tcPr>
            <w:tcW w:w="1078"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北京</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大气污染物综合排放标准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DB11-501-2017</w:t>
            </w:r>
          </w:p>
        </w:tc>
        <w:tc>
          <w:tcPr>
            <w:tcW w:w="1078"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上海</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大气污染物综合排放标准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DB31/933—2015</w:t>
            </w:r>
          </w:p>
        </w:tc>
        <w:tc>
          <w:tcPr>
            <w:tcW w:w="1078"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重庆</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大气污染物综合排放标准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50/418－2016</w:t>
            </w:r>
          </w:p>
        </w:tc>
        <w:tc>
          <w:tcPr>
            <w:tcW w:w="1078"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restart"/>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VOCs综合标准</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河北</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工业企业挥发性有机物排放控制标准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13/ 2322—2016</w:t>
            </w:r>
          </w:p>
        </w:tc>
        <w:tc>
          <w:tcPr>
            <w:tcW w:w="1078"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四川</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四川省固定污染源大气挥发性有机物排放标准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DB51/ 2377—2017</w:t>
            </w:r>
          </w:p>
        </w:tc>
        <w:tc>
          <w:tcPr>
            <w:tcW w:w="1078"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福建</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工业企业挥发性有机物排放标准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DB35/1782—2018</w:t>
            </w:r>
          </w:p>
        </w:tc>
        <w:tc>
          <w:tcPr>
            <w:tcW w:w="1078"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山东</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挥发性有机物排放标准</w:t>
            </w:r>
            <w:r>
              <w:rPr>
                <w:rFonts w:ascii="Times New Roman" w:hAnsi="Times New Roman"/>
                <w:color w:val="000000"/>
                <w:kern w:val="0"/>
                <w:sz w:val="18"/>
                <w:szCs w:val="18"/>
              </w:rPr>
              <w:br w:type="textWrapping"/>
            </w:r>
            <w:r>
              <w:rPr>
                <w:rFonts w:ascii="Times New Roman" w:hAnsi="Times New Roman"/>
                <w:color w:val="000000"/>
                <w:kern w:val="0"/>
                <w:sz w:val="18"/>
                <w:szCs w:val="18"/>
              </w:rPr>
              <w:t>第7部分：其他行业</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37/ 2801.7—2018</w:t>
            </w:r>
          </w:p>
        </w:tc>
        <w:tc>
          <w:tcPr>
            <w:tcW w:w="1078"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化学工业</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江苏</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化学工业挥发性有机物排放标准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DB32/3151—2016</w:t>
            </w:r>
          </w:p>
        </w:tc>
        <w:tc>
          <w:tcPr>
            <w:tcW w:w="1078"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restart"/>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涂料、油墨及染料制造业</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国家</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涂料、油墨及胶黏剂工业大气污染物排放标准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DB35/1782—2018</w:t>
            </w:r>
          </w:p>
        </w:tc>
        <w:tc>
          <w:tcPr>
            <w:tcW w:w="1078"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上海</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涂料、油墨及其类似产品制造工业大气污染物排放标准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31 881-2015</w:t>
            </w:r>
          </w:p>
        </w:tc>
        <w:tc>
          <w:tcPr>
            <w:tcW w:w="1078"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陕西</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陕西省挥发性有机物排放控制标准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DB61/T 1061-2017</w:t>
            </w:r>
          </w:p>
        </w:tc>
        <w:tc>
          <w:tcPr>
            <w:tcW w:w="1078"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restart"/>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家具制造业</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上海</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家具制造业大气污染物排放标准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 xml:space="preserve">DB 31 1059—2017 </w:t>
            </w:r>
          </w:p>
        </w:tc>
        <w:tc>
          <w:tcPr>
            <w:tcW w:w="1078"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重庆</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家具制造业大气污染物排放标准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50/757—2017</w:t>
            </w:r>
          </w:p>
        </w:tc>
        <w:tc>
          <w:tcPr>
            <w:tcW w:w="1078"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福建</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工业涂装工序挥发性有机物排放标准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DB35/ 1783—2018</w:t>
            </w:r>
          </w:p>
        </w:tc>
        <w:tc>
          <w:tcPr>
            <w:tcW w:w="1078"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restart"/>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工业涂装工序</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浙江</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工业涂装工序大气污染物排放标准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33 2146-2018</w:t>
            </w:r>
          </w:p>
        </w:tc>
        <w:tc>
          <w:tcPr>
            <w:tcW w:w="1078"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福建</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工业涂装工序挥发性有机物排放标准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DB35/ 1783—2018</w:t>
            </w:r>
          </w:p>
        </w:tc>
        <w:tc>
          <w:tcPr>
            <w:tcW w:w="1078"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restart"/>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医药制造业</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国家</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制药工业大气污染物排放标准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GB  37823—2019</w:t>
            </w:r>
          </w:p>
        </w:tc>
        <w:tc>
          <w:tcPr>
            <w:tcW w:w="1078"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上海</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生物制药行业污染物排放标准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31 373-2010</w:t>
            </w:r>
          </w:p>
        </w:tc>
        <w:tc>
          <w:tcPr>
            <w:tcW w:w="1078"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浙江</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生物制药工业污染物排放标准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33 923-2014</w:t>
            </w:r>
          </w:p>
        </w:tc>
        <w:tc>
          <w:tcPr>
            <w:tcW w:w="1078"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浙江</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化学合成类制药工业大气污染物排放标准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33 2015</w:t>
            </w:r>
          </w:p>
        </w:tc>
        <w:tc>
          <w:tcPr>
            <w:tcW w:w="1078"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restart"/>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纺织印染</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国家</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纺织印染工业大气污染物排放标准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征求意见稿</w:t>
            </w:r>
          </w:p>
        </w:tc>
        <w:tc>
          <w:tcPr>
            <w:tcW w:w="1078"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浙江</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纺织染整工业大气污染物排放标准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33 962-2015</w:t>
            </w:r>
          </w:p>
        </w:tc>
        <w:tc>
          <w:tcPr>
            <w:tcW w:w="1078"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人造板工业</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国家</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人造板工业污染物排放标准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（征求意见稿）</w:t>
            </w:r>
          </w:p>
        </w:tc>
        <w:tc>
          <w:tcPr>
            <w:tcW w:w="1078"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0.2</w:t>
            </w:r>
          </w:p>
        </w:tc>
      </w:tr>
    </w:tbl>
    <w:p>
      <w:pPr>
        <w:pStyle w:val="68"/>
        <w:rPr>
          <w:rFonts w:cs="Times New Roman"/>
        </w:rPr>
      </w:pPr>
      <w:r>
        <w:rPr>
          <w:rFonts w:hint="eastAsia" w:cs="Times New Roman"/>
        </w:rPr>
        <w:t>国内标准中甲醛的企业边界</w:t>
      </w:r>
      <w:r>
        <w:rPr>
          <w:rFonts w:cs="Times New Roman"/>
        </w:rPr>
        <w:t>限值比较如表7-14所示。国家、广东省和</w:t>
      </w:r>
      <w:r>
        <w:rPr>
          <w:rFonts w:hint="eastAsia" w:cs="Times New Roman"/>
        </w:rPr>
        <w:t>重庆</w:t>
      </w:r>
      <w:r>
        <w:rPr>
          <w:rFonts w:cs="Times New Roman"/>
        </w:rPr>
        <w:t>市大气污染物综合排放标准中</w:t>
      </w:r>
      <w:r>
        <w:rPr>
          <w:rFonts w:hint="eastAsia" w:cs="Times New Roman"/>
        </w:rPr>
        <w:t>甲醛</w:t>
      </w:r>
      <w:r>
        <w:rPr>
          <w:rFonts w:cs="Times New Roman"/>
        </w:rPr>
        <w:t>的</w:t>
      </w:r>
      <w:r>
        <w:rPr>
          <w:rFonts w:hint="eastAsia" w:cs="Times New Roman"/>
        </w:rPr>
        <w:t>企业边界</w:t>
      </w:r>
      <w:r>
        <w:rPr>
          <w:rFonts w:cs="Times New Roman"/>
        </w:rPr>
        <w:t>限值均为0.2 mg/m</w:t>
      </w:r>
      <w:r>
        <w:rPr>
          <w:rFonts w:cs="Times New Roman"/>
          <w:vertAlign w:val="superscript"/>
        </w:rPr>
        <w:t>3</w:t>
      </w:r>
      <w:r>
        <w:rPr>
          <w:rFonts w:hint="eastAsia" w:cs="Times New Roman"/>
        </w:rPr>
        <w:t>；四川和福建省挥发性有机物综合排放标准中甲醛的企业边界</w:t>
      </w:r>
      <w:r>
        <w:rPr>
          <w:rFonts w:cs="Times New Roman"/>
        </w:rPr>
        <w:t>限值均为0.1 mg/m</w:t>
      </w:r>
      <w:r>
        <w:rPr>
          <w:rFonts w:cs="Times New Roman"/>
          <w:vertAlign w:val="superscript"/>
        </w:rPr>
        <w:t>3</w:t>
      </w:r>
      <w:r>
        <w:rPr>
          <w:rFonts w:hint="eastAsia" w:cs="Times New Roman"/>
        </w:rPr>
        <w:t>；其他省市</w:t>
      </w:r>
      <w:r>
        <w:rPr>
          <w:rFonts w:cs="Times New Roman"/>
        </w:rPr>
        <w:t>大气污染物综合排放标准</w:t>
      </w:r>
      <w:r>
        <w:rPr>
          <w:rFonts w:hint="eastAsia" w:cs="Times New Roman"/>
        </w:rPr>
        <w:t>和挥发性有机物综合排放标准中甲醛的企业边界</w:t>
      </w:r>
      <w:r>
        <w:rPr>
          <w:rFonts w:cs="Times New Roman"/>
        </w:rPr>
        <w:t>限值均为0.05 mg/m</w:t>
      </w:r>
      <w:r>
        <w:rPr>
          <w:rFonts w:cs="Times New Roman"/>
          <w:vertAlign w:val="superscript"/>
        </w:rPr>
        <w:t>3</w:t>
      </w:r>
      <w:r>
        <w:rPr>
          <w:rFonts w:hint="eastAsia" w:cs="Times New Roman"/>
        </w:rPr>
        <w:t>。家具制造、工业涂装、医药制造、印染纺织和人造板工业相关标准中甲醛的企业边界</w:t>
      </w:r>
      <w:r>
        <w:rPr>
          <w:rFonts w:cs="Times New Roman"/>
        </w:rPr>
        <w:t>限值</w:t>
      </w:r>
      <w:r>
        <w:rPr>
          <w:rFonts w:hint="eastAsia" w:cs="Times New Roman"/>
        </w:rPr>
        <w:t>普遍较高，多为0</w:t>
      </w:r>
      <w:r>
        <w:rPr>
          <w:rFonts w:cs="Times New Roman"/>
        </w:rPr>
        <w:t>.2 mg/m</w:t>
      </w:r>
      <w:r>
        <w:rPr>
          <w:rFonts w:cs="Times New Roman"/>
          <w:vertAlign w:val="superscript"/>
        </w:rPr>
        <w:t>3</w:t>
      </w:r>
      <w:r>
        <w:rPr>
          <w:rFonts w:hint="eastAsia" w:cs="Times New Roman"/>
        </w:rPr>
        <w:t>；江苏省化学工业挥发性有机物排放标准中甲醛的企业边界</w:t>
      </w:r>
      <w:r>
        <w:rPr>
          <w:rFonts w:cs="Times New Roman"/>
        </w:rPr>
        <w:t>限值</w:t>
      </w:r>
      <w:r>
        <w:rPr>
          <w:rFonts w:hint="eastAsia" w:cs="Times New Roman"/>
        </w:rPr>
        <w:t>为0</w:t>
      </w:r>
      <w:r>
        <w:rPr>
          <w:rFonts w:cs="Times New Roman"/>
        </w:rPr>
        <w:t>.05 mg/m</w:t>
      </w:r>
      <w:r>
        <w:rPr>
          <w:rFonts w:cs="Times New Roman"/>
          <w:vertAlign w:val="superscript"/>
        </w:rPr>
        <w:t>3</w:t>
      </w:r>
      <w:r>
        <w:rPr>
          <w:rFonts w:hint="eastAsia" w:cs="Times New Roman"/>
        </w:rPr>
        <w:t>；国家、上海和陕西涂料、油墨及其类似产品制造工业排放标准中甲醛的企业边界</w:t>
      </w:r>
      <w:r>
        <w:rPr>
          <w:rFonts w:cs="Times New Roman"/>
        </w:rPr>
        <w:t>限值</w:t>
      </w:r>
      <w:r>
        <w:rPr>
          <w:rFonts w:hint="eastAsia" w:cs="Times New Roman"/>
        </w:rPr>
        <w:t>为0</w:t>
      </w:r>
      <w:r>
        <w:rPr>
          <w:rFonts w:cs="Times New Roman"/>
        </w:rPr>
        <w:t>.05 mg/m</w:t>
      </w:r>
      <w:r>
        <w:rPr>
          <w:rFonts w:cs="Times New Roman"/>
          <w:vertAlign w:val="superscript"/>
        </w:rPr>
        <w:t>3</w:t>
      </w:r>
      <w:r>
        <w:rPr>
          <w:rFonts w:hint="eastAsia" w:cs="Times New Roman"/>
        </w:rPr>
        <w:t>。甲醛做为致癌物，其排放应从严控制，同时考虑到综合排放标准涉及行业面广，部分行业的排放控制仍需提高，因此，本标准甲醛的企业边界</w:t>
      </w:r>
      <w:r>
        <w:rPr>
          <w:rFonts w:cs="Times New Roman"/>
        </w:rPr>
        <w:t>限值</w:t>
      </w:r>
      <w:r>
        <w:rPr>
          <w:rFonts w:hint="eastAsia" w:cs="Times New Roman"/>
        </w:rPr>
        <w:t>确定为0</w:t>
      </w:r>
      <w:r>
        <w:rPr>
          <w:rFonts w:cs="Times New Roman"/>
        </w:rPr>
        <w:t>.1 mg/m</w:t>
      </w:r>
      <w:r>
        <w:rPr>
          <w:rFonts w:cs="Times New Roman"/>
          <w:vertAlign w:val="superscript"/>
        </w:rPr>
        <w:t>3</w:t>
      </w:r>
      <w:r>
        <w:rPr>
          <w:rFonts w:hint="eastAsia" w:cs="Times New Roman"/>
        </w:rPr>
        <w:t>。</w:t>
      </w:r>
    </w:p>
    <w:p>
      <w:pPr>
        <w:pStyle w:val="68"/>
        <w:ind w:firstLine="482"/>
        <w:rPr>
          <w:rFonts w:cs="Times New Roman"/>
          <w:b/>
          <w:bCs/>
        </w:rPr>
      </w:pPr>
      <w:r>
        <w:rPr>
          <w:rFonts w:cs="Times New Roman"/>
          <w:b/>
          <w:bCs/>
        </w:rPr>
        <w:t>3 丙烯醛</w:t>
      </w:r>
    </w:p>
    <w:p>
      <w:pPr>
        <w:pStyle w:val="68"/>
        <w:rPr>
          <w:rFonts w:cs="Times New Roman"/>
        </w:rPr>
      </w:pPr>
      <w:r>
        <w:rPr>
          <w:rFonts w:cs="Times New Roman"/>
        </w:rPr>
        <w:t>丙烯醛是最简单的不饱和醛，化学式为C</w:t>
      </w:r>
      <w:r>
        <w:rPr>
          <w:rFonts w:cs="Times New Roman"/>
          <w:vertAlign w:val="subscript"/>
        </w:rPr>
        <w:t>3</w:t>
      </w:r>
      <w:r>
        <w:rPr>
          <w:rFonts w:cs="Times New Roman"/>
        </w:rPr>
        <w:t>H</w:t>
      </w:r>
      <w:r>
        <w:rPr>
          <w:rFonts w:cs="Times New Roman"/>
          <w:vertAlign w:val="subscript"/>
        </w:rPr>
        <w:t>4</w:t>
      </w:r>
      <w:r>
        <w:rPr>
          <w:rFonts w:cs="Times New Roman"/>
        </w:rPr>
        <w:t>O，在通常情况下是无色透明有恶臭的液体，其蒸气有很强的刺激性和催泪性，有类似油脂烧焦的辛辣臭气。是化工中很重要的合成中间体，广泛用于树脂生产和有机合成中。</w:t>
      </w:r>
      <w:r>
        <w:rPr>
          <w:rFonts w:hint="eastAsia" w:cs="Times New Roman"/>
        </w:rPr>
        <w:t>成</w:t>
      </w:r>
      <w:r>
        <w:rPr>
          <w:rFonts w:cs="Times New Roman"/>
        </w:rPr>
        <w:t>品有强烈刺激性。吸入蒸气损害呼吸道，出现咽喉炎、胸部压迫感、支气管炎；大量吸入可致肺炎、肺水肿，还可出现休克、肾炎及心力衰竭。可致死。液体及蒸气损害眼睛；皮肤接触可致灼伤。口服引起口腔及胃刺激或灼伤。急性暴露损伤呼吸道、眼及皮肤，并引起肺和气管水肿，而且还会导致人体内脂肪代谢失常，致使大量的脂肪堆积在皮下组织中。亚慢性和慢性暴露曾引起猴、狗等试验动物气管和鼻腔内细胞质增生，但未见致癌现象。</w:t>
      </w:r>
    </w:p>
    <w:p>
      <w:pPr>
        <w:pStyle w:val="13"/>
        <w:spacing w:before="156" w:beforeLines="50" w:after="156" w:afterLines="50"/>
      </w:pPr>
      <w:r>
        <w:t>表7-15  国内外相关标准</w:t>
      </w:r>
      <w:r>
        <w:rPr>
          <w:rFonts w:hint="eastAsia"/>
        </w:rPr>
        <w:t>丙烯醛的企业边界</w:t>
      </w:r>
      <w:r>
        <w:t>限值</w:t>
      </w:r>
    </w:p>
    <w:tbl>
      <w:tblPr>
        <w:tblStyle w:val="34"/>
        <w:tblW w:w="85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1"/>
        <w:gridCol w:w="680"/>
        <w:gridCol w:w="3685"/>
        <w:gridCol w:w="1956"/>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91"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b/>
                <w:bCs/>
                <w:color w:val="000000"/>
                <w:kern w:val="0"/>
                <w:sz w:val="18"/>
                <w:szCs w:val="18"/>
              </w:rPr>
              <w:t>行业类别</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b/>
                <w:bCs/>
                <w:color w:val="000000"/>
                <w:kern w:val="0"/>
                <w:sz w:val="18"/>
                <w:szCs w:val="18"/>
              </w:rPr>
              <w:t>国家/省市</w:t>
            </w:r>
          </w:p>
        </w:tc>
        <w:tc>
          <w:tcPr>
            <w:tcW w:w="3685"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b/>
                <w:bCs/>
                <w:color w:val="000000"/>
                <w:kern w:val="0"/>
                <w:sz w:val="18"/>
                <w:szCs w:val="18"/>
              </w:rPr>
              <w:t>标准名称</w:t>
            </w:r>
          </w:p>
        </w:tc>
        <w:tc>
          <w:tcPr>
            <w:tcW w:w="1956"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b/>
                <w:bCs/>
                <w:color w:val="000000"/>
                <w:kern w:val="0"/>
                <w:sz w:val="18"/>
                <w:szCs w:val="18"/>
              </w:rPr>
              <w:t>标准号</w:t>
            </w:r>
          </w:p>
        </w:tc>
        <w:tc>
          <w:tcPr>
            <w:tcW w:w="10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b/>
                <w:bCs/>
                <w:color w:val="000000"/>
                <w:kern w:val="0"/>
                <w:sz w:val="18"/>
                <w:szCs w:val="18"/>
              </w:rPr>
              <w:t>企业边界限值</w:t>
            </w:r>
            <w:r>
              <w:rPr>
                <w:rFonts w:hint="eastAsia" w:ascii="Times New Roman" w:hAnsi="Times New Roman"/>
                <w:b/>
                <w:bCs/>
                <w:color w:val="000000"/>
                <w:kern w:val="0"/>
                <w:sz w:val="18"/>
                <w:szCs w:val="18"/>
              </w:rPr>
              <w:t>（mg/m</w:t>
            </w:r>
            <w:r>
              <w:rPr>
                <w:rFonts w:hint="eastAsia" w:ascii="Times New Roman" w:hAnsi="Times New Roman"/>
                <w:b/>
                <w:bCs/>
                <w:color w:val="000000"/>
                <w:kern w:val="0"/>
                <w:sz w:val="18"/>
                <w:szCs w:val="18"/>
                <w:vertAlign w:val="superscript"/>
              </w:rPr>
              <w:t>3</w:t>
            </w:r>
            <w:r>
              <w:rPr>
                <w:rFonts w:hint="eastAsia" w:ascii="Times New Roman" w:hAnsi="Times New Roman"/>
                <w:b/>
                <w:bCs/>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restart"/>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大气综合标准</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国家</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大气污染物综合排放标准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GB 16297-1996</w:t>
            </w:r>
          </w:p>
        </w:tc>
        <w:tc>
          <w:tcPr>
            <w:tcW w:w="10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广东</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大气污染物排放限值</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DB44/ 27—2001</w:t>
            </w:r>
          </w:p>
        </w:tc>
        <w:tc>
          <w:tcPr>
            <w:tcW w:w="10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江苏</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大气污染物综合排放标准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32</w:t>
            </w:r>
            <w:r>
              <w:rPr>
                <w:rFonts w:hint="eastAsia" w:ascii="Times New Roman" w:hAnsi="Times New Roman"/>
                <w:color w:val="000000"/>
                <w:kern w:val="0"/>
                <w:sz w:val="18"/>
                <w:szCs w:val="18"/>
              </w:rPr>
              <w:t>/</w:t>
            </w:r>
            <w:r>
              <w:rPr>
                <w:rFonts w:ascii="Times New Roman" w:hAnsi="Times New Roman"/>
                <w:color w:val="000000"/>
                <w:kern w:val="0"/>
                <w:sz w:val="18"/>
                <w:szCs w:val="18"/>
              </w:rPr>
              <w:t>4041-2021</w:t>
            </w:r>
          </w:p>
        </w:tc>
        <w:tc>
          <w:tcPr>
            <w:tcW w:w="10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北京</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大气污染物综合排放标准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DB11-501-2017</w:t>
            </w:r>
          </w:p>
        </w:tc>
        <w:tc>
          <w:tcPr>
            <w:tcW w:w="10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上海</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大气污染物综合排放标准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DB31/933—2015</w:t>
            </w:r>
          </w:p>
        </w:tc>
        <w:tc>
          <w:tcPr>
            <w:tcW w:w="10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重庆</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大气污染物综合排放标准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50/418－2016</w:t>
            </w:r>
          </w:p>
        </w:tc>
        <w:tc>
          <w:tcPr>
            <w:tcW w:w="10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化学工业</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江苏</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化学工业挥发性有机物排放标准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DB32/3151—2016</w:t>
            </w:r>
          </w:p>
        </w:tc>
        <w:tc>
          <w:tcPr>
            <w:tcW w:w="10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0.1</w:t>
            </w:r>
          </w:p>
        </w:tc>
      </w:tr>
    </w:tbl>
    <w:p>
      <w:pPr>
        <w:pStyle w:val="68"/>
        <w:rPr>
          <w:rFonts w:cs="Times New Roman"/>
        </w:rPr>
      </w:pPr>
      <w:r>
        <w:rPr>
          <w:rFonts w:hint="eastAsia" w:cs="Times New Roman"/>
        </w:rPr>
        <w:t>国内标准中丙烯醛的企业边界</w:t>
      </w:r>
      <w:r>
        <w:rPr>
          <w:rFonts w:cs="Times New Roman"/>
        </w:rPr>
        <w:t>限值比较如表7-15所示。国家、广东省和</w:t>
      </w:r>
      <w:r>
        <w:rPr>
          <w:rFonts w:hint="eastAsia" w:cs="Times New Roman"/>
        </w:rPr>
        <w:t>重庆</w:t>
      </w:r>
      <w:r>
        <w:rPr>
          <w:rFonts w:cs="Times New Roman"/>
        </w:rPr>
        <w:t>市大气污染物综合排放标准中</w:t>
      </w:r>
      <w:r>
        <w:rPr>
          <w:rFonts w:hint="eastAsia" w:cs="Times New Roman"/>
        </w:rPr>
        <w:t>丙烯醛</w:t>
      </w:r>
      <w:r>
        <w:rPr>
          <w:rFonts w:cs="Times New Roman"/>
        </w:rPr>
        <w:t>的</w:t>
      </w:r>
      <w:r>
        <w:rPr>
          <w:rFonts w:hint="eastAsia" w:cs="Times New Roman"/>
        </w:rPr>
        <w:t>企业边界</w:t>
      </w:r>
      <w:r>
        <w:rPr>
          <w:rFonts w:cs="Times New Roman"/>
        </w:rPr>
        <w:t>限值均为0.4 mg/m</w:t>
      </w:r>
      <w:r>
        <w:rPr>
          <w:rFonts w:cs="Times New Roman"/>
          <w:vertAlign w:val="superscript"/>
        </w:rPr>
        <w:t>3</w:t>
      </w:r>
      <w:r>
        <w:rPr>
          <w:rFonts w:hint="eastAsia" w:cs="Times New Roman"/>
        </w:rPr>
        <w:t>；江苏、北京和上海</w:t>
      </w:r>
      <w:r>
        <w:rPr>
          <w:rFonts w:cs="Times New Roman"/>
        </w:rPr>
        <w:t>大气污染物综合排放标准</w:t>
      </w:r>
      <w:r>
        <w:rPr>
          <w:rFonts w:hint="eastAsia" w:cs="Times New Roman"/>
        </w:rPr>
        <w:t>中丙烯醛的企业边界</w:t>
      </w:r>
      <w:r>
        <w:rPr>
          <w:rFonts w:cs="Times New Roman"/>
        </w:rPr>
        <w:t>限值均为0.1 mg/m</w:t>
      </w:r>
      <w:r>
        <w:rPr>
          <w:rFonts w:cs="Times New Roman"/>
          <w:vertAlign w:val="superscript"/>
        </w:rPr>
        <w:t>3</w:t>
      </w:r>
      <w:r>
        <w:rPr>
          <w:rFonts w:hint="eastAsia" w:cs="Times New Roman"/>
        </w:rPr>
        <w:t>；江苏省化学工业挥发性有机物排放标准中丙烯醛的企业边界</w:t>
      </w:r>
      <w:r>
        <w:rPr>
          <w:rFonts w:cs="Times New Roman"/>
        </w:rPr>
        <w:t>限值</w:t>
      </w:r>
      <w:r>
        <w:rPr>
          <w:rFonts w:hint="eastAsia" w:cs="Times New Roman"/>
        </w:rPr>
        <w:t>为0</w:t>
      </w:r>
      <w:r>
        <w:rPr>
          <w:rFonts w:cs="Times New Roman"/>
        </w:rPr>
        <w:t>.1 mg/m</w:t>
      </w:r>
      <w:r>
        <w:rPr>
          <w:rFonts w:cs="Times New Roman"/>
          <w:vertAlign w:val="superscript"/>
        </w:rPr>
        <w:t>3</w:t>
      </w:r>
      <w:r>
        <w:rPr>
          <w:rFonts w:hint="eastAsia" w:cs="Times New Roman"/>
        </w:rPr>
        <w:t>。丙烯醛是醛类中活性仅次于甲醛的物种，同时也是重要的空气毒害物，从活性和毒害性两方面考虑，本标准丙烯醛的企业边界</w:t>
      </w:r>
      <w:r>
        <w:rPr>
          <w:rFonts w:cs="Times New Roman"/>
        </w:rPr>
        <w:t>限值</w:t>
      </w:r>
      <w:r>
        <w:rPr>
          <w:rFonts w:hint="eastAsia" w:cs="Times New Roman"/>
        </w:rPr>
        <w:t>确定为0</w:t>
      </w:r>
      <w:r>
        <w:rPr>
          <w:rFonts w:cs="Times New Roman"/>
        </w:rPr>
        <w:t>.1 mg/m</w:t>
      </w:r>
      <w:r>
        <w:rPr>
          <w:rFonts w:cs="Times New Roman"/>
          <w:vertAlign w:val="superscript"/>
        </w:rPr>
        <w:t>3</w:t>
      </w:r>
      <w:r>
        <w:rPr>
          <w:rFonts w:hint="eastAsia" w:cs="Times New Roman"/>
        </w:rPr>
        <w:t>。</w:t>
      </w:r>
    </w:p>
    <w:p>
      <w:pPr>
        <w:pStyle w:val="68"/>
        <w:ind w:firstLine="482"/>
        <w:rPr>
          <w:rFonts w:cs="Times New Roman"/>
          <w:b/>
          <w:bCs/>
        </w:rPr>
      </w:pPr>
      <w:r>
        <w:rPr>
          <w:rFonts w:cs="Times New Roman"/>
          <w:b/>
          <w:bCs/>
        </w:rPr>
        <w:t>4. 丙烯腈</w:t>
      </w:r>
    </w:p>
    <w:p>
      <w:pPr>
        <w:pStyle w:val="68"/>
        <w:rPr>
          <w:rFonts w:cs="Times New Roman"/>
        </w:rPr>
      </w:pPr>
      <w:r>
        <w:rPr>
          <w:rFonts w:cs="Times New Roman"/>
        </w:rPr>
        <w:t>丙烯腈是一种无色的有刺激性气味液体，易燃，其蒸气与空气可形成</w:t>
      </w:r>
      <w:r>
        <w:fldChar w:fldCharType="begin"/>
      </w:r>
      <w:r>
        <w:instrText xml:space="preserve"> HYPERLINK "http://baike.baidu.com/view/3847193.htm" \h </w:instrText>
      </w:r>
      <w:r>
        <w:fldChar w:fldCharType="separate"/>
      </w:r>
      <w:r>
        <w:rPr>
          <w:rFonts w:cs="Times New Roman"/>
        </w:rPr>
        <w:t>爆炸</w:t>
      </w:r>
      <w:r>
        <w:rPr>
          <w:rFonts w:cs="Times New Roman"/>
        </w:rPr>
        <w:fldChar w:fldCharType="end"/>
      </w:r>
      <w:r>
        <w:fldChar w:fldCharType="begin"/>
      </w:r>
      <w:r>
        <w:instrText xml:space="preserve"> HYPERLINK "http://baike.baidu.com/view/3847193.htm" \h </w:instrText>
      </w:r>
      <w:r>
        <w:fldChar w:fldCharType="separate"/>
      </w:r>
      <w:r>
        <w:rPr>
          <w:rFonts w:cs="Times New Roman"/>
        </w:rPr>
        <w:t>性混合物</w:t>
      </w:r>
      <w:r>
        <w:rPr>
          <w:rFonts w:cs="Times New Roman"/>
        </w:rPr>
        <w:fldChar w:fldCharType="end"/>
      </w:r>
      <w:r>
        <w:rPr>
          <w:rFonts w:cs="Times New Roman"/>
        </w:rPr>
        <w:t>。遇明火、高热易引起燃烧，并放出有毒气体。与</w:t>
      </w:r>
      <w:r>
        <w:fldChar w:fldCharType="begin"/>
      </w:r>
      <w:r>
        <w:instrText xml:space="preserve"> HYPERLINK "http://baike.baidu.com/view/139716.htm" \h </w:instrText>
      </w:r>
      <w:r>
        <w:fldChar w:fldCharType="separate"/>
      </w:r>
      <w:r>
        <w:rPr>
          <w:rFonts w:cs="Times New Roman"/>
        </w:rPr>
        <w:t>氧化剂</w:t>
      </w:r>
      <w:r>
        <w:rPr>
          <w:rFonts w:cs="Times New Roman"/>
        </w:rPr>
        <w:fldChar w:fldCharType="end"/>
      </w:r>
      <w:r>
        <w:rPr>
          <w:rFonts w:cs="Times New Roman"/>
        </w:rPr>
        <w:t>、</w:t>
      </w:r>
      <w:r>
        <w:fldChar w:fldCharType="begin"/>
      </w:r>
      <w:r>
        <w:instrText xml:space="preserve"> HYPERLINK "http://baike.baidu.com/view/593385.htm" \h </w:instrText>
      </w:r>
      <w:r>
        <w:fldChar w:fldCharType="separate"/>
      </w:r>
      <w:r>
        <w:rPr>
          <w:rFonts w:cs="Times New Roman"/>
        </w:rPr>
        <w:t>强酸</w:t>
      </w:r>
      <w:r>
        <w:rPr>
          <w:rFonts w:cs="Times New Roman"/>
        </w:rPr>
        <w:fldChar w:fldCharType="end"/>
      </w:r>
      <w:r>
        <w:rPr>
          <w:rFonts w:cs="Times New Roman"/>
        </w:rPr>
        <w:t>、</w:t>
      </w:r>
      <w:r>
        <w:fldChar w:fldCharType="begin"/>
      </w:r>
      <w:r>
        <w:instrText xml:space="preserve"> HYPERLINK "http://baike.baidu.com/view/507270.htm" \h </w:instrText>
      </w:r>
      <w:r>
        <w:fldChar w:fldCharType="separate"/>
      </w:r>
      <w:r>
        <w:rPr>
          <w:rFonts w:cs="Times New Roman"/>
        </w:rPr>
        <w:t>强</w:t>
      </w:r>
      <w:r>
        <w:rPr>
          <w:rFonts w:cs="Times New Roman"/>
        </w:rPr>
        <w:fldChar w:fldCharType="end"/>
      </w:r>
      <w:r>
        <w:fldChar w:fldCharType="begin"/>
      </w:r>
      <w:r>
        <w:instrText xml:space="preserve"> HYPERLINK "http://baike.baidu.com/view/507270.htm" \h </w:instrText>
      </w:r>
      <w:r>
        <w:fldChar w:fldCharType="separate"/>
      </w:r>
      <w:r>
        <w:rPr>
          <w:rFonts w:cs="Times New Roman"/>
        </w:rPr>
        <w:t>碱</w:t>
      </w:r>
      <w:r>
        <w:rPr>
          <w:rFonts w:cs="Times New Roman"/>
        </w:rPr>
        <w:fldChar w:fldCharType="end"/>
      </w:r>
      <w:r>
        <w:rPr>
          <w:rFonts w:cs="Times New Roman"/>
        </w:rPr>
        <w:t>、</w:t>
      </w:r>
      <w:r>
        <w:fldChar w:fldCharType="begin"/>
      </w:r>
      <w:r>
        <w:instrText xml:space="preserve"> HYPERLINK "http://baike.baidu.com/view/42270.htm" \h </w:instrText>
      </w:r>
      <w:r>
        <w:fldChar w:fldCharType="separate"/>
      </w:r>
      <w:r>
        <w:rPr>
          <w:rFonts w:cs="Times New Roman"/>
        </w:rPr>
        <w:t>胺</w:t>
      </w:r>
      <w:r>
        <w:rPr>
          <w:rFonts w:cs="Times New Roman"/>
        </w:rPr>
        <w:fldChar w:fldCharType="end"/>
      </w:r>
      <w:r>
        <w:rPr>
          <w:rFonts w:cs="Times New Roman"/>
        </w:rPr>
        <w:t>类、</w:t>
      </w:r>
      <w:r>
        <w:fldChar w:fldCharType="begin"/>
      </w:r>
      <w:r>
        <w:instrText xml:space="preserve"> HYPERLINK "http://baike.baidu.com/view/26905.htm" \h </w:instrText>
      </w:r>
      <w:r>
        <w:fldChar w:fldCharType="separate"/>
      </w:r>
      <w:r>
        <w:rPr>
          <w:rFonts w:cs="Times New Roman"/>
        </w:rPr>
        <w:t>溴</w:t>
      </w:r>
      <w:r>
        <w:rPr>
          <w:rFonts w:cs="Times New Roman"/>
        </w:rPr>
        <w:fldChar w:fldCharType="end"/>
      </w:r>
      <w:r>
        <w:rPr>
          <w:rFonts w:cs="Times New Roman"/>
        </w:rPr>
        <w:t>反应剧烈。IARC致癌性：G2B，可疑人类致癌物。</w:t>
      </w:r>
    </w:p>
    <w:p>
      <w:pPr>
        <w:pStyle w:val="13"/>
        <w:spacing w:before="156" w:beforeLines="50" w:after="156" w:afterLines="50"/>
      </w:pPr>
      <w:r>
        <w:t>表7-16  国内外相关标准</w:t>
      </w:r>
      <w:r>
        <w:rPr>
          <w:rFonts w:hint="eastAsia"/>
        </w:rPr>
        <w:t>丙烯腈的企业边界</w:t>
      </w:r>
      <w:r>
        <w:t>限值</w:t>
      </w:r>
    </w:p>
    <w:tbl>
      <w:tblPr>
        <w:tblStyle w:val="34"/>
        <w:tblW w:w="85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1"/>
        <w:gridCol w:w="680"/>
        <w:gridCol w:w="3685"/>
        <w:gridCol w:w="1956"/>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91"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b/>
                <w:bCs/>
                <w:color w:val="000000"/>
                <w:kern w:val="0"/>
                <w:sz w:val="18"/>
                <w:szCs w:val="18"/>
              </w:rPr>
              <w:t>行业类别</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b/>
                <w:bCs/>
                <w:color w:val="000000"/>
                <w:kern w:val="0"/>
                <w:sz w:val="18"/>
                <w:szCs w:val="18"/>
              </w:rPr>
              <w:t>国家/省市</w:t>
            </w:r>
          </w:p>
        </w:tc>
        <w:tc>
          <w:tcPr>
            <w:tcW w:w="3685"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b/>
                <w:bCs/>
                <w:color w:val="000000"/>
                <w:kern w:val="0"/>
                <w:sz w:val="18"/>
                <w:szCs w:val="18"/>
              </w:rPr>
              <w:t>标准名称</w:t>
            </w:r>
          </w:p>
        </w:tc>
        <w:tc>
          <w:tcPr>
            <w:tcW w:w="1956"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b/>
                <w:bCs/>
                <w:color w:val="000000"/>
                <w:kern w:val="0"/>
                <w:sz w:val="18"/>
                <w:szCs w:val="18"/>
              </w:rPr>
              <w:t>标准号</w:t>
            </w:r>
          </w:p>
        </w:tc>
        <w:tc>
          <w:tcPr>
            <w:tcW w:w="10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b/>
                <w:bCs/>
                <w:color w:val="000000"/>
                <w:kern w:val="0"/>
                <w:sz w:val="18"/>
                <w:szCs w:val="18"/>
              </w:rPr>
              <w:t>企业边界限值（mg/m</w:t>
            </w:r>
            <w:r>
              <w:rPr>
                <w:rFonts w:ascii="Times New Roman" w:hAnsi="Times New Roman"/>
                <w:b/>
                <w:bCs/>
                <w:color w:val="000000"/>
                <w:kern w:val="0"/>
                <w:sz w:val="18"/>
                <w:szCs w:val="18"/>
                <w:vertAlign w:val="superscript"/>
              </w:rPr>
              <w:t>3</w:t>
            </w:r>
            <w:r>
              <w:rPr>
                <w:rFonts w:ascii="Times New Roman" w:hAnsi="Times New Roman"/>
                <w:b/>
                <w:bCs/>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restart"/>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大气综合标准</w:t>
            </w:r>
          </w:p>
        </w:tc>
        <w:tc>
          <w:tcPr>
            <w:tcW w:w="680" w:type="dxa"/>
            <w:shd w:val="clear" w:color="auto" w:fill="auto"/>
            <w:noWrap/>
          </w:tcPr>
          <w:p>
            <w:pPr>
              <w:widowControl/>
              <w:jc w:val="center"/>
              <w:rPr>
                <w:rFonts w:ascii="Times New Roman" w:hAnsi="Times New Roman"/>
                <w:color w:val="000000"/>
                <w:kern w:val="0"/>
                <w:sz w:val="18"/>
                <w:szCs w:val="18"/>
              </w:rPr>
            </w:pPr>
            <w:r>
              <w:rPr>
                <w:rFonts w:ascii="Times New Roman" w:hAnsi="Times New Roman"/>
              </w:rPr>
              <w:t>国家</w:t>
            </w:r>
          </w:p>
        </w:tc>
        <w:tc>
          <w:tcPr>
            <w:tcW w:w="3685" w:type="dxa"/>
            <w:shd w:val="clear" w:color="auto" w:fill="auto"/>
            <w:noWrap/>
          </w:tcPr>
          <w:p>
            <w:pPr>
              <w:widowControl/>
              <w:rPr>
                <w:rFonts w:ascii="Times New Roman" w:hAnsi="Times New Roman"/>
                <w:color w:val="000000"/>
                <w:kern w:val="0"/>
                <w:sz w:val="18"/>
                <w:szCs w:val="18"/>
              </w:rPr>
            </w:pPr>
            <w:r>
              <w:rPr>
                <w:rFonts w:ascii="Times New Roman" w:hAnsi="Times New Roman"/>
              </w:rPr>
              <w:t>大气污染物综合排放标准</w:t>
            </w:r>
          </w:p>
        </w:tc>
        <w:tc>
          <w:tcPr>
            <w:tcW w:w="1956" w:type="dxa"/>
            <w:shd w:val="clear" w:color="auto" w:fill="auto"/>
            <w:noWrap/>
          </w:tcPr>
          <w:p>
            <w:pPr>
              <w:widowControl/>
              <w:rPr>
                <w:rFonts w:ascii="Times New Roman" w:hAnsi="Times New Roman"/>
                <w:color w:val="000000"/>
                <w:kern w:val="0"/>
                <w:sz w:val="18"/>
                <w:szCs w:val="18"/>
              </w:rPr>
            </w:pPr>
            <w:r>
              <w:rPr>
                <w:rFonts w:ascii="Times New Roman" w:hAnsi="Times New Roman"/>
              </w:rPr>
              <w:t>GB  16297—1996</w:t>
            </w:r>
          </w:p>
        </w:tc>
        <w:tc>
          <w:tcPr>
            <w:tcW w:w="1080" w:type="dxa"/>
            <w:shd w:val="clear" w:color="auto" w:fill="auto"/>
            <w:noWrap/>
          </w:tcPr>
          <w:p>
            <w:pPr>
              <w:widowControl/>
              <w:jc w:val="center"/>
              <w:rPr>
                <w:rFonts w:ascii="Times New Roman" w:hAnsi="Times New Roman"/>
                <w:color w:val="000000"/>
                <w:kern w:val="0"/>
                <w:sz w:val="18"/>
                <w:szCs w:val="18"/>
              </w:rPr>
            </w:pPr>
            <w:r>
              <w:rPr>
                <w:rFonts w:ascii="Times New Roman" w:hAnsi="Times New Roma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tcPr>
          <w:p>
            <w:pPr>
              <w:widowControl/>
              <w:jc w:val="center"/>
              <w:rPr>
                <w:rFonts w:ascii="Times New Roman" w:hAnsi="Times New Roman"/>
                <w:color w:val="000000"/>
                <w:kern w:val="0"/>
                <w:sz w:val="18"/>
                <w:szCs w:val="18"/>
              </w:rPr>
            </w:pPr>
            <w:r>
              <w:rPr>
                <w:rFonts w:ascii="Times New Roman" w:hAnsi="Times New Roman"/>
              </w:rPr>
              <w:t>广东</w:t>
            </w:r>
          </w:p>
        </w:tc>
        <w:tc>
          <w:tcPr>
            <w:tcW w:w="3685" w:type="dxa"/>
            <w:shd w:val="clear" w:color="auto" w:fill="auto"/>
            <w:noWrap/>
          </w:tcPr>
          <w:p>
            <w:pPr>
              <w:widowControl/>
              <w:rPr>
                <w:rFonts w:ascii="Times New Roman" w:hAnsi="Times New Roman"/>
                <w:color w:val="000000"/>
                <w:kern w:val="0"/>
                <w:sz w:val="18"/>
                <w:szCs w:val="18"/>
              </w:rPr>
            </w:pPr>
            <w:r>
              <w:rPr>
                <w:rFonts w:ascii="Times New Roman" w:hAnsi="Times New Roman"/>
              </w:rPr>
              <w:t>大气污染物排放限值</w:t>
            </w:r>
          </w:p>
        </w:tc>
        <w:tc>
          <w:tcPr>
            <w:tcW w:w="1956" w:type="dxa"/>
            <w:shd w:val="clear" w:color="auto" w:fill="auto"/>
            <w:noWrap/>
          </w:tcPr>
          <w:p>
            <w:pPr>
              <w:widowControl/>
              <w:rPr>
                <w:rFonts w:ascii="Times New Roman" w:hAnsi="Times New Roman"/>
                <w:color w:val="000000"/>
                <w:kern w:val="0"/>
                <w:sz w:val="18"/>
                <w:szCs w:val="18"/>
              </w:rPr>
            </w:pPr>
            <w:r>
              <w:rPr>
                <w:rFonts w:ascii="Times New Roman" w:hAnsi="Times New Roman"/>
              </w:rPr>
              <w:t>DB44/ 27—2001</w:t>
            </w:r>
          </w:p>
        </w:tc>
        <w:tc>
          <w:tcPr>
            <w:tcW w:w="1080" w:type="dxa"/>
            <w:shd w:val="clear" w:color="auto" w:fill="auto"/>
            <w:noWrap/>
          </w:tcPr>
          <w:p>
            <w:pPr>
              <w:widowControl/>
              <w:jc w:val="center"/>
              <w:rPr>
                <w:rFonts w:ascii="Times New Roman" w:hAnsi="Times New Roman"/>
                <w:color w:val="000000"/>
                <w:kern w:val="0"/>
                <w:sz w:val="18"/>
                <w:szCs w:val="18"/>
              </w:rPr>
            </w:pPr>
            <w:r>
              <w:rPr>
                <w:rFonts w:ascii="Times New Roman" w:hAnsi="Times New Roma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tcPr>
          <w:p>
            <w:pPr>
              <w:widowControl/>
              <w:jc w:val="center"/>
              <w:rPr>
                <w:rFonts w:ascii="Times New Roman" w:hAnsi="Times New Roman"/>
                <w:color w:val="000000"/>
                <w:kern w:val="0"/>
                <w:sz w:val="18"/>
                <w:szCs w:val="18"/>
              </w:rPr>
            </w:pPr>
            <w:r>
              <w:rPr>
                <w:rFonts w:ascii="Times New Roman" w:hAnsi="Times New Roman"/>
              </w:rPr>
              <w:t>上海</w:t>
            </w:r>
          </w:p>
        </w:tc>
        <w:tc>
          <w:tcPr>
            <w:tcW w:w="3685" w:type="dxa"/>
            <w:shd w:val="clear" w:color="auto" w:fill="auto"/>
            <w:noWrap/>
          </w:tcPr>
          <w:p>
            <w:pPr>
              <w:widowControl/>
              <w:rPr>
                <w:rFonts w:ascii="Times New Roman" w:hAnsi="Times New Roman"/>
                <w:color w:val="000000"/>
                <w:kern w:val="0"/>
                <w:sz w:val="18"/>
                <w:szCs w:val="18"/>
              </w:rPr>
            </w:pPr>
            <w:r>
              <w:rPr>
                <w:rFonts w:ascii="Times New Roman" w:hAnsi="Times New Roman"/>
              </w:rPr>
              <w:t>大气污染物综合排放标准</w:t>
            </w:r>
          </w:p>
        </w:tc>
        <w:tc>
          <w:tcPr>
            <w:tcW w:w="1956" w:type="dxa"/>
            <w:shd w:val="clear" w:color="auto" w:fill="auto"/>
            <w:noWrap/>
          </w:tcPr>
          <w:p>
            <w:pPr>
              <w:widowControl/>
              <w:rPr>
                <w:rFonts w:ascii="Times New Roman" w:hAnsi="Times New Roman"/>
                <w:color w:val="000000"/>
                <w:kern w:val="0"/>
                <w:sz w:val="18"/>
                <w:szCs w:val="18"/>
              </w:rPr>
            </w:pPr>
            <w:r>
              <w:rPr>
                <w:rFonts w:ascii="Times New Roman" w:hAnsi="Times New Roman"/>
              </w:rPr>
              <w:t>DB31/933—2015</w:t>
            </w:r>
          </w:p>
        </w:tc>
        <w:tc>
          <w:tcPr>
            <w:tcW w:w="1080" w:type="dxa"/>
            <w:shd w:val="clear" w:color="auto" w:fill="auto"/>
            <w:noWrap/>
          </w:tcPr>
          <w:p>
            <w:pPr>
              <w:widowControl/>
              <w:jc w:val="center"/>
              <w:rPr>
                <w:rFonts w:ascii="Times New Roman" w:hAnsi="Times New Roman"/>
                <w:color w:val="000000"/>
                <w:kern w:val="0"/>
                <w:sz w:val="18"/>
                <w:szCs w:val="18"/>
              </w:rPr>
            </w:pPr>
            <w:r>
              <w:rPr>
                <w:rFonts w:ascii="Times New Roman" w:hAnsi="Times New Roma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tcPr>
          <w:p>
            <w:pPr>
              <w:widowControl/>
              <w:jc w:val="center"/>
              <w:rPr>
                <w:rFonts w:ascii="Times New Roman" w:hAnsi="Times New Roman"/>
                <w:color w:val="000000"/>
                <w:kern w:val="0"/>
                <w:sz w:val="18"/>
                <w:szCs w:val="18"/>
              </w:rPr>
            </w:pPr>
            <w:r>
              <w:rPr>
                <w:rFonts w:ascii="Times New Roman" w:hAnsi="Times New Roman"/>
              </w:rPr>
              <w:t>重庆</w:t>
            </w:r>
          </w:p>
        </w:tc>
        <w:tc>
          <w:tcPr>
            <w:tcW w:w="3685" w:type="dxa"/>
            <w:shd w:val="clear" w:color="auto" w:fill="auto"/>
            <w:noWrap/>
          </w:tcPr>
          <w:p>
            <w:pPr>
              <w:widowControl/>
              <w:rPr>
                <w:rFonts w:ascii="Times New Roman" w:hAnsi="Times New Roman"/>
                <w:color w:val="000000"/>
                <w:kern w:val="0"/>
                <w:sz w:val="18"/>
                <w:szCs w:val="18"/>
              </w:rPr>
            </w:pPr>
            <w:r>
              <w:rPr>
                <w:rFonts w:ascii="Times New Roman" w:hAnsi="Times New Roman"/>
              </w:rPr>
              <w:t>大气污染物综合排放标准</w:t>
            </w:r>
          </w:p>
        </w:tc>
        <w:tc>
          <w:tcPr>
            <w:tcW w:w="1956" w:type="dxa"/>
            <w:shd w:val="clear" w:color="auto" w:fill="auto"/>
            <w:noWrap/>
          </w:tcPr>
          <w:p>
            <w:pPr>
              <w:widowControl/>
              <w:rPr>
                <w:rFonts w:ascii="Times New Roman" w:hAnsi="Times New Roman"/>
                <w:color w:val="000000"/>
                <w:kern w:val="0"/>
                <w:sz w:val="18"/>
                <w:szCs w:val="18"/>
              </w:rPr>
            </w:pPr>
            <w:r>
              <w:rPr>
                <w:rFonts w:ascii="Times New Roman" w:hAnsi="Times New Roman"/>
              </w:rPr>
              <w:t>DB 50/418—2016</w:t>
            </w:r>
          </w:p>
        </w:tc>
        <w:tc>
          <w:tcPr>
            <w:tcW w:w="1080" w:type="dxa"/>
            <w:shd w:val="clear" w:color="auto" w:fill="auto"/>
            <w:noWrap/>
          </w:tcPr>
          <w:p>
            <w:pPr>
              <w:widowControl/>
              <w:jc w:val="center"/>
              <w:rPr>
                <w:rFonts w:ascii="Times New Roman" w:hAnsi="Times New Roman"/>
                <w:color w:val="000000"/>
                <w:kern w:val="0"/>
                <w:sz w:val="18"/>
                <w:szCs w:val="18"/>
              </w:rPr>
            </w:pPr>
            <w:r>
              <w:rPr>
                <w:rFonts w:ascii="Times New Roman" w:hAnsi="Times New Roma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tcPr>
          <w:p>
            <w:pPr>
              <w:widowControl/>
              <w:jc w:val="center"/>
              <w:rPr>
                <w:rFonts w:ascii="Times New Roman" w:hAnsi="Times New Roman"/>
                <w:color w:val="000000"/>
                <w:kern w:val="0"/>
                <w:sz w:val="18"/>
                <w:szCs w:val="18"/>
              </w:rPr>
            </w:pPr>
            <w:r>
              <w:rPr>
                <w:rFonts w:ascii="Times New Roman" w:hAnsi="Times New Roman"/>
              </w:rPr>
              <w:t>北京</w:t>
            </w:r>
          </w:p>
        </w:tc>
        <w:tc>
          <w:tcPr>
            <w:tcW w:w="3685" w:type="dxa"/>
            <w:shd w:val="clear" w:color="auto" w:fill="auto"/>
            <w:noWrap/>
          </w:tcPr>
          <w:p>
            <w:pPr>
              <w:widowControl/>
              <w:rPr>
                <w:rFonts w:ascii="Times New Roman" w:hAnsi="Times New Roman"/>
                <w:color w:val="000000"/>
                <w:kern w:val="0"/>
                <w:sz w:val="18"/>
                <w:szCs w:val="18"/>
              </w:rPr>
            </w:pPr>
            <w:r>
              <w:rPr>
                <w:rFonts w:ascii="Times New Roman" w:hAnsi="Times New Roman"/>
              </w:rPr>
              <w:t>大气污染物综合排放标准</w:t>
            </w:r>
          </w:p>
        </w:tc>
        <w:tc>
          <w:tcPr>
            <w:tcW w:w="1956" w:type="dxa"/>
            <w:shd w:val="clear" w:color="auto" w:fill="auto"/>
            <w:noWrap/>
          </w:tcPr>
          <w:p>
            <w:pPr>
              <w:widowControl/>
              <w:rPr>
                <w:rFonts w:ascii="Times New Roman" w:hAnsi="Times New Roman"/>
                <w:color w:val="000000"/>
                <w:kern w:val="0"/>
                <w:sz w:val="18"/>
                <w:szCs w:val="18"/>
              </w:rPr>
            </w:pPr>
            <w:r>
              <w:rPr>
                <w:rFonts w:ascii="Times New Roman" w:hAnsi="Times New Roman"/>
              </w:rPr>
              <w:t>DB11-501—2017</w:t>
            </w:r>
          </w:p>
        </w:tc>
        <w:tc>
          <w:tcPr>
            <w:tcW w:w="1080" w:type="dxa"/>
            <w:shd w:val="clear" w:color="auto" w:fill="auto"/>
            <w:noWrap/>
          </w:tcPr>
          <w:p>
            <w:pPr>
              <w:widowControl/>
              <w:jc w:val="center"/>
              <w:rPr>
                <w:rFonts w:ascii="Times New Roman" w:hAnsi="Times New Roman"/>
                <w:color w:val="000000"/>
                <w:kern w:val="0"/>
                <w:sz w:val="18"/>
                <w:szCs w:val="18"/>
              </w:rPr>
            </w:pPr>
            <w:r>
              <w:rPr>
                <w:rFonts w:ascii="Times New Roman" w:hAnsi="Times New Roma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91"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化学工业</w:t>
            </w:r>
          </w:p>
        </w:tc>
        <w:tc>
          <w:tcPr>
            <w:tcW w:w="680" w:type="dxa"/>
            <w:shd w:val="clear" w:color="auto" w:fill="auto"/>
            <w:noWrap/>
          </w:tcPr>
          <w:p>
            <w:pPr>
              <w:widowControl/>
              <w:jc w:val="center"/>
              <w:rPr>
                <w:rFonts w:ascii="Times New Roman" w:hAnsi="Times New Roman"/>
                <w:color w:val="000000"/>
                <w:kern w:val="0"/>
                <w:sz w:val="18"/>
                <w:szCs w:val="18"/>
              </w:rPr>
            </w:pPr>
            <w:r>
              <w:rPr>
                <w:rFonts w:ascii="Times New Roman" w:hAnsi="Times New Roman"/>
              </w:rPr>
              <w:t>江苏</w:t>
            </w:r>
          </w:p>
        </w:tc>
        <w:tc>
          <w:tcPr>
            <w:tcW w:w="3685" w:type="dxa"/>
            <w:shd w:val="clear" w:color="auto" w:fill="auto"/>
            <w:noWrap/>
          </w:tcPr>
          <w:p>
            <w:pPr>
              <w:widowControl/>
              <w:rPr>
                <w:rFonts w:ascii="Times New Roman" w:hAnsi="Times New Roman"/>
                <w:color w:val="000000"/>
                <w:kern w:val="0"/>
                <w:sz w:val="18"/>
                <w:szCs w:val="18"/>
              </w:rPr>
            </w:pPr>
            <w:r>
              <w:rPr>
                <w:rFonts w:ascii="Times New Roman" w:hAnsi="Times New Roman"/>
              </w:rPr>
              <w:t>化学工业挥发性有机物排放标准</w:t>
            </w:r>
          </w:p>
        </w:tc>
        <w:tc>
          <w:tcPr>
            <w:tcW w:w="1956" w:type="dxa"/>
            <w:shd w:val="clear" w:color="auto" w:fill="auto"/>
            <w:noWrap/>
          </w:tcPr>
          <w:p>
            <w:pPr>
              <w:widowControl/>
              <w:rPr>
                <w:rFonts w:ascii="Times New Roman" w:hAnsi="Times New Roman"/>
                <w:color w:val="000000"/>
                <w:kern w:val="0"/>
                <w:sz w:val="18"/>
                <w:szCs w:val="18"/>
              </w:rPr>
            </w:pPr>
            <w:r>
              <w:rPr>
                <w:rFonts w:ascii="Times New Roman" w:hAnsi="Times New Roman"/>
              </w:rPr>
              <w:t>DB32/3151—2016</w:t>
            </w:r>
          </w:p>
        </w:tc>
        <w:tc>
          <w:tcPr>
            <w:tcW w:w="1080" w:type="dxa"/>
            <w:shd w:val="clear" w:color="auto" w:fill="auto"/>
            <w:noWrap/>
          </w:tcPr>
          <w:p>
            <w:pPr>
              <w:widowControl/>
              <w:jc w:val="center"/>
              <w:rPr>
                <w:rFonts w:ascii="Times New Roman" w:hAnsi="Times New Roman"/>
                <w:color w:val="000000"/>
                <w:kern w:val="0"/>
                <w:sz w:val="18"/>
                <w:szCs w:val="18"/>
              </w:rPr>
            </w:pPr>
            <w:r>
              <w:rPr>
                <w:rFonts w:ascii="Times New Roman" w:hAnsi="Times New Roman"/>
              </w:rPr>
              <w:t>0.15</w:t>
            </w:r>
          </w:p>
        </w:tc>
      </w:tr>
    </w:tbl>
    <w:p>
      <w:pPr>
        <w:pStyle w:val="68"/>
        <w:rPr>
          <w:rFonts w:cs="Times New Roman"/>
        </w:rPr>
      </w:pPr>
      <w:r>
        <w:rPr>
          <w:rFonts w:hint="eastAsia" w:cs="Times New Roman"/>
        </w:rPr>
        <w:t>国内标准中丙烯腈的企业边界</w:t>
      </w:r>
      <w:r>
        <w:rPr>
          <w:rFonts w:cs="Times New Roman"/>
        </w:rPr>
        <w:t>限值比较如表7-16所示。国家、广东省和</w:t>
      </w:r>
      <w:r>
        <w:rPr>
          <w:rFonts w:hint="eastAsia" w:cs="Times New Roman"/>
        </w:rPr>
        <w:t>重庆</w:t>
      </w:r>
      <w:r>
        <w:rPr>
          <w:rFonts w:cs="Times New Roman"/>
        </w:rPr>
        <w:t>市大气污染物综合排放标准中</w:t>
      </w:r>
      <w:r>
        <w:rPr>
          <w:rFonts w:hint="eastAsia" w:cs="Times New Roman"/>
        </w:rPr>
        <w:t>丙烯腈</w:t>
      </w:r>
      <w:r>
        <w:rPr>
          <w:rFonts w:cs="Times New Roman"/>
        </w:rPr>
        <w:t>的</w:t>
      </w:r>
      <w:r>
        <w:rPr>
          <w:rFonts w:hint="eastAsia" w:cs="Times New Roman"/>
        </w:rPr>
        <w:t>企业边界</w:t>
      </w:r>
      <w:r>
        <w:rPr>
          <w:rFonts w:cs="Times New Roman"/>
        </w:rPr>
        <w:t>限值均为0.6 mg/m</w:t>
      </w:r>
      <w:r>
        <w:rPr>
          <w:rFonts w:cs="Times New Roman"/>
          <w:vertAlign w:val="superscript"/>
        </w:rPr>
        <w:t>3</w:t>
      </w:r>
      <w:r>
        <w:rPr>
          <w:rFonts w:hint="eastAsia" w:cs="Times New Roman"/>
        </w:rPr>
        <w:t>；上海</w:t>
      </w:r>
      <w:r>
        <w:rPr>
          <w:rFonts w:cs="Times New Roman"/>
        </w:rPr>
        <w:t>大气污染物综合排放标准</w:t>
      </w:r>
      <w:r>
        <w:rPr>
          <w:rFonts w:hint="eastAsia" w:cs="Times New Roman"/>
        </w:rPr>
        <w:t>中丙烯腈的企业边界</w:t>
      </w:r>
      <w:r>
        <w:rPr>
          <w:rFonts w:cs="Times New Roman"/>
        </w:rPr>
        <w:t>限值均为0.2 mg/m</w:t>
      </w:r>
      <w:r>
        <w:rPr>
          <w:rFonts w:cs="Times New Roman"/>
          <w:vertAlign w:val="superscript"/>
        </w:rPr>
        <w:t>3</w:t>
      </w:r>
      <w:r>
        <w:rPr>
          <w:rFonts w:hint="eastAsia" w:cs="Times New Roman"/>
        </w:rPr>
        <w:t>；北京</w:t>
      </w:r>
      <w:r>
        <w:rPr>
          <w:rFonts w:cs="Times New Roman"/>
        </w:rPr>
        <w:t>大气污染物综合排放标准</w:t>
      </w:r>
      <w:r>
        <w:rPr>
          <w:rFonts w:hint="eastAsia" w:cs="Times New Roman"/>
        </w:rPr>
        <w:t>中丙烯腈的企业边界</w:t>
      </w:r>
      <w:r>
        <w:rPr>
          <w:rFonts w:cs="Times New Roman"/>
        </w:rPr>
        <w:t>限值均为0.05 mg/m</w:t>
      </w:r>
      <w:r>
        <w:rPr>
          <w:rFonts w:cs="Times New Roman"/>
          <w:vertAlign w:val="superscript"/>
        </w:rPr>
        <w:t>3</w:t>
      </w:r>
      <w:r>
        <w:rPr>
          <w:rFonts w:hint="eastAsia" w:cs="Times New Roman"/>
        </w:rPr>
        <w:t>；江苏省化学工业挥发性有机物排放标准中丙烯腈的企业边界</w:t>
      </w:r>
      <w:r>
        <w:rPr>
          <w:rFonts w:cs="Times New Roman"/>
        </w:rPr>
        <w:t>限值</w:t>
      </w:r>
      <w:r>
        <w:rPr>
          <w:rFonts w:hint="eastAsia" w:cs="Times New Roman"/>
        </w:rPr>
        <w:t>为0</w:t>
      </w:r>
      <w:r>
        <w:rPr>
          <w:rFonts w:cs="Times New Roman"/>
        </w:rPr>
        <w:t>.15 mg/m</w:t>
      </w:r>
      <w:r>
        <w:rPr>
          <w:rFonts w:cs="Times New Roman"/>
          <w:vertAlign w:val="superscript"/>
        </w:rPr>
        <w:t>3</w:t>
      </w:r>
      <w:r>
        <w:rPr>
          <w:rFonts w:hint="eastAsia" w:cs="Times New Roman"/>
        </w:rPr>
        <w:t>。本标准丙烯腈的企业边界</w:t>
      </w:r>
      <w:r>
        <w:rPr>
          <w:rFonts w:cs="Times New Roman"/>
        </w:rPr>
        <w:t>限值</w:t>
      </w:r>
      <w:r>
        <w:rPr>
          <w:rFonts w:hint="eastAsia" w:cs="Times New Roman"/>
        </w:rPr>
        <w:t>确定为0</w:t>
      </w:r>
      <w:r>
        <w:rPr>
          <w:rFonts w:cs="Times New Roman"/>
        </w:rPr>
        <w:t>.1 mg/m</w:t>
      </w:r>
      <w:r>
        <w:rPr>
          <w:rFonts w:cs="Times New Roman"/>
          <w:vertAlign w:val="superscript"/>
        </w:rPr>
        <w:t>3</w:t>
      </w:r>
      <w:r>
        <w:rPr>
          <w:rFonts w:hint="eastAsia" w:cs="Times New Roman"/>
        </w:rPr>
        <w:t>。</w:t>
      </w:r>
    </w:p>
    <w:p>
      <w:pPr>
        <w:pStyle w:val="68"/>
        <w:ind w:firstLine="482"/>
        <w:rPr>
          <w:rFonts w:cs="Times New Roman"/>
          <w:b/>
          <w:bCs/>
        </w:rPr>
      </w:pPr>
      <w:r>
        <w:rPr>
          <w:rFonts w:cs="Times New Roman"/>
          <w:b/>
          <w:bCs/>
        </w:rPr>
        <w:t>5. 硝基苯类</w:t>
      </w:r>
    </w:p>
    <w:p>
      <w:pPr>
        <w:pStyle w:val="68"/>
        <w:rPr>
          <w:rFonts w:cs="Times New Roman"/>
          <w:sz w:val="23"/>
          <w:szCs w:val="23"/>
        </w:rPr>
      </w:pPr>
      <w:r>
        <w:rPr>
          <w:rFonts w:cs="Times New Roman"/>
        </w:rPr>
        <w:t>硝基苯类物质主要包括一硝基苯、二硝基苯、三硝基苯和硝基甲苯等。硝基苯属高</w:t>
      </w:r>
      <w:r>
        <w:rPr>
          <w:rFonts w:cs="Times New Roman"/>
          <w:sz w:val="23"/>
          <w:szCs w:val="23"/>
        </w:rPr>
        <w:t>毒性物质，可经呼吸道、消化道和皮肤侵入人体。主要作用于血液、肝及中枢神经系统，可使血红蛋白变为高铁血红蛋白，失去运输氧的能力，引起缺氧。水中存在硝基苯，影响水体的自净能力。硝基苯主要用物炸药、染料和药品等的生产。</w:t>
      </w:r>
    </w:p>
    <w:p>
      <w:pPr>
        <w:pStyle w:val="68"/>
        <w:ind w:firstLine="460"/>
        <w:rPr>
          <w:rFonts w:cs="Times New Roman"/>
          <w:b/>
          <w:sz w:val="23"/>
          <w:szCs w:val="23"/>
        </w:rPr>
      </w:pPr>
      <w:r>
        <w:rPr>
          <w:rFonts w:cs="Times New Roman"/>
          <w:sz w:val="23"/>
          <w:szCs w:val="23"/>
        </w:rPr>
        <w:t>硝基苯类的国内外排放标准限值如表7-17所示。对比国内外标准限值，本标准硝基苯类</w:t>
      </w:r>
      <w:r>
        <w:rPr>
          <w:rFonts w:hint="eastAsia" w:cs="Times New Roman"/>
          <w:sz w:val="23"/>
          <w:szCs w:val="23"/>
        </w:rPr>
        <w:t>的</w:t>
      </w:r>
      <w:r>
        <w:rPr>
          <w:rFonts w:hint="eastAsia" w:cs="Times New Roman"/>
        </w:rPr>
        <w:t>企业边界</w:t>
      </w:r>
      <w:r>
        <w:rPr>
          <w:rFonts w:cs="Times New Roman"/>
        </w:rPr>
        <w:t>限值</w:t>
      </w:r>
      <w:r>
        <w:rPr>
          <w:rFonts w:cs="Times New Roman"/>
          <w:sz w:val="23"/>
          <w:szCs w:val="23"/>
        </w:rPr>
        <w:t>确定为0.01 mg/m</w:t>
      </w:r>
      <w:r>
        <w:rPr>
          <w:rFonts w:cs="Times New Roman"/>
          <w:sz w:val="23"/>
          <w:szCs w:val="23"/>
          <w:vertAlign w:val="superscript"/>
        </w:rPr>
        <w:t>3</w:t>
      </w:r>
      <w:r>
        <w:rPr>
          <w:rFonts w:cs="Times New Roman"/>
          <w:sz w:val="23"/>
          <w:szCs w:val="23"/>
        </w:rPr>
        <w:t>。</w:t>
      </w:r>
    </w:p>
    <w:p>
      <w:pPr>
        <w:pStyle w:val="13"/>
        <w:spacing w:before="156" w:beforeLines="50" w:after="156" w:afterLines="50"/>
      </w:pPr>
      <w:r>
        <w:t>表7-17  国内外标准中硝基苯类的</w:t>
      </w:r>
      <w:r>
        <w:rPr>
          <w:rFonts w:hint="eastAsia"/>
        </w:rPr>
        <w:t>企业边界</w:t>
      </w:r>
      <w:r>
        <w:t>限值</w:t>
      </w:r>
    </w:p>
    <w:tbl>
      <w:tblPr>
        <w:tblStyle w:val="34"/>
        <w:tblW w:w="85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1"/>
        <w:gridCol w:w="680"/>
        <w:gridCol w:w="3685"/>
        <w:gridCol w:w="1956"/>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1"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b/>
                <w:bCs/>
                <w:color w:val="000000"/>
                <w:kern w:val="0"/>
                <w:sz w:val="18"/>
                <w:szCs w:val="18"/>
              </w:rPr>
              <w:t>行业类别</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b/>
                <w:bCs/>
                <w:color w:val="000000"/>
                <w:kern w:val="0"/>
                <w:sz w:val="18"/>
                <w:szCs w:val="18"/>
              </w:rPr>
              <w:t>国家/省市</w:t>
            </w:r>
          </w:p>
        </w:tc>
        <w:tc>
          <w:tcPr>
            <w:tcW w:w="3685"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b/>
                <w:bCs/>
                <w:color w:val="000000"/>
                <w:kern w:val="0"/>
                <w:sz w:val="18"/>
                <w:szCs w:val="18"/>
              </w:rPr>
              <w:t>标准名称</w:t>
            </w:r>
          </w:p>
        </w:tc>
        <w:tc>
          <w:tcPr>
            <w:tcW w:w="1956"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b/>
                <w:bCs/>
                <w:color w:val="000000"/>
                <w:kern w:val="0"/>
                <w:sz w:val="18"/>
                <w:szCs w:val="18"/>
              </w:rPr>
              <w:t>标准号</w:t>
            </w:r>
          </w:p>
        </w:tc>
        <w:tc>
          <w:tcPr>
            <w:tcW w:w="10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b/>
                <w:bCs/>
                <w:color w:val="000000"/>
                <w:kern w:val="0"/>
                <w:sz w:val="18"/>
                <w:szCs w:val="18"/>
              </w:rPr>
              <w:t>企业边界限值</w:t>
            </w:r>
            <w:r>
              <w:rPr>
                <w:rFonts w:hint="eastAsia" w:ascii="Times New Roman" w:hAnsi="Times New Roman"/>
                <w:b/>
                <w:bCs/>
                <w:color w:val="000000"/>
                <w:kern w:val="0"/>
                <w:sz w:val="18"/>
                <w:szCs w:val="18"/>
              </w:rPr>
              <w:t>（</w:t>
            </w:r>
            <w:r>
              <w:rPr>
                <w:rFonts w:ascii="Times New Roman" w:hAnsi="Times New Roman"/>
                <w:b/>
                <w:bCs/>
                <w:color w:val="000000"/>
                <w:kern w:val="0"/>
                <w:sz w:val="18"/>
                <w:szCs w:val="18"/>
              </w:rPr>
              <w:t>mg/m</w:t>
            </w:r>
            <w:r>
              <w:rPr>
                <w:rFonts w:ascii="Times New Roman" w:hAnsi="Times New Roman"/>
                <w:b/>
                <w:bCs/>
                <w:color w:val="000000"/>
                <w:kern w:val="0"/>
                <w:sz w:val="18"/>
                <w:szCs w:val="18"/>
                <w:vertAlign w:val="superscript"/>
              </w:rPr>
              <w:t>3</w:t>
            </w:r>
            <w:r>
              <w:rPr>
                <w:rFonts w:hint="eastAsia" w:ascii="Times New Roman" w:hAnsi="Times New Roman"/>
                <w:b/>
                <w:bCs/>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91" w:type="dxa"/>
            <w:vMerge w:val="restart"/>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大气综合标准</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国家</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大气污染物综合排放标准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GB 16297-1996</w:t>
            </w:r>
          </w:p>
        </w:tc>
        <w:tc>
          <w:tcPr>
            <w:tcW w:w="1080" w:type="dxa"/>
            <w:shd w:val="clear" w:color="auto" w:fill="auto"/>
            <w:noWrap/>
          </w:tcPr>
          <w:p>
            <w:pPr>
              <w:widowControl/>
              <w:jc w:val="center"/>
              <w:rPr>
                <w:rFonts w:ascii="Times New Roman" w:hAnsi="Times New Roman"/>
                <w:color w:val="000000"/>
                <w:kern w:val="0"/>
                <w:sz w:val="18"/>
                <w:szCs w:val="18"/>
              </w:rPr>
            </w:pPr>
            <w:r>
              <w:rPr>
                <w:rFonts w:ascii="Times New Roman" w:hAnsi="Times New Roma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广东</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大气污染物排放限值</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DB44/ 27—2001</w:t>
            </w:r>
          </w:p>
        </w:tc>
        <w:tc>
          <w:tcPr>
            <w:tcW w:w="1080" w:type="dxa"/>
            <w:shd w:val="clear" w:color="auto" w:fill="auto"/>
            <w:noWrap/>
          </w:tcPr>
          <w:p>
            <w:pPr>
              <w:widowControl/>
              <w:jc w:val="center"/>
              <w:rPr>
                <w:rFonts w:ascii="Times New Roman" w:hAnsi="Times New Roman"/>
                <w:color w:val="000000"/>
                <w:kern w:val="0"/>
                <w:sz w:val="18"/>
                <w:szCs w:val="18"/>
              </w:rPr>
            </w:pPr>
            <w:r>
              <w:rPr>
                <w:rFonts w:ascii="Times New Roman" w:hAnsi="Times New Roma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江苏</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大气污染物综合排放标准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报批稿</w:t>
            </w:r>
          </w:p>
        </w:tc>
        <w:tc>
          <w:tcPr>
            <w:tcW w:w="1080" w:type="dxa"/>
            <w:shd w:val="clear" w:color="auto" w:fill="auto"/>
            <w:noWrap/>
          </w:tcPr>
          <w:p>
            <w:pPr>
              <w:widowControl/>
              <w:jc w:val="center"/>
              <w:rPr>
                <w:rFonts w:ascii="Times New Roman" w:hAnsi="Times New Roman"/>
                <w:color w:val="000000"/>
                <w:kern w:val="0"/>
                <w:sz w:val="18"/>
                <w:szCs w:val="18"/>
              </w:rPr>
            </w:pPr>
            <w:r>
              <w:rPr>
                <w:rFonts w:ascii="Times New Roman" w:hAnsi="Times New Roma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北京</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大气污染物综合排放标准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DB11-501-2017</w:t>
            </w:r>
          </w:p>
        </w:tc>
        <w:tc>
          <w:tcPr>
            <w:tcW w:w="1080" w:type="dxa"/>
            <w:shd w:val="clear" w:color="auto" w:fill="auto"/>
            <w:noWrap/>
          </w:tcPr>
          <w:p>
            <w:pPr>
              <w:widowControl/>
              <w:jc w:val="center"/>
              <w:rPr>
                <w:rFonts w:ascii="Times New Roman" w:hAnsi="Times New Roman"/>
                <w:color w:val="000000"/>
                <w:kern w:val="0"/>
                <w:sz w:val="18"/>
                <w:szCs w:val="18"/>
              </w:rPr>
            </w:pPr>
            <w:r>
              <w:rPr>
                <w:rFonts w:ascii="Times New Roman" w:hAnsi="Times New Roma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上海</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大气污染物综合排放标准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DB31/933—2015</w:t>
            </w:r>
          </w:p>
        </w:tc>
        <w:tc>
          <w:tcPr>
            <w:tcW w:w="1080" w:type="dxa"/>
            <w:shd w:val="clear" w:color="auto" w:fill="auto"/>
            <w:noWrap/>
          </w:tcPr>
          <w:p>
            <w:pPr>
              <w:widowControl/>
              <w:jc w:val="center"/>
              <w:rPr>
                <w:rFonts w:ascii="Times New Roman" w:hAnsi="Times New Roman"/>
                <w:color w:val="000000"/>
                <w:kern w:val="0"/>
                <w:sz w:val="18"/>
                <w:szCs w:val="18"/>
              </w:rPr>
            </w:pPr>
            <w:r>
              <w:rPr>
                <w:rFonts w:ascii="Times New Roman" w:hAnsi="Times New Roma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91" w:type="dxa"/>
            <w:vMerge w:val="continue"/>
            <w:shd w:val="clear" w:color="auto" w:fill="auto"/>
            <w:noWrap/>
            <w:vAlign w:val="center"/>
          </w:tcPr>
          <w:p>
            <w:pPr>
              <w:widowControl/>
              <w:jc w:val="center"/>
              <w:rPr>
                <w:rFonts w:ascii="Times New Roman" w:hAnsi="Times New Roman"/>
                <w:color w:val="000000"/>
                <w:kern w:val="0"/>
                <w:sz w:val="18"/>
                <w:szCs w:val="18"/>
              </w:rPr>
            </w:pP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重庆</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大气污染物综合排放标准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 50/418－2016</w:t>
            </w:r>
          </w:p>
        </w:tc>
        <w:tc>
          <w:tcPr>
            <w:tcW w:w="1080" w:type="dxa"/>
            <w:shd w:val="clear" w:color="auto" w:fill="auto"/>
            <w:noWrap/>
          </w:tcPr>
          <w:p>
            <w:pPr>
              <w:widowControl/>
              <w:jc w:val="center"/>
              <w:rPr>
                <w:rFonts w:ascii="Times New Roman" w:hAnsi="Times New Roman"/>
                <w:color w:val="000000"/>
                <w:kern w:val="0"/>
                <w:sz w:val="18"/>
                <w:szCs w:val="18"/>
              </w:rPr>
            </w:pPr>
            <w:r>
              <w:rPr>
                <w:rFonts w:ascii="Times New Roman" w:hAnsi="Times New Roma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91"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化学工业</w:t>
            </w:r>
          </w:p>
        </w:tc>
        <w:tc>
          <w:tcPr>
            <w:tcW w:w="680" w:type="dxa"/>
            <w:shd w:val="clear" w:color="auto" w:fill="auto"/>
            <w:noWrap/>
            <w:vAlign w:val="center"/>
          </w:tcPr>
          <w:p>
            <w:pPr>
              <w:widowControl/>
              <w:jc w:val="center"/>
              <w:rPr>
                <w:rFonts w:ascii="Times New Roman" w:hAnsi="Times New Roman"/>
                <w:color w:val="000000"/>
                <w:kern w:val="0"/>
                <w:sz w:val="18"/>
                <w:szCs w:val="18"/>
              </w:rPr>
            </w:pPr>
            <w:r>
              <w:rPr>
                <w:rFonts w:ascii="Times New Roman" w:hAnsi="Times New Roman"/>
                <w:color w:val="000000"/>
                <w:kern w:val="0"/>
                <w:sz w:val="18"/>
                <w:szCs w:val="18"/>
              </w:rPr>
              <w:t>江苏</w:t>
            </w:r>
          </w:p>
        </w:tc>
        <w:tc>
          <w:tcPr>
            <w:tcW w:w="3685"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化学工业挥发性有机物排放标准</w:t>
            </w:r>
          </w:p>
        </w:tc>
        <w:tc>
          <w:tcPr>
            <w:tcW w:w="1956" w:type="dxa"/>
            <w:shd w:val="clear" w:color="auto" w:fill="auto"/>
            <w:noWrap/>
            <w:vAlign w:val="center"/>
          </w:tcPr>
          <w:p>
            <w:pPr>
              <w:widowControl/>
              <w:rPr>
                <w:rFonts w:ascii="Times New Roman" w:hAnsi="Times New Roman"/>
                <w:color w:val="000000"/>
                <w:kern w:val="0"/>
                <w:sz w:val="18"/>
                <w:szCs w:val="18"/>
              </w:rPr>
            </w:pPr>
            <w:r>
              <w:rPr>
                <w:rFonts w:ascii="Times New Roman" w:hAnsi="Times New Roman"/>
                <w:color w:val="000000"/>
                <w:kern w:val="0"/>
                <w:sz w:val="18"/>
                <w:szCs w:val="18"/>
              </w:rPr>
              <w:t>DB32/3151—2016</w:t>
            </w:r>
          </w:p>
        </w:tc>
        <w:tc>
          <w:tcPr>
            <w:tcW w:w="1080" w:type="dxa"/>
            <w:shd w:val="clear" w:color="auto" w:fill="auto"/>
            <w:noWrap/>
          </w:tcPr>
          <w:p>
            <w:pPr>
              <w:widowControl/>
              <w:jc w:val="center"/>
              <w:rPr>
                <w:rFonts w:ascii="Times New Roman" w:hAnsi="Times New Roman"/>
                <w:color w:val="000000"/>
                <w:kern w:val="0"/>
                <w:sz w:val="18"/>
                <w:szCs w:val="18"/>
              </w:rPr>
            </w:pPr>
            <w:r>
              <w:rPr>
                <w:rFonts w:ascii="Times New Roman" w:hAnsi="Times New Roman"/>
              </w:rPr>
              <w:t>0.01</w:t>
            </w:r>
          </w:p>
        </w:tc>
      </w:tr>
    </w:tbl>
    <w:p>
      <w:pPr>
        <w:pStyle w:val="68"/>
        <w:ind w:firstLine="0" w:firstLineChars="0"/>
        <w:rPr>
          <w:rFonts w:cs="Times New Roman"/>
          <w:b/>
          <w:bCs/>
        </w:rPr>
      </w:pPr>
      <w:bookmarkStart w:id="170" w:name="_Toc26350791"/>
      <w:r>
        <w:rPr>
          <w:rFonts w:cs="Times New Roman"/>
          <w:b/>
          <w:bCs/>
        </w:rPr>
        <w:t>7.6.3.3 设备与管线组件VOCs</w:t>
      </w:r>
      <w:r>
        <w:rPr>
          <w:rFonts w:hint="eastAsia" w:cs="Times New Roman"/>
          <w:b/>
          <w:bCs/>
        </w:rPr>
        <w:t>泄漏</w:t>
      </w:r>
      <w:r>
        <w:rPr>
          <w:rFonts w:cs="Times New Roman"/>
          <w:b/>
          <w:bCs/>
        </w:rPr>
        <w:t>认定浓度</w:t>
      </w:r>
      <w:r>
        <w:rPr>
          <w:rFonts w:hint="eastAsia" w:cs="Times New Roman"/>
          <w:b/>
          <w:bCs/>
        </w:rPr>
        <w:t>的</w:t>
      </w:r>
      <w:r>
        <w:rPr>
          <w:rFonts w:cs="Times New Roman"/>
          <w:b/>
          <w:bCs/>
        </w:rPr>
        <w:t>确定</w:t>
      </w:r>
    </w:p>
    <w:p>
      <w:pPr>
        <w:pStyle w:val="68"/>
        <w:rPr>
          <w:rFonts w:cs="Times New Roman"/>
        </w:rPr>
      </w:pPr>
      <w:r>
        <w:rPr>
          <w:rFonts w:cs="Times New Roman"/>
        </w:rPr>
        <w:t>2013年</w:t>
      </w:r>
      <w:r>
        <w:rPr>
          <w:rFonts w:hint="eastAsia" w:cs="Times New Roman"/>
        </w:rPr>
        <w:t>原</w:t>
      </w:r>
      <w:r>
        <w:rPr>
          <w:rFonts w:cs="Times New Roman"/>
        </w:rPr>
        <w:t>广东省环境保护厅印发了《广东省泄漏检测与维修制度（LDAR）实施的技术要求》（粤环函〔2013〕830号）。为进一步规范LDAR技术的项目建立、检测与维修、LDAR运行与管理工作，2016年</w:t>
      </w:r>
      <w:r>
        <w:rPr>
          <w:rFonts w:hint="eastAsia" w:cs="Times New Roman"/>
        </w:rPr>
        <w:t>原</w:t>
      </w:r>
      <w:r>
        <w:rPr>
          <w:rFonts w:cs="Times New Roman"/>
        </w:rPr>
        <w:t>广东省环境保护厅印发了《广东省泄漏检测与修复（LDAR）实施技术规范》</w:t>
      </w:r>
      <w:r>
        <w:rPr>
          <w:rFonts w:hint="eastAsia" w:cs="Times New Roman"/>
        </w:rPr>
        <w:t>、</w:t>
      </w:r>
      <w:r>
        <w:rPr>
          <w:rFonts w:cs="Times New Roman"/>
        </w:rPr>
        <w:t>《广东省泄漏检测与修复（LDAR）数据上报技术规范》和《广东省泄漏检测与修复（LDAR）项目评估技术规范》</w:t>
      </w:r>
      <w:r>
        <w:rPr>
          <w:rFonts w:hint="eastAsia" w:cs="Times New Roman"/>
        </w:rPr>
        <w:t>（粤环函〔</w:t>
      </w:r>
      <w:r>
        <w:rPr>
          <w:rFonts w:cs="Times New Roman"/>
        </w:rPr>
        <w:t>2016</w:t>
      </w:r>
      <w:r>
        <w:rPr>
          <w:rFonts w:hint="eastAsia" w:cs="Times New Roman"/>
        </w:rPr>
        <w:t>〕</w:t>
      </w:r>
      <w:r>
        <w:rPr>
          <w:rFonts w:cs="Times New Roman"/>
        </w:rPr>
        <w:t>1049</w:t>
      </w:r>
      <w:r>
        <w:rPr>
          <w:rFonts w:hint="eastAsia" w:cs="Times New Roman"/>
        </w:rPr>
        <w:t>号）</w:t>
      </w:r>
      <w:r>
        <w:rPr>
          <w:rFonts w:cs="Times New Roman"/>
        </w:rPr>
        <w:t>。</w:t>
      </w:r>
    </w:p>
    <w:p>
      <w:pPr>
        <w:pStyle w:val="68"/>
        <w:rPr>
          <w:rFonts w:cs="Times New Roman"/>
        </w:rPr>
      </w:pPr>
      <w:r>
        <w:rPr>
          <w:rFonts w:cs="Times New Roman"/>
        </w:rPr>
        <w:t>《广东省泄漏检测与修复（LDAR）实施技术规范》中规定了广东省辖区内企业开展LDAR技术应用的泄漏认定浓度如表7-18所示。该规范作为指导企业开展LDAR技术应用的规范性文件，已自2016年起开始实施，并于2019年1月1日起执行最新的泄漏认定浓度阈值。因此，在本标准中</w:t>
      </w:r>
      <w:r>
        <w:rPr>
          <w:rFonts w:hint="eastAsia" w:cs="Times New Roman"/>
        </w:rPr>
        <w:t>工业</w:t>
      </w:r>
      <w:r>
        <w:rPr>
          <w:rFonts w:cs="Times New Roman"/>
        </w:rPr>
        <w:t>企业设备与管线组件VOCs泄漏认定的浓度与我省已执行的技术规范中要求相一致。</w:t>
      </w:r>
      <w:r>
        <w:rPr>
          <w:rFonts w:hint="eastAsia" w:cs="Times New Roman"/>
        </w:rPr>
        <w:t>对于泄漏检测频率，2</w:t>
      </w:r>
      <w:r>
        <w:rPr>
          <w:rFonts w:cs="Times New Roman"/>
        </w:rPr>
        <w:t>020</w:t>
      </w:r>
      <w:r>
        <w:rPr>
          <w:rFonts w:hint="eastAsia" w:cs="Times New Roman"/>
        </w:rPr>
        <w:t>年</w:t>
      </w:r>
      <w:r>
        <w:rPr>
          <w:rFonts w:cs="Times New Roman"/>
        </w:rPr>
        <w:t>9</w:t>
      </w:r>
      <w:r>
        <w:rPr>
          <w:rFonts w:hint="eastAsia" w:cs="Times New Roman"/>
        </w:rPr>
        <w:t>年生态环境部发布的《工业企业挥发性有机物泄漏检测与修复技术指南（征求意见稿）》规定泵、阀门、开口阀或开口管线、泄压设备、取样连接系统每半年检测1次，法兰及其他连接件、其他密封设备每年1次，如表7-</w:t>
      </w:r>
      <w:r>
        <w:rPr>
          <w:rFonts w:cs="Times New Roman"/>
        </w:rPr>
        <w:t>19</w:t>
      </w:r>
      <w:r>
        <w:rPr>
          <w:rFonts w:hint="eastAsia" w:cs="Times New Roman"/>
        </w:rPr>
        <w:t>所示，本标准参考国家标准规定。</w:t>
      </w:r>
    </w:p>
    <w:p>
      <w:pPr>
        <w:pStyle w:val="13"/>
        <w:spacing w:before="156" w:beforeLines="50" w:after="156" w:afterLines="50"/>
        <w:rPr>
          <w:b w:val="0"/>
        </w:rPr>
      </w:pPr>
      <w:r>
        <w:t>表7-18  《广东省泄漏检测与修复（LDAR）实施技术规范》泄漏控制浓度值</w:t>
      </w:r>
    </w:p>
    <w:tbl>
      <w:tblPr>
        <w:tblStyle w:val="34"/>
        <w:tblW w:w="8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9"/>
        <w:gridCol w:w="2410"/>
        <w:gridCol w:w="2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539" w:type="dxa"/>
            <w:vMerge w:val="restart"/>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设备和管线组件</w:t>
            </w:r>
          </w:p>
        </w:tc>
        <w:tc>
          <w:tcPr>
            <w:tcW w:w="4543" w:type="dxa"/>
            <w:gridSpan w:val="2"/>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泄漏控制浓度（</w:t>
            </w:r>
            <w:r>
              <w:rPr>
                <w:rFonts w:ascii="Times New Roman" w:hAnsi="Times New Roman" w:eastAsiaTheme="minorEastAsia"/>
                <w:sz w:val="22"/>
                <w:szCs w:val="20"/>
              </w:rPr>
              <w:t>μmol/mol</w:t>
            </w: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3539" w:type="dxa"/>
            <w:vMerge w:val="continue"/>
            <w:vAlign w:val="center"/>
          </w:tcPr>
          <w:p>
            <w:pPr>
              <w:pStyle w:val="54"/>
              <w:spacing w:line="320" w:lineRule="exact"/>
              <w:ind w:firstLine="0" w:firstLineChars="0"/>
              <w:jc w:val="center"/>
              <w:rPr>
                <w:rFonts w:ascii="Times New Roman" w:hAnsi="Times New Roman"/>
                <w:kern w:val="0"/>
              </w:rPr>
            </w:pPr>
          </w:p>
        </w:tc>
        <w:tc>
          <w:tcPr>
            <w:tcW w:w="2410"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技术规范实施之日起至2018年12月31日止</w:t>
            </w:r>
          </w:p>
        </w:tc>
        <w:tc>
          <w:tcPr>
            <w:tcW w:w="2133"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自2019年1月1日起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有机气体/蒸气和轻液流经的密封点</w:t>
            </w:r>
          </w:p>
        </w:tc>
        <w:tc>
          <w:tcPr>
            <w:tcW w:w="2410"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1000</w:t>
            </w:r>
          </w:p>
        </w:tc>
        <w:tc>
          <w:tcPr>
            <w:tcW w:w="2133"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重液流经的密封点</w:t>
            </w:r>
          </w:p>
        </w:tc>
        <w:tc>
          <w:tcPr>
            <w:tcW w:w="2410"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250</w:t>
            </w:r>
          </w:p>
        </w:tc>
        <w:tc>
          <w:tcPr>
            <w:tcW w:w="2133"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100</w:t>
            </w:r>
          </w:p>
        </w:tc>
      </w:tr>
    </w:tbl>
    <w:p>
      <w:pPr>
        <w:pStyle w:val="54"/>
        <w:adjustRightInd w:val="0"/>
        <w:spacing w:line="320" w:lineRule="exact"/>
        <w:ind w:firstLine="0" w:firstLineChars="0"/>
        <w:rPr>
          <w:rFonts w:ascii="Times New Roman" w:hAnsi="Times New Roman" w:eastAsiaTheme="minorEastAsia"/>
          <w:b/>
          <w:sz w:val="22"/>
          <w:szCs w:val="20"/>
        </w:rPr>
      </w:pPr>
    </w:p>
    <w:p>
      <w:pPr>
        <w:pStyle w:val="13"/>
        <w:spacing w:before="156" w:beforeLines="50" w:after="156" w:afterLines="50"/>
      </w:pPr>
      <w:r>
        <w:t>表7-19  《</w:t>
      </w:r>
      <w:r>
        <w:rPr>
          <w:rFonts w:hint="eastAsia"/>
        </w:rPr>
        <w:t>工业企业挥发性有机物</w:t>
      </w:r>
      <w:r>
        <w:t>泄漏检测与修复技术</w:t>
      </w:r>
      <w:r>
        <w:rPr>
          <w:rFonts w:hint="eastAsia"/>
        </w:rPr>
        <w:t>指南（征求意见稿）</w:t>
      </w:r>
      <w:r>
        <w:t>》泄漏检测频率表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982"/>
        <w:gridCol w:w="1848"/>
        <w:gridCol w:w="2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tblHeader/>
          <w:jc w:val="center"/>
        </w:trPr>
        <w:tc>
          <w:tcPr>
            <w:tcW w:w="988" w:type="dxa"/>
            <w:vMerge w:val="restart"/>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序号</w:t>
            </w:r>
          </w:p>
        </w:tc>
        <w:tc>
          <w:tcPr>
            <w:tcW w:w="2982" w:type="dxa"/>
            <w:vMerge w:val="restart"/>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设备</w:t>
            </w:r>
          </w:p>
        </w:tc>
        <w:tc>
          <w:tcPr>
            <w:tcW w:w="4110" w:type="dxa"/>
            <w:gridSpan w:val="2"/>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检测频率（FID检测仪定量检测）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tblHeader/>
          <w:jc w:val="center"/>
        </w:trPr>
        <w:tc>
          <w:tcPr>
            <w:tcW w:w="988" w:type="dxa"/>
            <w:vMerge w:val="continue"/>
            <w:vAlign w:val="center"/>
          </w:tcPr>
          <w:p>
            <w:pPr>
              <w:pStyle w:val="54"/>
              <w:spacing w:line="320" w:lineRule="exact"/>
              <w:ind w:firstLine="0" w:firstLineChars="0"/>
              <w:rPr>
                <w:rFonts w:ascii="Times New Roman" w:hAnsi="Times New Roman"/>
                <w:kern w:val="0"/>
              </w:rPr>
            </w:pPr>
          </w:p>
        </w:tc>
        <w:tc>
          <w:tcPr>
            <w:tcW w:w="2982" w:type="dxa"/>
            <w:vMerge w:val="continue"/>
            <w:vAlign w:val="center"/>
          </w:tcPr>
          <w:p>
            <w:pPr>
              <w:pStyle w:val="54"/>
              <w:spacing w:line="320" w:lineRule="exact"/>
              <w:ind w:firstLine="0" w:firstLineChars="0"/>
              <w:rPr>
                <w:rFonts w:ascii="Times New Roman" w:hAnsi="Times New Roman"/>
                <w:kern w:val="0"/>
              </w:rPr>
            </w:pPr>
          </w:p>
        </w:tc>
        <w:tc>
          <w:tcPr>
            <w:tcW w:w="1848"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每</w:t>
            </w:r>
            <w:r>
              <w:rPr>
                <w:rFonts w:hint="eastAsia" w:ascii="Times New Roman" w:hAnsi="Times New Roman"/>
                <w:kern w:val="0"/>
              </w:rPr>
              <w:t>半年1次</w:t>
            </w:r>
          </w:p>
        </w:tc>
        <w:tc>
          <w:tcPr>
            <w:tcW w:w="2262"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每</w:t>
            </w:r>
            <w:r>
              <w:rPr>
                <w:rFonts w:hint="eastAsia" w:ascii="Times New Roman" w:hAnsi="Times New Roman"/>
                <w:kern w:val="0"/>
              </w:rPr>
              <w:t>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88"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1</w:t>
            </w:r>
          </w:p>
        </w:tc>
        <w:tc>
          <w:tcPr>
            <w:tcW w:w="2982" w:type="dxa"/>
            <w:vAlign w:val="center"/>
          </w:tcPr>
          <w:p>
            <w:pPr>
              <w:pStyle w:val="54"/>
              <w:spacing w:line="320" w:lineRule="exact"/>
              <w:ind w:firstLine="0" w:firstLineChars="0"/>
              <w:rPr>
                <w:rFonts w:ascii="Times New Roman" w:hAnsi="Times New Roman"/>
                <w:kern w:val="0"/>
              </w:rPr>
            </w:pPr>
            <w:r>
              <w:rPr>
                <w:rFonts w:ascii="Times New Roman" w:hAnsi="Times New Roman"/>
                <w:kern w:val="0"/>
              </w:rPr>
              <w:t>泵</w:t>
            </w:r>
          </w:p>
        </w:tc>
        <w:tc>
          <w:tcPr>
            <w:tcW w:w="1848"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1次</w:t>
            </w:r>
          </w:p>
        </w:tc>
        <w:tc>
          <w:tcPr>
            <w:tcW w:w="2262"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88"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2</w:t>
            </w:r>
          </w:p>
        </w:tc>
        <w:tc>
          <w:tcPr>
            <w:tcW w:w="2982" w:type="dxa"/>
            <w:vAlign w:val="center"/>
          </w:tcPr>
          <w:p>
            <w:pPr>
              <w:pStyle w:val="54"/>
              <w:spacing w:line="320" w:lineRule="exact"/>
              <w:ind w:firstLine="0" w:firstLineChars="0"/>
              <w:rPr>
                <w:rFonts w:ascii="Times New Roman" w:hAnsi="Times New Roman"/>
                <w:kern w:val="0"/>
              </w:rPr>
            </w:pPr>
            <w:r>
              <w:rPr>
                <w:rFonts w:ascii="Times New Roman" w:hAnsi="Times New Roman"/>
                <w:kern w:val="0"/>
              </w:rPr>
              <w:t>压缩机</w:t>
            </w:r>
          </w:p>
        </w:tc>
        <w:tc>
          <w:tcPr>
            <w:tcW w:w="1848"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1次</w:t>
            </w:r>
          </w:p>
        </w:tc>
        <w:tc>
          <w:tcPr>
            <w:tcW w:w="2262"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88"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3</w:t>
            </w:r>
          </w:p>
        </w:tc>
        <w:tc>
          <w:tcPr>
            <w:tcW w:w="2982" w:type="dxa"/>
            <w:vAlign w:val="center"/>
          </w:tcPr>
          <w:p>
            <w:pPr>
              <w:pStyle w:val="54"/>
              <w:spacing w:line="320" w:lineRule="exact"/>
              <w:ind w:firstLine="0" w:firstLineChars="0"/>
              <w:rPr>
                <w:rFonts w:ascii="Times New Roman" w:hAnsi="Times New Roman"/>
                <w:kern w:val="0"/>
              </w:rPr>
            </w:pPr>
            <w:r>
              <w:rPr>
                <w:rFonts w:ascii="Times New Roman" w:hAnsi="Times New Roman"/>
                <w:kern w:val="0"/>
              </w:rPr>
              <w:t>搅拌器</w:t>
            </w:r>
          </w:p>
        </w:tc>
        <w:tc>
          <w:tcPr>
            <w:tcW w:w="1848"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1次</w:t>
            </w:r>
          </w:p>
        </w:tc>
        <w:tc>
          <w:tcPr>
            <w:tcW w:w="2262"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88"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4</w:t>
            </w:r>
          </w:p>
        </w:tc>
        <w:tc>
          <w:tcPr>
            <w:tcW w:w="2982" w:type="dxa"/>
            <w:vAlign w:val="center"/>
          </w:tcPr>
          <w:p>
            <w:pPr>
              <w:pStyle w:val="54"/>
              <w:spacing w:line="320" w:lineRule="exact"/>
              <w:ind w:firstLine="0" w:firstLineChars="0"/>
              <w:rPr>
                <w:rFonts w:ascii="Times New Roman" w:hAnsi="Times New Roman"/>
                <w:kern w:val="0"/>
              </w:rPr>
            </w:pPr>
            <w:r>
              <w:rPr>
                <w:rFonts w:ascii="Times New Roman" w:hAnsi="Times New Roman"/>
                <w:kern w:val="0"/>
              </w:rPr>
              <w:t>阀门</w:t>
            </w:r>
          </w:p>
        </w:tc>
        <w:tc>
          <w:tcPr>
            <w:tcW w:w="1848"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1次</w:t>
            </w:r>
          </w:p>
        </w:tc>
        <w:tc>
          <w:tcPr>
            <w:tcW w:w="2262"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88"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5</w:t>
            </w:r>
          </w:p>
        </w:tc>
        <w:tc>
          <w:tcPr>
            <w:tcW w:w="2982" w:type="dxa"/>
            <w:vAlign w:val="center"/>
          </w:tcPr>
          <w:p>
            <w:pPr>
              <w:pStyle w:val="54"/>
              <w:spacing w:line="320" w:lineRule="exact"/>
              <w:ind w:firstLine="0" w:firstLineChars="0"/>
              <w:rPr>
                <w:rFonts w:ascii="Times New Roman" w:hAnsi="Times New Roman"/>
                <w:kern w:val="0"/>
              </w:rPr>
            </w:pPr>
            <w:r>
              <w:rPr>
                <w:rFonts w:ascii="Times New Roman" w:hAnsi="Times New Roman"/>
                <w:kern w:val="0"/>
              </w:rPr>
              <w:t>开口阀或开口管线</w:t>
            </w:r>
          </w:p>
        </w:tc>
        <w:tc>
          <w:tcPr>
            <w:tcW w:w="1848"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1次</w:t>
            </w:r>
          </w:p>
        </w:tc>
        <w:tc>
          <w:tcPr>
            <w:tcW w:w="2262"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88"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6</w:t>
            </w:r>
          </w:p>
        </w:tc>
        <w:tc>
          <w:tcPr>
            <w:tcW w:w="2982" w:type="dxa"/>
            <w:vAlign w:val="center"/>
          </w:tcPr>
          <w:p>
            <w:pPr>
              <w:pStyle w:val="54"/>
              <w:spacing w:line="320" w:lineRule="exact"/>
              <w:ind w:firstLine="0" w:firstLineChars="0"/>
              <w:rPr>
                <w:rFonts w:ascii="Times New Roman" w:hAnsi="Times New Roman"/>
                <w:kern w:val="0"/>
              </w:rPr>
            </w:pPr>
            <w:r>
              <w:rPr>
                <w:rFonts w:ascii="Times New Roman" w:hAnsi="Times New Roman"/>
                <w:kern w:val="0"/>
              </w:rPr>
              <w:t>气体/蒸气泄压设备</w:t>
            </w:r>
          </w:p>
        </w:tc>
        <w:tc>
          <w:tcPr>
            <w:tcW w:w="1848"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1次</w:t>
            </w:r>
          </w:p>
        </w:tc>
        <w:tc>
          <w:tcPr>
            <w:tcW w:w="2262"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88"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7</w:t>
            </w:r>
          </w:p>
        </w:tc>
        <w:tc>
          <w:tcPr>
            <w:tcW w:w="2982" w:type="dxa"/>
            <w:vAlign w:val="center"/>
          </w:tcPr>
          <w:p>
            <w:pPr>
              <w:pStyle w:val="54"/>
              <w:spacing w:line="320" w:lineRule="exact"/>
              <w:ind w:firstLine="0" w:firstLineChars="0"/>
              <w:rPr>
                <w:rFonts w:ascii="Times New Roman" w:hAnsi="Times New Roman"/>
                <w:kern w:val="0"/>
              </w:rPr>
            </w:pPr>
            <w:r>
              <w:rPr>
                <w:rFonts w:ascii="Times New Roman" w:hAnsi="Times New Roman"/>
                <w:kern w:val="0"/>
              </w:rPr>
              <w:t>取样连接系统</w:t>
            </w:r>
          </w:p>
        </w:tc>
        <w:tc>
          <w:tcPr>
            <w:tcW w:w="1848"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1次</w:t>
            </w:r>
          </w:p>
        </w:tc>
        <w:tc>
          <w:tcPr>
            <w:tcW w:w="2262"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88"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8</w:t>
            </w:r>
          </w:p>
        </w:tc>
        <w:tc>
          <w:tcPr>
            <w:tcW w:w="2982" w:type="dxa"/>
            <w:vAlign w:val="center"/>
          </w:tcPr>
          <w:p>
            <w:pPr>
              <w:pStyle w:val="54"/>
              <w:spacing w:line="320" w:lineRule="exact"/>
              <w:ind w:firstLine="0" w:firstLineChars="0"/>
              <w:rPr>
                <w:rFonts w:ascii="Times New Roman" w:hAnsi="Times New Roman"/>
                <w:kern w:val="0"/>
              </w:rPr>
            </w:pPr>
            <w:r>
              <w:rPr>
                <w:rFonts w:ascii="Times New Roman" w:hAnsi="Times New Roman"/>
                <w:kern w:val="0"/>
              </w:rPr>
              <w:t>法兰及其他连接件</w:t>
            </w:r>
          </w:p>
        </w:tc>
        <w:tc>
          <w:tcPr>
            <w:tcW w:w="1848"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w:t>
            </w:r>
          </w:p>
        </w:tc>
        <w:tc>
          <w:tcPr>
            <w:tcW w:w="2262"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88"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9</w:t>
            </w:r>
          </w:p>
        </w:tc>
        <w:tc>
          <w:tcPr>
            <w:tcW w:w="2982" w:type="dxa"/>
            <w:vAlign w:val="center"/>
          </w:tcPr>
          <w:p>
            <w:pPr>
              <w:pStyle w:val="54"/>
              <w:spacing w:line="320" w:lineRule="exact"/>
              <w:ind w:firstLine="0" w:firstLineChars="0"/>
              <w:rPr>
                <w:rFonts w:ascii="Times New Roman" w:hAnsi="Times New Roman"/>
                <w:kern w:val="0"/>
              </w:rPr>
            </w:pPr>
            <w:r>
              <w:rPr>
                <w:rFonts w:ascii="Times New Roman" w:hAnsi="Times New Roman"/>
                <w:kern w:val="0"/>
              </w:rPr>
              <w:t>其他密封设备</w:t>
            </w:r>
          </w:p>
        </w:tc>
        <w:tc>
          <w:tcPr>
            <w:tcW w:w="1848"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w:t>
            </w:r>
          </w:p>
        </w:tc>
        <w:tc>
          <w:tcPr>
            <w:tcW w:w="2262" w:type="dxa"/>
            <w:vAlign w:val="center"/>
          </w:tcPr>
          <w:p>
            <w:pPr>
              <w:pStyle w:val="54"/>
              <w:spacing w:line="320" w:lineRule="exact"/>
              <w:ind w:firstLine="0" w:firstLineChars="0"/>
              <w:jc w:val="center"/>
              <w:rPr>
                <w:rFonts w:ascii="Times New Roman" w:hAnsi="Times New Roman"/>
                <w:kern w:val="0"/>
              </w:rPr>
            </w:pPr>
            <w:r>
              <w:rPr>
                <w:rFonts w:ascii="Times New Roman" w:hAnsi="Times New Roman"/>
                <w:kern w:val="0"/>
              </w:rPr>
              <w:t>1次</w:t>
            </w:r>
          </w:p>
        </w:tc>
      </w:tr>
    </w:tbl>
    <w:p>
      <w:pPr>
        <w:pStyle w:val="3"/>
        <w:spacing w:line="720" w:lineRule="auto"/>
        <w:ind w:left="0" w:firstLine="0"/>
      </w:pPr>
      <w:bookmarkStart w:id="171" w:name="_Toc75787656"/>
      <w:r>
        <w:t>与国内外标准限值比较</w:t>
      </w:r>
      <w:bookmarkEnd w:id="170"/>
      <w:bookmarkEnd w:id="171"/>
    </w:p>
    <w:p>
      <w:pPr>
        <w:pStyle w:val="4"/>
        <w:ind w:left="0" w:firstLine="0"/>
      </w:pPr>
      <w:r>
        <w:t>与国家和广东省大气污染物综合排放标准对比</w:t>
      </w:r>
    </w:p>
    <w:p>
      <w:pPr>
        <w:pStyle w:val="68"/>
        <w:rPr>
          <w:rFonts w:cs="Times New Roman"/>
        </w:rPr>
      </w:pPr>
      <w:r>
        <w:rPr>
          <w:rFonts w:cs="Times New Roman"/>
        </w:rPr>
        <w:t>国家《大气污染物综合排放标准》（GB16297-1996）和《广东省大气污染物排放限值》（DB 44/27-2001）VOCs控制指标及排放限值一致，</w:t>
      </w:r>
      <w:r>
        <w:rPr>
          <w:rFonts w:hint="eastAsia" w:cs="Times New Roman"/>
        </w:rPr>
        <w:t>本标准设置苯、苯系物、非甲烷总烃和T</w:t>
      </w:r>
      <w:r>
        <w:rPr>
          <w:rFonts w:cs="Times New Roman"/>
        </w:rPr>
        <w:t>VOC</w:t>
      </w:r>
      <w:r>
        <w:rPr>
          <w:rFonts w:hint="eastAsia" w:cs="Times New Roman"/>
        </w:rPr>
        <w:t>为有组织排放控制指标，控制指标数量相比于国家和广东省大气综标减少，但限值均进一步加严。本标准新增</w:t>
      </w:r>
      <w:r>
        <w:rPr>
          <w:rFonts w:cs="Times New Roman"/>
        </w:rPr>
        <w:t>苯系物指标</w:t>
      </w:r>
      <w:r>
        <w:rPr>
          <w:rFonts w:hint="eastAsia" w:cs="Times New Roman"/>
        </w:rPr>
        <w:t>（</w:t>
      </w:r>
      <w:r>
        <w:rPr>
          <w:rFonts w:cs="Times New Roman"/>
        </w:rPr>
        <w:t>包括苯、甲苯、二甲苯、三甲苯、乙苯和苯乙烯</w:t>
      </w:r>
      <w:r>
        <w:rPr>
          <w:rFonts w:hint="eastAsia" w:cs="Times New Roman"/>
        </w:rPr>
        <w:t>）和T</w:t>
      </w:r>
      <w:r>
        <w:rPr>
          <w:rFonts w:cs="Times New Roman"/>
        </w:rPr>
        <w:t>VOC</w:t>
      </w:r>
      <w:r>
        <w:rPr>
          <w:rFonts w:hint="eastAsia" w:cs="Times New Roman"/>
        </w:rPr>
        <w:t>，其排放限值分别为为4</w:t>
      </w:r>
      <w:r>
        <w:rPr>
          <w:rFonts w:cs="Times New Roman"/>
        </w:rPr>
        <w:t>0 mg/m</w:t>
      </w:r>
      <w:r>
        <w:rPr>
          <w:rFonts w:cs="Times New Roman"/>
          <w:vertAlign w:val="superscript"/>
        </w:rPr>
        <w:t>3</w:t>
      </w:r>
      <w:r>
        <w:rPr>
          <w:rFonts w:hint="eastAsia" w:cs="Times New Roman"/>
        </w:rPr>
        <w:t>和1</w:t>
      </w:r>
      <w:r>
        <w:rPr>
          <w:rFonts w:cs="Times New Roman"/>
        </w:rPr>
        <w:t>00 mg/m</w:t>
      </w:r>
      <w:r>
        <w:rPr>
          <w:rFonts w:cs="Times New Roman"/>
          <w:vertAlign w:val="superscript"/>
        </w:rPr>
        <w:t>3</w:t>
      </w:r>
      <w:r>
        <w:rPr>
          <w:rFonts w:cs="Times New Roman"/>
        </w:rPr>
        <w:t>。苯作为致癌物，</w:t>
      </w:r>
      <w:r>
        <w:rPr>
          <w:rFonts w:hint="eastAsia" w:cs="Times New Roman"/>
        </w:rPr>
        <w:t>限值由1</w:t>
      </w:r>
      <w:r>
        <w:rPr>
          <w:rFonts w:cs="Times New Roman"/>
        </w:rPr>
        <w:t>2 mg/m</w:t>
      </w:r>
      <w:r>
        <w:rPr>
          <w:rFonts w:cs="Times New Roman"/>
          <w:vertAlign w:val="superscript"/>
        </w:rPr>
        <w:t>3</w:t>
      </w:r>
      <w:r>
        <w:rPr>
          <w:rFonts w:cs="Times New Roman"/>
        </w:rPr>
        <w:t>收严</w:t>
      </w:r>
      <w:r>
        <w:rPr>
          <w:rFonts w:hint="eastAsia" w:cs="Times New Roman"/>
        </w:rPr>
        <w:t>至2</w:t>
      </w:r>
      <w:r>
        <w:rPr>
          <w:rFonts w:cs="Times New Roman"/>
        </w:rPr>
        <w:t xml:space="preserve"> mg/m</w:t>
      </w:r>
      <w:r>
        <w:rPr>
          <w:rFonts w:cs="Times New Roman"/>
          <w:vertAlign w:val="superscript"/>
        </w:rPr>
        <w:t>3</w:t>
      </w:r>
      <w:r>
        <w:rPr>
          <w:rFonts w:cs="Times New Roman"/>
        </w:rPr>
        <w:t>，NMHC作为综合控制指标，收严了33%</w:t>
      </w:r>
      <w:r>
        <w:rPr>
          <w:rFonts w:hint="eastAsia" w:cs="Times New Roman"/>
        </w:rPr>
        <w:t>（表7-</w:t>
      </w:r>
      <w:r>
        <w:rPr>
          <w:rFonts w:cs="Times New Roman"/>
        </w:rPr>
        <w:t>20</w:t>
      </w:r>
      <w:r>
        <w:rPr>
          <w:rFonts w:hint="eastAsia" w:cs="Times New Roman"/>
        </w:rPr>
        <w:t>）</w:t>
      </w:r>
      <w:r>
        <w:rPr>
          <w:rFonts w:cs="Times New Roman"/>
        </w:rPr>
        <w:t>。</w:t>
      </w:r>
      <w:r>
        <w:rPr>
          <w:rFonts w:hint="eastAsia" w:cs="Times New Roman"/>
        </w:rPr>
        <w:t>5种企业边界控制指标限值相比于国家和广东省大气综标均有不同程度的收严（表7</w:t>
      </w:r>
      <w:r>
        <w:rPr>
          <w:rFonts w:cs="Times New Roman"/>
        </w:rPr>
        <w:t>-21</w:t>
      </w:r>
      <w:r>
        <w:rPr>
          <w:rFonts w:hint="eastAsia" w:cs="Times New Roman"/>
        </w:rPr>
        <w:t>）。</w:t>
      </w:r>
    </w:p>
    <w:p>
      <w:pPr>
        <w:pStyle w:val="13"/>
        <w:spacing w:before="156" w:beforeLines="50" w:after="156" w:afterLines="50"/>
      </w:pPr>
      <w:r>
        <w:t>表7-20  本标准</w:t>
      </w:r>
      <w:r>
        <w:rPr>
          <w:rFonts w:hint="eastAsia"/>
        </w:rPr>
        <w:t>有组织排放限值</w:t>
      </w:r>
      <w:r>
        <w:t>与</w:t>
      </w:r>
      <w:r>
        <w:rPr>
          <w:rFonts w:hint="eastAsia"/>
        </w:rPr>
        <w:t>国家和广东省大气综标</w:t>
      </w:r>
      <w:r>
        <w:t>对比</w:t>
      </w:r>
      <w:r>
        <w:rPr>
          <w:rFonts w:hint="eastAsia"/>
        </w:rPr>
        <w:t>（</w:t>
      </w:r>
      <w:r>
        <w:t>mg/m</w:t>
      </w:r>
      <w:r>
        <w:rPr>
          <w:vertAlign w:val="superscript"/>
        </w:rPr>
        <w:t>3</w:t>
      </w:r>
      <w:r>
        <w:rPr>
          <w:rFonts w:hint="eastAsia"/>
        </w:rPr>
        <w:t>）</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1229"/>
        <w:gridCol w:w="1629"/>
        <w:gridCol w:w="1408"/>
        <w:gridCol w:w="2131"/>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16" w:type="pct"/>
            <w:vMerge w:val="restart"/>
            <w:shd w:val="clear" w:color="auto" w:fill="auto"/>
            <w:vAlign w:val="center"/>
          </w:tcPr>
          <w:p>
            <w:pPr>
              <w:jc w:val="center"/>
              <w:rPr>
                <w:rFonts w:ascii="Times New Roman" w:hAnsi="Times New Roman"/>
                <w:b/>
                <w:bCs/>
                <w:color w:val="000000"/>
                <w:kern w:val="0"/>
              </w:rPr>
            </w:pPr>
            <w:r>
              <w:rPr>
                <w:rFonts w:ascii="Times New Roman" w:hAnsi="Times New Roman"/>
                <w:b/>
                <w:bCs/>
                <w:color w:val="000000"/>
                <w:kern w:val="0"/>
              </w:rPr>
              <w:t>序号</w:t>
            </w:r>
          </w:p>
        </w:tc>
        <w:tc>
          <w:tcPr>
            <w:tcW w:w="721" w:type="pct"/>
            <w:vMerge w:val="restart"/>
            <w:shd w:val="clear" w:color="auto" w:fill="auto"/>
            <w:vAlign w:val="center"/>
          </w:tcPr>
          <w:p>
            <w:pPr>
              <w:jc w:val="center"/>
              <w:rPr>
                <w:rFonts w:ascii="Times New Roman" w:hAnsi="Times New Roman"/>
                <w:b/>
                <w:bCs/>
                <w:color w:val="000000"/>
                <w:kern w:val="0"/>
              </w:rPr>
            </w:pPr>
            <w:r>
              <w:rPr>
                <w:rFonts w:ascii="Times New Roman" w:hAnsi="Times New Roman"/>
                <w:b/>
                <w:bCs/>
                <w:color w:val="000000"/>
                <w:kern w:val="0"/>
              </w:rPr>
              <w:t>污染物</w:t>
            </w:r>
          </w:p>
        </w:tc>
        <w:tc>
          <w:tcPr>
            <w:tcW w:w="1782" w:type="pct"/>
            <w:gridSpan w:val="2"/>
            <w:shd w:val="clear" w:color="auto" w:fill="auto"/>
            <w:noWrap/>
            <w:vAlign w:val="center"/>
          </w:tcPr>
          <w:p>
            <w:pPr>
              <w:widowControl/>
              <w:jc w:val="center"/>
              <w:rPr>
                <w:rFonts w:ascii="Times New Roman" w:hAnsi="Times New Roman"/>
                <w:b/>
                <w:bCs/>
                <w:color w:val="000000"/>
                <w:kern w:val="0"/>
              </w:rPr>
            </w:pPr>
            <w:r>
              <w:rPr>
                <w:rFonts w:hint="eastAsia" w:ascii="Times New Roman" w:hAnsi="Times New Roman"/>
                <w:b/>
                <w:bCs/>
                <w:color w:val="000000"/>
                <w:kern w:val="0"/>
              </w:rPr>
              <w:t>《大气污染物综合排放标准》</w:t>
            </w:r>
          </w:p>
          <w:p>
            <w:pPr>
              <w:widowControl/>
              <w:jc w:val="center"/>
              <w:rPr>
                <w:rFonts w:ascii="Times New Roman" w:hAnsi="Times New Roman"/>
                <w:b/>
                <w:bCs/>
                <w:color w:val="000000"/>
                <w:kern w:val="0"/>
              </w:rPr>
            </w:pPr>
            <w:r>
              <w:rPr>
                <w:rFonts w:ascii="Times New Roman" w:hAnsi="Times New Roman"/>
                <w:b/>
                <w:bCs/>
                <w:color w:val="000000"/>
                <w:kern w:val="0"/>
              </w:rPr>
              <w:t>GB16297-1996</w:t>
            </w:r>
          </w:p>
        </w:tc>
        <w:tc>
          <w:tcPr>
            <w:tcW w:w="1250" w:type="pct"/>
            <w:vMerge w:val="restart"/>
            <w:vAlign w:val="center"/>
          </w:tcPr>
          <w:p>
            <w:pPr>
              <w:jc w:val="center"/>
              <w:rPr>
                <w:rFonts w:ascii="Times New Roman" w:hAnsi="Times New Roman"/>
                <w:b/>
                <w:bCs/>
                <w:color w:val="000000"/>
                <w:kern w:val="0"/>
              </w:rPr>
            </w:pPr>
            <w:r>
              <w:rPr>
                <w:rFonts w:hint="eastAsia" w:ascii="Times New Roman" w:hAnsi="Times New Roman"/>
                <w:b/>
                <w:bCs/>
                <w:color w:val="000000"/>
                <w:kern w:val="0"/>
              </w:rPr>
              <w:t>《广东省大气污染物排放限值》</w:t>
            </w:r>
          </w:p>
          <w:p>
            <w:pPr>
              <w:jc w:val="center"/>
              <w:rPr>
                <w:rFonts w:ascii="Times New Roman" w:hAnsi="Times New Roman"/>
                <w:b/>
                <w:bCs/>
                <w:color w:val="000000"/>
                <w:kern w:val="0"/>
              </w:rPr>
            </w:pPr>
            <w:r>
              <w:rPr>
                <w:rFonts w:ascii="Times New Roman" w:hAnsi="Times New Roman"/>
                <w:b/>
                <w:bCs/>
                <w:color w:val="000000"/>
                <w:kern w:val="0"/>
              </w:rPr>
              <w:t>DB 44/27-2001</w:t>
            </w:r>
          </w:p>
        </w:tc>
        <w:tc>
          <w:tcPr>
            <w:tcW w:w="731" w:type="pct"/>
            <w:vMerge w:val="restart"/>
            <w:shd w:val="clear" w:color="auto" w:fill="auto"/>
            <w:noWrap/>
            <w:vAlign w:val="center"/>
          </w:tcPr>
          <w:p>
            <w:pPr>
              <w:widowControl/>
              <w:jc w:val="center"/>
              <w:rPr>
                <w:rFonts w:ascii="Times New Roman" w:hAnsi="Times New Roman"/>
                <w:b/>
                <w:bCs/>
                <w:color w:val="000000"/>
                <w:kern w:val="0"/>
              </w:rPr>
            </w:pPr>
            <w:r>
              <w:rPr>
                <w:rFonts w:ascii="Times New Roman" w:hAnsi="Times New Roman"/>
                <w:b/>
                <w:bCs/>
                <w:color w:val="000000"/>
                <w:kern w:val="0"/>
              </w:rPr>
              <w:t>本标准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16" w:type="pct"/>
            <w:vMerge w:val="continue"/>
            <w:shd w:val="clear" w:color="auto" w:fill="auto"/>
            <w:vAlign w:val="center"/>
          </w:tcPr>
          <w:p>
            <w:pPr>
              <w:widowControl/>
              <w:jc w:val="center"/>
              <w:rPr>
                <w:rFonts w:ascii="Times New Roman" w:hAnsi="Times New Roman"/>
                <w:b/>
                <w:bCs/>
                <w:color w:val="000000"/>
                <w:kern w:val="0"/>
              </w:rPr>
            </w:pPr>
          </w:p>
        </w:tc>
        <w:tc>
          <w:tcPr>
            <w:tcW w:w="721" w:type="pct"/>
            <w:vMerge w:val="continue"/>
            <w:shd w:val="clear" w:color="auto" w:fill="auto"/>
            <w:vAlign w:val="center"/>
          </w:tcPr>
          <w:p>
            <w:pPr>
              <w:widowControl/>
              <w:jc w:val="center"/>
              <w:rPr>
                <w:rFonts w:ascii="Times New Roman" w:hAnsi="Times New Roman"/>
                <w:b/>
                <w:bCs/>
                <w:color w:val="000000"/>
                <w:kern w:val="0"/>
              </w:rPr>
            </w:pPr>
          </w:p>
        </w:tc>
        <w:tc>
          <w:tcPr>
            <w:tcW w:w="956" w:type="pct"/>
            <w:shd w:val="clear" w:color="auto" w:fill="auto"/>
            <w:vAlign w:val="center"/>
          </w:tcPr>
          <w:p>
            <w:pPr>
              <w:widowControl/>
              <w:jc w:val="center"/>
              <w:rPr>
                <w:rFonts w:ascii="Times New Roman" w:hAnsi="Times New Roman"/>
                <w:b/>
                <w:bCs/>
                <w:color w:val="000000"/>
                <w:kern w:val="0"/>
              </w:rPr>
            </w:pPr>
            <w:r>
              <w:rPr>
                <w:rFonts w:ascii="Times New Roman" w:hAnsi="Times New Roman"/>
                <w:b/>
                <w:bCs/>
                <w:color w:val="000000"/>
                <w:kern w:val="0"/>
              </w:rPr>
              <w:t>现有</w:t>
            </w:r>
          </w:p>
        </w:tc>
        <w:tc>
          <w:tcPr>
            <w:tcW w:w="826" w:type="pct"/>
            <w:shd w:val="clear" w:color="auto" w:fill="auto"/>
            <w:vAlign w:val="center"/>
          </w:tcPr>
          <w:p>
            <w:pPr>
              <w:widowControl/>
              <w:jc w:val="center"/>
              <w:rPr>
                <w:rFonts w:ascii="Times New Roman" w:hAnsi="Times New Roman"/>
                <w:b/>
                <w:bCs/>
                <w:color w:val="000000"/>
                <w:kern w:val="0"/>
              </w:rPr>
            </w:pPr>
            <w:r>
              <w:rPr>
                <w:rFonts w:ascii="Times New Roman" w:hAnsi="Times New Roman"/>
                <w:b/>
                <w:bCs/>
                <w:color w:val="000000"/>
                <w:kern w:val="0"/>
              </w:rPr>
              <w:t>新建</w:t>
            </w:r>
          </w:p>
        </w:tc>
        <w:tc>
          <w:tcPr>
            <w:tcW w:w="1250" w:type="pct"/>
            <w:vMerge w:val="continue"/>
            <w:vAlign w:val="center"/>
          </w:tcPr>
          <w:p>
            <w:pPr>
              <w:widowControl/>
              <w:jc w:val="center"/>
              <w:rPr>
                <w:rFonts w:ascii="Times New Roman" w:hAnsi="Times New Roman"/>
                <w:color w:val="000000"/>
                <w:kern w:val="0"/>
              </w:rPr>
            </w:pPr>
          </w:p>
        </w:tc>
        <w:tc>
          <w:tcPr>
            <w:tcW w:w="731" w:type="pct"/>
            <w:vMerge w:val="continue"/>
            <w:shd w:val="clear" w:color="auto" w:fill="auto"/>
            <w:noWrap/>
            <w:vAlign w:val="center"/>
          </w:tcPr>
          <w:p>
            <w:pPr>
              <w:widowControl/>
              <w:jc w:val="center"/>
              <w:rPr>
                <w:rFonts w:ascii="Times New Roman" w:hAnsi="Times New Roman"/>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16"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1</w:t>
            </w:r>
          </w:p>
        </w:tc>
        <w:tc>
          <w:tcPr>
            <w:tcW w:w="721"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苯</w:t>
            </w:r>
          </w:p>
        </w:tc>
        <w:tc>
          <w:tcPr>
            <w:tcW w:w="956"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17</w:t>
            </w:r>
          </w:p>
        </w:tc>
        <w:tc>
          <w:tcPr>
            <w:tcW w:w="826"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12</w:t>
            </w:r>
          </w:p>
        </w:tc>
        <w:tc>
          <w:tcPr>
            <w:tcW w:w="1250" w:type="pct"/>
            <w:vAlign w:val="center"/>
          </w:tcPr>
          <w:p>
            <w:pPr>
              <w:widowControl/>
              <w:jc w:val="center"/>
              <w:rPr>
                <w:rFonts w:ascii="Times New Roman" w:hAnsi="Times New Roman"/>
                <w:color w:val="000000"/>
                <w:kern w:val="0"/>
              </w:rPr>
            </w:pPr>
            <w:r>
              <w:rPr>
                <w:rFonts w:ascii="Times New Roman" w:hAnsi="Times New Roman"/>
                <w:color w:val="000000"/>
                <w:kern w:val="0"/>
              </w:rPr>
              <w:t>12</w:t>
            </w:r>
          </w:p>
        </w:tc>
        <w:tc>
          <w:tcPr>
            <w:tcW w:w="731"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16"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2</w:t>
            </w:r>
          </w:p>
        </w:tc>
        <w:tc>
          <w:tcPr>
            <w:tcW w:w="721"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甲苯</w:t>
            </w:r>
          </w:p>
        </w:tc>
        <w:tc>
          <w:tcPr>
            <w:tcW w:w="956"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60</w:t>
            </w:r>
          </w:p>
        </w:tc>
        <w:tc>
          <w:tcPr>
            <w:tcW w:w="826"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40</w:t>
            </w:r>
          </w:p>
        </w:tc>
        <w:tc>
          <w:tcPr>
            <w:tcW w:w="1250" w:type="pct"/>
            <w:vAlign w:val="center"/>
          </w:tcPr>
          <w:p>
            <w:pPr>
              <w:widowControl/>
              <w:jc w:val="center"/>
              <w:rPr>
                <w:rFonts w:ascii="Times New Roman" w:hAnsi="Times New Roman"/>
                <w:color w:val="000000"/>
                <w:kern w:val="0"/>
              </w:rPr>
            </w:pPr>
            <w:r>
              <w:rPr>
                <w:rFonts w:ascii="Times New Roman" w:hAnsi="Times New Roman"/>
                <w:color w:val="000000"/>
                <w:kern w:val="0"/>
              </w:rPr>
              <w:t>40</w:t>
            </w:r>
          </w:p>
        </w:tc>
        <w:tc>
          <w:tcPr>
            <w:tcW w:w="731" w:type="pct"/>
            <w:shd w:val="clear" w:color="auto" w:fill="auto"/>
            <w:noWrap/>
          </w:tcPr>
          <w:p>
            <w:pPr>
              <w:widowControl/>
              <w:jc w:val="center"/>
              <w:rPr>
                <w:rFonts w:ascii="Times New Roman" w:hAnsi="Times New Roman"/>
                <w:color w:val="000000"/>
                <w:kern w:val="0"/>
              </w:rPr>
            </w:pPr>
            <w:r>
              <w:rPr>
                <w:rFonts w:ascii="Times New Roman" w:hAnsi="Times New Roman"/>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16"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3</w:t>
            </w:r>
          </w:p>
        </w:tc>
        <w:tc>
          <w:tcPr>
            <w:tcW w:w="721"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二甲苯</w:t>
            </w:r>
          </w:p>
        </w:tc>
        <w:tc>
          <w:tcPr>
            <w:tcW w:w="956"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90</w:t>
            </w:r>
          </w:p>
        </w:tc>
        <w:tc>
          <w:tcPr>
            <w:tcW w:w="826"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70</w:t>
            </w:r>
          </w:p>
        </w:tc>
        <w:tc>
          <w:tcPr>
            <w:tcW w:w="1250" w:type="pct"/>
            <w:vAlign w:val="center"/>
          </w:tcPr>
          <w:p>
            <w:pPr>
              <w:widowControl/>
              <w:jc w:val="center"/>
              <w:rPr>
                <w:rFonts w:ascii="Times New Roman" w:hAnsi="Times New Roman"/>
                <w:color w:val="000000"/>
                <w:kern w:val="0"/>
              </w:rPr>
            </w:pPr>
            <w:r>
              <w:rPr>
                <w:rFonts w:ascii="Times New Roman" w:hAnsi="Times New Roman"/>
                <w:color w:val="000000"/>
                <w:kern w:val="0"/>
              </w:rPr>
              <w:t>70</w:t>
            </w:r>
          </w:p>
        </w:tc>
        <w:tc>
          <w:tcPr>
            <w:tcW w:w="731" w:type="pct"/>
            <w:shd w:val="clear" w:color="auto" w:fill="auto"/>
            <w:noWrap/>
          </w:tcPr>
          <w:p>
            <w:pPr>
              <w:widowControl/>
              <w:jc w:val="center"/>
              <w:rPr>
                <w:rFonts w:ascii="Times New Roman" w:hAnsi="Times New Roman"/>
                <w:color w:val="000000"/>
                <w:kern w:val="0"/>
              </w:rPr>
            </w:pPr>
            <w:r>
              <w:rPr>
                <w:rFonts w:ascii="Times New Roman" w:hAnsi="Times New Roman"/>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16"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4</w:t>
            </w:r>
          </w:p>
        </w:tc>
        <w:tc>
          <w:tcPr>
            <w:tcW w:w="721"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苯系物</w:t>
            </w:r>
          </w:p>
        </w:tc>
        <w:tc>
          <w:tcPr>
            <w:tcW w:w="956"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w:t>
            </w:r>
          </w:p>
        </w:tc>
        <w:tc>
          <w:tcPr>
            <w:tcW w:w="826" w:type="pct"/>
            <w:shd w:val="clear" w:color="auto" w:fill="auto"/>
            <w:noWrap/>
            <w:vAlign w:val="center"/>
          </w:tcPr>
          <w:p>
            <w:pPr>
              <w:widowControl/>
              <w:jc w:val="center"/>
              <w:rPr>
                <w:rFonts w:ascii="Times New Roman" w:hAnsi="Times New Roman" w:eastAsia="Times New Roman"/>
                <w:kern w:val="0"/>
              </w:rPr>
            </w:pPr>
            <w:r>
              <w:rPr>
                <w:rFonts w:ascii="Times New Roman" w:hAnsi="Times New Roman"/>
                <w:color w:val="000000"/>
                <w:kern w:val="0"/>
              </w:rPr>
              <w:t>/</w:t>
            </w:r>
          </w:p>
        </w:tc>
        <w:tc>
          <w:tcPr>
            <w:tcW w:w="1250" w:type="pct"/>
            <w:vAlign w:val="center"/>
          </w:tcPr>
          <w:p>
            <w:pPr>
              <w:widowControl/>
              <w:jc w:val="center"/>
              <w:rPr>
                <w:rFonts w:ascii="Times New Roman" w:hAnsi="Times New Roman"/>
                <w:color w:val="000000"/>
                <w:kern w:val="0"/>
              </w:rPr>
            </w:pPr>
            <w:r>
              <w:rPr>
                <w:rFonts w:ascii="Times New Roman" w:hAnsi="Times New Roman"/>
                <w:color w:val="000000"/>
                <w:kern w:val="0"/>
              </w:rPr>
              <w:t>/</w:t>
            </w:r>
          </w:p>
        </w:tc>
        <w:tc>
          <w:tcPr>
            <w:tcW w:w="731"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16"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5</w:t>
            </w:r>
          </w:p>
        </w:tc>
        <w:tc>
          <w:tcPr>
            <w:tcW w:w="721"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非甲烷总烃</w:t>
            </w:r>
          </w:p>
        </w:tc>
        <w:tc>
          <w:tcPr>
            <w:tcW w:w="956"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150</w:t>
            </w:r>
          </w:p>
        </w:tc>
        <w:tc>
          <w:tcPr>
            <w:tcW w:w="826"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120</w:t>
            </w:r>
          </w:p>
        </w:tc>
        <w:tc>
          <w:tcPr>
            <w:tcW w:w="1250" w:type="pct"/>
            <w:vAlign w:val="center"/>
          </w:tcPr>
          <w:p>
            <w:pPr>
              <w:widowControl/>
              <w:jc w:val="center"/>
              <w:rPr>
                <w:rFonts w:ascii="Times New Roman" w:hAnsi="Times New Roman"/>
                <w:color w:val="000000"/>
                <w:kern w:val="0"/>
              </w:rPr>
            </w:pPr>
            <w:r>
              <w:rPr>
                <w:rFonts w:ascii="Times New Roman" w:hAnsi="Times New Roman"/>
                <w:color w:val="000000"/>
                <w:kern w:val="0"/>
              </w:rPr>
              <w:t>120</w:t>
            </w:r>
          </w:p>
        </w:tc>
        <w:tc>
          <w:tcPr>
            <w:tcW w:w="731"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16"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6</w:t>
            </w:r>
          </w:p>
        </w:tc>
        <w:tc>
          <w:tcPr>
            <w:tcW w:w="721"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TVOC</w:t>
            </w:r>
          </w:p>
        </w:tc>
        <w:tc>
          <w:tcPr>
            <w:tcW w:w="956" w:type="pct"/>
            <w:shd w:val="clear" w:color="auto" w:fill="auto"/>
            <w:noWrap/>
          </w:tcPr>
          <w:p>
            <w:pPr>
              <w:widowControl/>
              <w:jc w:val="center"/>
              <w:rPr>
                <w:rFonts w:ascii="Times New Roman" w:hAnsi="Times New Roman"/>
                <w:color w:val="000000"/>
                <w:kern w:val="0"/>
              </w:rPr>
            </w:pPr>
            <w:r>
              <w:rPr>
                <w:rFonts w:ascii="Times New Roman" w:hAnsi="Times New Roman"/>
                <w:color w:val="000000"/>
                <w:kern w:val="0"/>
              </w:rPr>
              <w:t>/</w:t>
            </w:r>
          </w:p>
        </w:tc>
        <w:tc>
          <w:tcPr>
            <w:tcW w:w="826" w:type="pct"/>
            <w:shd w:val="clear" w:color="auto" w:fill="auto"/>
            <w:noWrap/>
          </w:tcPr>
          <w:p>
            <w:pPr>
              <w:widowControl/>
              <w:jc w:val="left"/>
              <w:rPr>
                <w:rFonts w:ascii="Times New Roman" w:hAnsi="Times New Roman" w:eastAsia="Times New Roman"/>
                <w:kern w:val="0"/>
              </w:rPr>
            </w:pPr>
            <w:r>
              <w:rPr>
                <w:rFonts w:ascii="Times New Roman" w:hAnsi="Times New Roman"/>
                <w:color w:val="000000"/>
                <w:kern w:val="0"/>
              </w:rPr>
              <w:t>/</w:t>
            </w:r>
          </w:p>
        </w:tc>
        <w:tc>
          <w:tcPr>
            <w:tcW w:w="1250" w:type="pct"/>
            <w:vAlign w:val="center"/>
          </w:tcPr>
          <w:p>
            <w:pPr>
              <w:widowControl/>
              <w:jc w:val="center"/>
              <w:rPr>
                <w:rFonts w:ascii="Times New Roman" w:hAnsi="Times New Roman"/>
                <w:color w:val="000000"/>
                <w:kern w:val="0"/>
              </w:rPr>
            </w:pPr>
            <w:r>
              <w:rPr>
                <w:rFonts w:ascii="Times New Roman" w:hAnsi="Times New Roman"/>
                <w:color w:val="000000"/>
                <w:kern w:val="0"/>
              </w:rPr>
              <w:t>/</w:t>
            </w:r>
          </w:p>
        </w:tc>
        <w:tc>
          <w:tcPr>
            <w:tcW w:w="731"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100</w:t>
            </w:r>
          </w:p>
        </w:tc>
      </w:tr>
    </w:tbl>
    <w:p>
      <w:pPr>
        <w:pStyle w:val="13"/>
        <w:spacing w:before="156" w:beforeLines="50" w:after="156" w:afterLines="50"/>
      </w:pPr>
      <w:r>
        <w:t>表7-21  本标准</w:t>
      </w:r>
      <w:r>
        <w:rPr>
          <w:rFonts w:hint="eastAsia"/>
        </w:rPr>
        <w:t>企业边界限值</w:t>
      </w:r>
      <w:r>
        <w:t>与</w:t>
      </w:r>
      <w:r>
        <w:rPr>
          <w:rFonts w:hint="eastAsia"/>
        </w:rPr>
        <w:t>国家和广东省大气综标</w:t>
      </w:r>
      <w:r>
        <w:t>对比</w:t>
      </w:r>
      <w:r>
        <w:rPr>
          <w:rFonts w:hint="eastAsia"/>
        </w:rPr>
        <w:t>（</w:t>
      </w:r>
      <w:r>
        <w:t>mg/m</w:t>
      </w:r>
      <w:r>
        <w:rPr>
          <w:vertAlign w:val="superscript"/>
        </w:rPr>
        <w:t>3</w:t>
      </w:r>
      <w:r>
        <w:rPr>
          <w:rFonts w:hint="eastAsia"/>
        </w:rPr>
        <w:t>）</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1229"/>
        <w:gridCol w:w="1629"/>
        <w:gridCol w:w="1408"/>
        <w:gridCol w:w="2131"/>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16" w:type="pct"/>
            <w:vMerge w:val="restart"/>
            <w:shd w:val="clear" w:color="auto" w:fill="auto"/>
            <w:vAlign w:val="center"/>
          </w:tcPr>
          <w:p>
            <w:pPr>
              <w:jc w:val="center"/>
              <w:rPr>
                <w:rFonts w:ascii="Times New Roman" w:hAnsi="Times New Roman"/>
                <w:b/>
                <w:bCs/>
                <w:color w:val="000000"/>
                <w:kern w:val="0"/>
              </w:rPr>
            </w:pPr>
            <w:r>
              <w:rPr>
                <w:rFonts w:ascii="Times New Roman" w:hAnsi="Times New Roman"/>
                <w:b/>
                <w:bCs/>
                <w:color w:val="000000"/>
                <w:kern w:val="0"/>
              </w:rPr>
              <w:t>序号</w:t>
            </w:r>
          </w:p>
        </w:tc>
        <w:tc>
          <w:tcPr>
            <w:tcW w:w="721" w:type="pct"/>
            <w:vMerge w:val="restart"/>
            <w:shd w:val="clear" w:color="auto" w:fill="auto"/>
            <w:vAlign w:val="center"/>
          </w:tcPr>
          <w:p>
            <w:pPr>
              <w:jc w:val="center"/>
              <w:rPr>
                <w:rFonts w:ascii="Times New Roman" w:hAnsi="Times New Roman"/>
                <w:b/>
                <w:bCs/>
                <w:color w:val="000000"/>
                <w:kern w:val="0"/>
              </w:rPr>
            </w:pPr>
            <w:r>
              <w:rPr>
                <w:rFonts w:ascii="Times New Roman" w:hAnsi="Times New Roman"/>
                <w:b/>
                <w:bCs/>
                <w:color w:val="000000"/>
                <w:kern w:val="0"/>
              </w:rPr>
              <w:t>污染物</w:t>
            </w:r>
          </w:p>
        </w:tc>
        <w:tc>
          <w:tcPr>
            <w:tcW w:w="1782" w:type="pct"/>
            <w:gridSpan w:val="2"/>
            <w:shd w:val="clear" w:color="auto" w:fill="auto"/>
            <w:noWrap/>
            <w:vAlign w:val="center"/>
          </w:tcPr>
          <w:p>
            <w:pPr>
              <w:widowControl/>
              <w:jc w:val="center"/>
              <w:rPr>
                <w:rFonts w:ascii="Times New Roman" w:hAnsi="Times New Roman"/>
                <w:b/>
                <w:bCs/>
                <w:color w:val="000000"/>
                <w:kern w:val="0"/>
              </w:rPr>
            </w:pPr>
            <w:r>
              <w:rPr>
                <w:rFonts w:hint="eastAsia" w:ascii="Times New Roman" w:hAnsi="Times New Roman"/>
                <w:b/>
                <w:bCs/>
                <w:color w:val="000000"/>
                <w:kern w:val="0"/>
              </w:rPr>
              <w:t>《大气污染物综合排放标准》</w:t>
            </w:r>
          </w:p>
          <w:p>
            <w:pPr>
              <w:widowControl/>
              <w:jc w:val="center"/>
              <w:rPr>
                <w:rFonts w:ascii="Times New Roman" w:hAnsi="Times New Roman"/>
                <w:b/>
                <w:bCs/>
                <w:color w:val="000000"/>
                <w:kern w:val="0"/>
              </w:rPr>
            </w:pPr>
            <w:r>
              <w:rPr>
                <w:rFonts w:ascii="Times New Roman" w:hAnsi="Times New Roman"/>
                <w:b/>
                <w:bCs/>
                <w:color w:val="000000"/>
                <w:kern w:val="0"/>
              </w:rPr>
              <w:t>GB16297-1996</w:t>
            </w:r>
          </w:p>
        </w:tc>
        <w:tc>
          <w:tcPr>
            <w:tcW w:w="1250" w:type="pct"/>
            <w:vMerge w:val="restart"/>
            <w:vAlign w:val="center"/>
          </w:tcPr>
          <w:p>
            <w:pPr>
              <w:jc w:val="center"/>
              <w:rPr>
                <w:rFonts w:ascii="Times New Roman" w:hAnsi="Times New Roman"/>
                <w:b/>
                <w:bCs/>
                <w:color w:val="000000"/>
                <w:kern w:val="0"/>
              </w:rPr>
            </w:pPr>
            <w:r>
              <w:rPr>
                <w:rFonts w:hint="eastAsia" w:ascii="Times New Roman" w:hAnsi="Times New Roman"/>
                <w:b/>
                <w:bCs/>
                <w:color w:val="000000"/>
                <w:kern w:val="0"/>
              </w:rPr>
              <w:t>《广东省大气污染物排放限值》</w:t>
            </w:r>
          </w:p>
          <w:p>
            <w:pPr>
              <w:jc w:val="center"/>
              <w:rPr>
                <w:rFonts w:ascii="Times New Roman" w:hAnsi="Times New Roman"/>
                <w:b/>
                <w:bCs/>
                <w:color w:val="000000"/>
                <w:kern w:val="0"/>
              </w:rPr>
            </w:pPr>
            <w:r>
              <w:rPr>
                <w:rFonts w:ascii="Times New Roman" w:hAnsi="Times New Roman"/>
                <w:b/>
                <w:bCs/>
                <w:color w:val="000000"/>
                <w:kern w:val="0"/>
              </w:rPr>
              <w:t>DB 44/27-2001</w:t>
            </w:r>
          </w:p>
        </w:tc>
        <w:tc>
          <w:tcPr>
            <w:tcW w:w="731" w:type="pct"/>
            <w:vMerge w:val="restart"/>
            <w:shd w:val="clear" w:color="auto" w:fill="auto"/>
            <w:noWrap/>
            <w:vAlign w:val="center"/>
          </w:tcPr>
          <w:p>
            <w:pPr>
              <w:widowControl/>
              <w:jc w:val="center"/>
              <w:rPr>
                <w:rFonts w:ascii="Times New Roman" w:hAnsi="Times New Roman"/>
                <w:b/>
                <w:bCs/>
                <w:color w:val="000000"/>
                <w:kern w:val="0"/>
              </w:rPr>
            </w:pPr>
            <w:r>
              <w:rPr>
                <w:rFonts w:ascii="Times New Roman" w:hAnsi="Times New Roman"/>
                <w:b/>
                <w:bCs/>
                <w:color w:val="000000"/>
                <w:kern w:val="0"/>
              </w:rPr>
              <w:t>本标准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16" w:type="pct"/>
            <w:vMerge w:val="continue"/>
            <w:shd w:val="clear" w:color="auto" w:fill="auto"/>
            <w:vAlign w:val="center"/>
          </w:tcPr>
          <w:p>
            <w:pPr>
              <w:widowControl/>
              <w:jc w:val="center"/>
              <w:rPr>
                <w:rFonts w:ascii="Times New Roman" w:hAnsi="Times New Roman"/>
                <w:b/>
                <w:bCs/>
                <w:color w:val="000000"/>
                <w:kern w:val="0"/>
              </w:rPr>
            </w:pPr>
          </w:p>
        </w:tc>
        <w:tc>
          <w:tcPr>
            <w:tcW w:w="721" w:type="pct"/>
            <w:vMerge w:val="continue"/>
            <w:shd w:val="clear" w:color="auto" w:fill="auto"/>
            <w:vAlign w:val="center"/>
          </w:tcPr>
          <w:p>
            <w:pPr>
              <w:widowControl/>
              <w:jc w:val="center"/>
              <w:rPr>
                <w:rFonts w:ascii="Times New Roman" w:hAnsi="Times New Roman"/>
                <w:b/>
                <w:bCs/>
                <w:color w:val="000000"/>
                <w:kern w:val="0"/>
              </w:rPr>
            </w:pPr>
          </w:p>
        </w:tc>
        <w:tc>
          <w:tcPr>
            <w:tcW w:w="956" w:type="pct"/>
            <w:shd w:val="clear" w:color="auto" w:fill="auto"/>
            <w:vAlign w:val="center"/>
          </w:tcPr>
          <w:p>
            <w:pPr>
              <w:widowControl/>
              <w:jc w:val="center"/>
              <w:rPr>
                <w:rFonts w:ascii="Times New Roman" w:hAnsi="Times New Roman"/>
                <w:b/>
                <w:bCs/>
                <w:color w:val="000000"/>
                <w:kern w:val="0"/>
              </w:rPr>
            </w:pPr>
            <w:r>
              <w:rPr>
                <w:rFonts w:ascii="Times New Roman" w:hAnsi="Times New Roman"/>
                <w:b/>
                <w:bCs/>
                <w:color w:val="000000"/>
                <w:kern w:val="0"/>
              </w:rPr>
              <w:t>现有</w:t>
            </w:r>
          </w:p>
        </w:tc>
        <w:tc>
          <w:tcPr>
            <w:tcW w:w="826" w:type="pct"/>
            <w:shd w:val="clear" w:color="auto" w:fill="auto"/>
            <w:vAlign w:val="center"/>
          </w:tcPr>
          <w:p>
            <w:pPr>
              <w:widowControl/>
              <w:jc w:val="center"/>
              <w:rPr>
                <w:rFonts w:ascii="Times New Roman" w:hAnsi="Times New Roman"/>
                <w:b/>
                <w:bCs/>
                <w:color w:val="000000"/>
                <w:kern w:val="0"/>
              </w:rPr>
            </w:pPr>
            <w:r>
              <w:rPr>
                <w:rFonts w:ascii="Times New Roman" w:hAnsi="Times New Roman"/>
                <w:b/>
                <w:bCs/>
                <w:color w:val="000000"/>
                <w:kern w:val="0"/>
              </w:rPr>
              <w:t>新建</w:t>
            </w:r>
          </w:p>
        </w:tc>
        <w:tc>
          <w:tcPr>
            <w:tcW w:w="1250" w:type="pct"/>
            <w:vMerge w:val="continue"/>
            <w:vAlign w:val="center"/>
          </w:tcPr>
          <w:p>
            <w:pPr>
              <w:widowControl/>
              <w:jc w:val="center"/>
              <w:rPr>
                <w:rFonts w:ascii="Times New Roman" w:hAnsi="Times New Roman"/>
                <w:color w:val="000000"/>
                <w:kern w:val="0"/>
              </w:rPr>
            </w:pPr>
          </w:p>
        </w:tc>
        <w:tc>
          <w:tcPr>
            <w:tcW w:w="731" w:type="pct"/>
            <w:vMerge w:val="continue"/>
            <w:shd w:val="clear" w:color="auto" w:fill="auto"/>
            <w:noWrap/>
            <w:vAlign w:val="center"/>
          </w:tcPr>
          <w:p>
            <w:pPr>
              <w:widowControl/>
              <w:jc w:val="center"/>
              <w:rPr>
                <w:rFonts w:ascii="Times New Roman" w:hAnsi="Times New Roman"/>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16"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1</w:t>
            </w:r>
          </w:p>
        </w:tc>
        <w:tc>
          <w:tcPr>
            <w:tcW w:w="721"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苯</w:t>
            </w:r>
          </w:p>
        </w:tc>
        <w:tc>
          <w:tcPr>
            <w:tcW w:w="956"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0.5</w:t>
            </w:r>
          </w:p>
        </w:tc>
        <w:tc>
          <w:tcPr>
            <w:tcW w:w="826"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0.4</w:t>
            </w:r>
          </w:p>
        </w:tc>
        <w:tc>
          <w:tcPr>
            <w:tcW w:w="1250" w:type="pct"/>
            <w:vAlign w:val="center"/>
          </w:tcPr>
          <w:p>
            <w:pPr>
              <w:widowControl/>
              <w:jc w:val="center"/>
              <w:rPr>
                <w:rFonts w:ascii="Times New Roman" w:hAnsi="Times New Roman"/>
                <w:color w:val="000000"/>
                <w:kern w:val="0"/>
              </w:rPr>
            </w:pPr>
            <w:r>
              <w:rPr>
                <w:rFonts w:ascii="Times New Roman" w:hAnsi="Times New Roman"/>
                <w:color w:val="000000"/>
                <w:kern w:val="0"/>
              </w:rPr>
              <w:t>0.4</w:t>
            </w:r>
          </w:p>
        </w:tc>
        <w:tc>
          <w:tcPr>
            <w:tcW w:w="731" w:type="pct"/>
            <w:shd w:val="clear" w:color="auto" w:fill="auto"/>
            <w:noWrap/>
            <w:vAlign w:val="center"/>
          </w:tcPr>
          <w:p>
            <w:pPr>
              <w:widowControl/>
              <w:jc w:val="center"/>
              <w:rPr>
                <w:rFonts w:ascii="Times New Roman" w:hAnsi="Times New Roman"/>
                <w:color w:val="000000"/>
                <w:kern w:val="0"/>
              </w:rPr>
            </w:pPr>
            <w:r>
              <w:rPr>
                <w:rFonts w:ascii="Times New Roman" w:hAnsi="Times New Roman"/>
                <w:color w:val="000000"/>
                <w:kern w:val="0"/>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16"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2</w:t>
            </w:r>
          </w:p>
        </w:tc>
        <w:tc>
          <w:tcPr>
            <w:tcW w:w="721"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甲醛</w:t>
            </w:r>
          </w:p>
        </w:tc>
        <w:tc>
          <w:tcPr>
            <w:tcW w:w="956"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0.25</w:t>
            </w:r>
          </w:p>
        </w:tc>
        <w:tc>
          <w:tcPr>
            <w:tcW w:w="826"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0.2</w:t>
            </w:r>
          </w:p>
        </w:tc>
        <w:tc>
          <w:tcPr>
            <w:tcW w:w="1250" w:type="pct"/>
            <w:vAlign w:val="center"/>
          </w:tcPr>
          <w:p>
            <w:pPr>
              <w:widowControl/>
              <w:jc w:val="center"/>
              <w:rPr>
                <w:rFonts w:ascii="Times New Roman" w:hAnsi="Times New Roman"/>
                <w:color w:val="000000"/>
                <w:kern w:val="0"/>
              </w:rPr>
            </w:pPr>
            <w:r>
              <w:rPr>
                <w:rFonts w:ascii="Times New Roman" w:hAnsi="Times New Roman"/>
                <w:color w:val="000000"/>
                <w:kern w:val="0"/>
              </w:rPr>
              <w:t>0.2</w:t>
            </w:r>
          </w:p>
        </w:tc>
        <w:tc>
          <w:tcPr>
            <w:tcW w:w="731" w:type="pct"/>
            <w:shd w:val="clear" w:color="auto" w:fill="auto"/>
          </w:tcPr>
          <w:p>
            <w:pPr>
              <w:widowControl/>
              <w:jc w:val="center"/>
              <w:rPr>
                <w:rFonts w:ascii="Times New Roman" w:hAnsi="Times New Roman"/>
                <w:color w:val="000000"/>
                <w:kern w:val="0"/>
              </w:rPr>
            </w:pPr>
            <w:r>
              <w:rPr>
                <w:rFonts w:ascii="Times New Roman" w:hAnsi="Times New Roman"/>
                <w:color w:val="000000"/>
                <w:kern w:val="0"/>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16"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3</w:t>
            </w:r>
          </w:p>
        </w:tc>
        <w:tc>
          <w:tcPr>
            <w:tcW w:w="721"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丙烯醛</w:t>
            </w:r>
          </w:p>
        </w:tc>
        <w:tc>
          <w:tcPr>
            <w:tcW w:w="956"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0.5</w:t>
            </w:r>
          </w:p>
        </w:tc>
        <w:tc>
          <w:tcPr>
            <w:tcW w:w="826"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0.4</w:t>
            </w:r>
          </w:p>
        </w:tc>
        <w:tc>
          <w:tcPr>
            <w:tcW w:w="1250" w:type="pct"/>
            <w:vAlign w:val="center"/>
          </w:tcPr>
          <w:p>
            <w:pPr>
              <w:widowControl/>
              <w:jc w:val="center"/>
              <w:rPr>
                <w:rFonts w:ascii="Times New Roman" w:hAnsi="Times New Roman"/>
                <w:color w:val="000000"/>
                <w:kern w:val="0"/>
              </w:rPr>
            </w:pPr>
            <w:r>
              <w:rPr>
                <w:rFonts w:ascii="Times New Roman" w:hAnsi="Times New Roman"/>
                <w:color w:val="000000"/>
                <w:kern w:val="0"/>
              </w:rPr>
              <w:t>0.4</w:t>
            </w:r>
          </w:p>
        </w:tc>
        <w:tc>
          <w:tcPr>
            <w:tcW w:w="731" w:type="pct"/>
            <w:shd w:val="clear" w:color="auto" w:fill="auto"/>
          </w:tcPr>
          <w:p>
            <w:pPr>
              <w:widowControl/>
              <w:jc w:val="center"/>
              <w:rPr>
                <w:rFonts w:ascii="Times New Roman" w:hAnsi="Times New Roman"/>
                <w:color w:val="000000"/>
                <w:kern w:val="0"/>
              </w:rPr>
            </w:pPr>
            <w:r>
              <w:rPr>
                <w:rFonts w:ascii="Times New Roman" w:hAnsi="Times New Roman"/>
                <w:color w:val="000000"/>
                <w:kern w:val="0"/>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16"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4</w:t>
            </w:r>
          </w:p>
        </w:tc>
        <w:tc>
          <w:tcPr>
            <w:tcW w:w="721"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丙烯腈</w:t>
            </w:r>
          </w:p>
        </w:tc>
        <w:tc>
          <w:tcPr>
            <w:tcW w:w="956"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0.75</w:t>
            </w:r>
          </w:p>
        </w:tc>
        <w:tc>
          <w:tcPr>
            <w:tcW w:w="826"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0.6</w:t>
            </w:r>
          </w:p>
        </w:tc>
        <w:tc>
          <w:tcPr>
            <w:tcW w:w="1250" w:type="pct"/>
            <w:vAlign w:val="center"/>
          </w:tcPr>
          <w:p>
            <w:pPr>
              <w:widowControl/>
              <w:jc w:val="center"/>
              <w:rPr>
                <w:rFonts w:ascii="Times New Roman" w:hAnsi="Times New Roman"/>
                <w:color w:val="000000"/>
                <w:kern w:val="0"/>
              </w:rPr>
            </w:pPr>
            <w:r>
              <w:rPr>
                <w:rFonts w:ascii="Times New Roman" w:hAnsi="Times New Roman"/>
                <w:color w:val="000000"/>
                <w:kern w:val="0"/>
              </w:rPr>
              <w:t>0.6</w:t>
            </w:r>
          </w:p>
        </w:tc>
        <w:tc>
          <w:tcPr>
            <w:tcW w:w="731" w:type="pct"/>
            <w:shd w:val="clear" w:color="auto" w:fill="auto"/>
          </w:tcPr>
          <w:p>
            <w:pPr>
              <w:widowControl/>
              <w:jc w:val="center"/>
              <w:rPr>
                <w:rFonts w:ascii="Times New Roman" w:hAnsi="Times New Roman"/>
                <w:color w:val="000000"/>
                <w:kern w:val="0"/>
              </w:rPr>
            </w:pPr>
            <w:r>
              <w:rPr>
                <w:rFonts w:ascii="Times New Roman" w:hAnsi="Times New Roman"/>
                <w:color w:val="000000"/>
                <w:kern w:val="0"/>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16"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5</w:t>
            </w:r>
          </w:p>
        </w:tc>
        <w:tc>
          <w:tcPr>
            <w:tcW w:w="721"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硝基苯类</w:t>
            </w:r>
          </w:p>
        </w:tc>
        <w:tc>
          <w:tcPr>
            <w:tcW w:w="956"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0.05</w:t>
            </w:r>
          </w:p>
        </w:tc>
        <w:tc>
          <w:tcPr>
            <w:tcW w:w="826"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0.04</w:t>
            </w:r>
          </w:p>
        </w:tc>
        <w:tc>
          <w:tcPr>
            <w:tcW w:w="1250" w:type="pct"/>
            <w:vAlign w:val="center"/>
          </w:tcPr>
          <w:p>
            <w:pPr>
              <w:widowControl/>
              <w:jc w:val="center"/>
              <w:rPr>
                <w:rFonts w:ascii="Times New Roman" w:hAnsi="Times New Roman"/>
                <w:color w:val="000000"/>
                <w:kern w:val="0"/>
              </w:rPr>
            </w:pPr>
            <w:r>
              <w:rPr>
                <w:rFonts w:ascii="Times New Roman" w:hAnsi="Times New Roman"/>
                <w:color w:val="000000"/>
                <w:kern w:val="0"/>
              </w:rPr>
              <w:t>0.04</w:t>
            </w:r>
          </w:p>
        </w:tc>
        <w:tc>
          <w:tcPr>
            <w:tcW w:w="731" w:type="pct"/>
            <w:shd w:val="clear" w:color="auto" w:fill="auto"/>
            <w:vAlign w:val="center"/>
          </w:tcPr>
          <w:p>
            <w:pPr>
              <w:widowControl/>
              <w:jc w:val="center"/>
              <w:rPr>
                <w:rFonts w:ascii="Times New Roman" w:hAnsi="Times New Roman"/>
                <w:color w:val="000000"/>
                <w:kern w:val="0"/>
              </w:rPr>
            </w:pPr>
            <w:r>
              <w:rPr>
                <w:rFonts w:ascii="Times New Roman" w:hAnsi="Times New Roman"/>
                <w:color w:val="000000"/>
                <w:kern w:val="0"/>
              </w:rPr>
              <w:t>0.01</w:t>
            </w:r>
          </w:p>
        </w:tc>
      </w:tr>
    </w:tbl>
    <w:p/>
    <w:p>
      <w:pPr>
        <w:pStyle w:val="4"/>
        <w:ind w:left="0" w:firstLine="0"/>
      </w:pPr>
      <w:r>
        <w:t>与国内外相关标准对比</w:t>
      </w:r>
    </w:p>
    <w:p>
      <w:pPr>
        <w:pStyle w:val="68"/>
        <w:ind w:firstLine="482"/>
        <w:rPr>
          <w:rFonts w:cs="Times New Roman"/>
          <w:b/>
          <w:bCs/>
        </w:rPr>
      </w:pPr>
      <w:r>
        <w:rPr>
          <w:rFonts w:hint="eastAsia" w:cs="Times New Roman"/>
          <w:b/>
          <w:bCs/>
        </w:rPr>
        <w:t>1</w:t>
      </w:r>
      <w:r>
        <w:rPr>
          <w:rFonts w:cs="Times New Roman"/>
          <w:b/>
          <w:bCs/>
        </w:rPr>
        <w:t>. 苯</w:t>
      </w:r>
    </w:p>
    <w:p>
      <w:pPr>
        <w:pStyle w:val="68"/>
        <w:ind w:firstLine="0" w:firstLineChars="0"/>
        <w:jc w:val="center"/>
        <w:rPr>
          <w:rFonts w:cs="Times New Roman"/>
        </w:rPr>
      </w:pPr>
      <w:r>
        <w:rPr>
          <w:rFonts w:cs="Times New Roman"/>
        </w:rPr>
        <w:drawing>
          <wp:inline distT="0" distB="0" distL="0" distR="0">
            <wp:extent cx="5311775" cy="2441575"/>
            <wp:effectExtent l="0" t="0" r="317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362286" cy="2464879"/>
                    </a:xfrm>
                    <a:prstGeom prst="rect">
                      <a:avLst/>
                    </a:prstGeom>
                    <a:noFill/>
                  </pic:spPr>
                </pic:pic>
              </a:graphicData>
            </a:graphic>
          </wp:inline>
        </w:drawing>
      </w:r>
    </w:p>
    <w:p>
      <w:pPr>
        <w:pStyle w:val="13"/>
        <w:spacing w:before="156" w:beforeLines="50" w:after="156" w:afterLines="50"/>
      </w:pPr>
      <w:r>
        <w:t>图7-5  苯的排放限值对比</w:t>
      </w:r>
    </w:p>
    <w:p>
      <w:pPr>
        <w:pStyle w:val="68"/>
        <w:rPr>
          <w:rFonts w:cs="Times New Roman"/>
        </w:rPr>
      </w:pPr>
      <w:r>
        <w:rPr>
          <w:rFonts w:cs="Times New Roman"/>
        </w:rPr>
        <w:t>上图所示为本标准苯排放限值与国内相关标准对比</w:t>
      </w:r>
      <w:r>
        <w:rPr>
          <w:rFonts w:hint="eastAsia" w:cs="Times New Roman"/>
        </w:rPr>
        <w:t>（图7-</w:t>
      </w:r>
      <w:r>
        <w:rPr>
          <w:rFonts w:cs="Times New Roman"/>
        </w:rPr>
        <w:t>5</w:t>
      </w:r>
      <w:r>
        <w:rPr>
          <w:rFonts w:hint="eastAsia" w:cs="Times New Roman"/>
        </w:rPr>
        <w:t>）</w:t>
      </w:r>
      <w:r>
        <w:rPr>
          <w:rFonts w:cs="Times New Roman"/>
        </w:rPr>
        <w:t>，国家、广东省和厦门市大气污染物综合排放标准中苯的限值为12 mg/m</w:t>
      </w:r>
      <w:r>
        <w:rPr>
          <w:rFonts w:cs="Times New Roman"/>
          <w:vertAlign w:val="superscript"/>
        </w:rPr>
        <w:t>3</w:t>
      </w:r>
      <w:r>
        <w:rPr>
          <w:rFonts w:cs="Times New Roman"/>
        </w:rPr>
        <w:t>。本标准相比于国家大气综标严格83%，比重庆大气综标严格67%，比上海和北京大气综标宽松1倍，比陕西和四川VOCs综标宽松1倍，</w:t>
      </w:r>
      <w:r>
        <w:rPr>
          <w:rFonts w:hint="eastAsia" w:cs="Times New Roman"/>
        </w:rPr>
        <w:t>比</w:t>
      </w:r>
      <w:r>
        <w:rPr>
          <w:rFonts w:cs="Times New Roman"/>
        </w:rPr>
        <w:t>国家石油化学工业苯排放限值</w:t>
      </w:r>
      <w:r>
        <w:rPr>
          <w:rFonts w:hint="eastAsia" w:cs="Times New Roman"/>
        </w:rPr>
        <w:t>严格5</w:t>
      </w:r>
      <w:r>
        <w:rPr>
          <w:rFonts w:cs="Times New Roman"/>
        </w:rPr>
        <w:t>0</w:t>
      </w:r>
      <w:r>
        <w:rPr>
          <w:rFonts w:hint="eastAsia" w:cs="Times New Roman"/>
        </w:rPr>
        <w:t>%</w:t>
      </w:r>
      <w:r>
        <w:rPr>
          <w:rFonts w:cs="Times New Roman"/>
        </w:rPr>
        <w:t>，比现阶段已出台的涂料、印刷、家具、汽车等行业标准苯排放限值均宽松。</w:t>
      </w:r>
    </w:p>
    <w:p>
      <w:pPr>
        <w:pStyle w:val="68"/>
        <w:ind w:firstLine="482"/>
        <w:rPr>
          <w:rFonts w:cs="Times New Roman"/>
          <w:b/>
          <w:bCs/>
        </w:rPr>
      </w:pPr>
      <w:r>
        <w:rPr>
          <w:rFonts w:hint="eastAsia" w:cs="Times New Roman"/>
          <w:b/>
          <w:bCs/>
        </w:rPr>
        <w:t>2</w:t>
      </w:r>
      <w:r>
        <w:rPr>
          <w:rFonts w:cs="Times New Roman"/>
          <w:b/>
          <w:bCs/>
        </w:rPr>
        <w:t>. 苯系物</w:t>
      </w:r>
    </w:p>
    <w:p>
      <w:pPr>
        <w:pStyle w:val="68"/>
        <w:ind w:firstLine="0" w:firstLineChars="0"/>
        <w:rPr>
          <w:rFonts w:cs="Times New Roman"/>
        </w:rPr>
      </w:pPr>
      <w:r>
        <w:rPr>
          <w:rFonts w:cs="Times New Roman"/>
        </w:rPr>
        <w:drawing>
          <wp:inline distT="0" distB="0" distL="0" distR="0">
            <wp:extent cx="5244465" cy="33610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61211" cy="3372080"/>
                    </a:xfrm>
                    <a:prstGeom prst="rect">
                      <a:avLst/>
                    </a:prstGeom>
                    <a:noFill/>
                  </pic:spPr>
                </pic:pic>
              </a:graphicData>
            </a:graphic>
          </wp:inline>
        </w:drawing>
      </w:r>
    </w:p>
    <w:p>
      <w:pPr>
        <w:pStyle w:val="13"/>
        <w:spacing w:before="156" w:beforeLines="50" w:after="156" w:afterLines="50"/>
      </w:pPr>
      <w:r>
        <w:t>图7-6  苯系物的排放限值对比</w:t>
      </w:r>
    </w:p>
    <w:p>
      <w:pPr>
        <w:pStyle w:val="68"/>
        <w:rPr>
          <w:rFonts w:cs="Times New Roman"/>
        </w:rPr>
      </w:pPr>
      <w:r>
        <w:rPr>
          <w:rFonts w:cs="Times New Roman"/>
        </w:rPr>
        <w:t>本标准苯系物排放限值与国内外其他标准对比如图7-6所示，由图可知，苯系物的排放限值与上海大气综合排放标准、上海涂料工业、北京工业涂装一致，比广东汽车表面涂装严格33%，比重庆汽车表面涂装、上海船舶工业严格11%，比其它已发布排放标准的相关行业宽松。</w:t>
      </w:r>
    </w:p>
    <w:p>
      <w:pPr>
        <w:pStyle w:val="68"/>
        <w:ind w:firstLine="482"/>
        <w:rPr>
          <w:rFonts w:cs="Times New Roman"/>
          <w:b/>
          <w:bCs/>
        </w:rPr>
      </w:pPr>
      <w:r>
        <w:rPr>
          <w:rFonts w:hint="eastAsia" w:cs="Times New Roman"/>
          <w:b/>
          <w:bCs/>
        </w:rPr>
        <w:t>3</w:t>
      </w:r>
      <w:r>
        <w:rPr>
          <w:rFonts w:cs="Times New Roman"/>
          <w:b/>
          <w:bCs/>
        </w:rPr>
        <w:t>. NMHC</w:t>
      </w:r>
    </w:p>
    <w:p>
      <w:pPr>
        <w:pStyle w:val="68"/>
        <w:ind w:firstLine="0" w:firstLineChars="0"/>
        <w:rPr>
          <w:rFonts w:cs="Times New Roman"/>
        </w:rPr>
      </w:pPr>
      <w:r>
        <w:rPr>
          <w:rFonts w:cs="Times New Roman"/>
        </w:rPr>
        <w:drawing>
          <wp:inline distT="0" distB="0" distL="0" distR="0">
            <wp:extent cx="5244465" cy="21113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363666" cy="2159390"/>
                    </a:xfrm>
                    <a:prstGeom prst="rect">
                      <a:avLst/>
                    </a:prstGeom>
                    <a:noFill/>
                  </pic:spPr>
                </pic:pic>
              </a:graphicData>
            </a:graphic>
          </wp:inline>
        </w:drawing>
      </w:r>
    </w:p>
    <w:p>
      <w:pPr>
        <w:pStyle w:val="13"/>
        <w:spacing w:before="156" w:beforeLines="50" w:after="156" w:afterLines="50"/>
      </w:pPr>
      <w:r>
        <w:t>图7-7  NMHC的排放限值对比</w:t>
      </w:r>
    </w:p>
    <w:p>
      <w:pPr>
        <w:pStyle w:val="68"/>
        <w:rPr>
          <w:rFonts w:cs="Times New Roman"/>
        </w:rPr>
      </w:pPr>
      <w:r>
        <w:rPr>
          <w:rFonts w:cs="Times New Roman"/>
        </w:rPr>
        <w:t>NMHC排放标准对比如图7-7所示。与其它地区综合标准相比，本标准比北京市综合标准宽松60%，比厦门综标严格20%，比国家综标、广东综</w:t>
      </w:r>
      <w:r>
        <w:rPr>
          <w:rFonts w:hint="eastAsia" w:cs="Times New Roman"/>
        </w:rPr>
        <w:t>标</w:t>
      </w:r>
      <w:r>
        <w:rPr>
          <w:rFonts w:cs="Times New Roman"/>
        </w:rPr>
        <w:t>、重庆综标严格33%；与行业排放标准对比，与河北、江苏和陕西化工、北京工业涂装、上海和浙江制药、陕西船舶工业排放限值一致，比国家制药工业排放限值严格20%，比其他行业标准宽松15%~70%。</w:t>
      </w:r>
    </w:p>
    <w:p>
      <w:pPr>
        <w:pStyle w:val="68"/>
        <w:ind w:firstLine="482"/>
        <w:rPr>
          <w:rFonts w:cs="Times New Roman"/>
          <w:b/>
          <w:bCs/>
        </w:rPr>
      </w:pPr>
      <w:r>
        <w:rPr>
          <w:rFonts w:hint="eastAsia" w:cs="Times New Roman"/>
          <w:b/>
          <w:bCs/>
        </w:rPr>
        <w:t>4</w:t>
      </w:r>
      <w:r>
        <w:rPr>
          <w:rFonts w:cs="Times New Roman"/>
          <w:b/>
          <w:bCs/>
        </w:rPr>
        <w:t>. TVOC</w:t>
      </w:r>
    </w:p>
    <w:p>
      <w:pPr>
        <w:pStyle w:val="68"/>
        <w:ind w:firstLine="0" w:firstLineChars="0"/>
        <w:rPr>
          <w:rFonts w:cs="Times New Roman"/>
        </w:rPr>
      </w:pPr>
      <w:r>
        <w:rPr>
          <w:rFonts w:cs="Times New Roman"/>
        </w:rPr>
        <w:drawing>
          <wp:inline distT="0" distB="0" distL="0" distR="0">
            <wp:extent cx="5262880" cy="28282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335060" cy="2866929"/>
                    </a:xfrm>
                    <a:prstGeom prst="rect">
                      <a:avLst/>
                    </a:prstGeom>
                    <a:noFill/>
                  </pic:spPr>
                </pic:pic>
              </a:graphicData>
            </a:graphic>
          </wp:inline>
        </w:drawing>
      </w:r>
    </w:p>
    <w:p>
      <w:pPr>
        <w:pStyle w:val="13"/>
        <w:spacing w:before="156" w:beforeLines="50" w:after="156" w:afterLines="50"/>
      </w:pPr>
      <w:r>
        <w:t>图7-8  TVOC的排放限值对比</w:t>
      </w:r>
    </w:p>
    <w:p>
      <w:pPr>
        <w:pStyle w:val="68"/>
        <w:rPr>
          <w:rFonts w:cs="Times New Roman"/>
        </w:rPr>
      </w:pPr>
      <w:r>
        <w:rPr>
          <w:rFonts w:cs="Times New Roman"/>
        </w:rPr>
        <w:t>目前国家综合排放标准和广东省综合排放标准中均未规定TVOC浓度限值，现阶段国内控制TVOC项目的有天津、四川、山东和广东等地方标准以及国家最新发布的制药及涂料大气污染物排放标准，限值比较如图7-8所示。由图可知，本标准与浙江涂料工业、国家制药特别排放限值、天津黑色金属加工标准限值一致，比国家涂料、广东印刷凹印收严17%，比国家制药、浙江化学合成制药、广东集装箱工业第I时段标准限值严格33%，比其他行业标准限值宽松10%~233%。</w:t>
      </w:r>
    </w:p>
    <w:p>
      <w:pPr>
        <w:pStyle w:val="3"/>
        <w:ind w:left="0" w:firstLine="0"/>
      </w:pPr>
      <w:bookmarkStart w:id="172" w:name="_Toc75787657"/>
      <w:r>
        <w:t>其它污染控制要求</w:t>
      </w:r>
      <w:bookmarkEnd w:id="172"/>
    </w:p>
    <w:p>
      <w:pPr>
        <w:pStyle w:val="4"/>
        <w:ind w:left="0" w:firstLine="0"/>
      </w:pPr>
      <w:bookmarkStart w:id="173" w:name="_Toc26350793"/>
      <w:r>
        <w:t>有组织其他排放要求</w:t>
      </w:r>
      <w:bookmarkEnd w:id="173"/>
    </w:p>
    <w:p>
      <w:pPr>
        <w:pStyle w:val="68"/>
        <w:rPr>
          <w:rFonts w:cs="Times New Roman"/>
          <w:szCs w:val="24"/>
        </w:rPr>
      </w:pPr>
      <w:r>
        <w:rPr>
          <w:rFonts w:cs="Times New Roman"/>
          <w:szCs w:val="24"/>
        </w:rPr>
        <w:t>（1）含氧量的规定</w:t>
      </w:r>
    </w:p>
    <w:p>
      <w:pPr>
        <w:pStyle w:val="68"/>
        <w:rPr>
          <w:rFonts w:cs="Times New Roman"/>
          <w:szCs w:val="24"/>
        </w:rPr>
      </w:pPr>
      <w:r>
        <w:rPr>
          <w:rFonts w:cs="Times New Roman"/>
          <w:szCs w:val="24"/>
        </w:rPr>
        <w:t>对进入VOCs燃烧（焚烧、氧化）装置的废气需要补充空气进行燃烧、氧化反应的，排气筒中实测</w:t>
      </w:r>
      <w:r>
        <w:rPr>
          <w:rFonts w:cs="Times New Roman"/>
        </w:rPr>
        <w:t>大气污染</w:t>
      </w:r>
      <w:r>
        <w:rPr>
          <w:rFonts w:cs="Times New Roman"/>
          <w:szCs w:val="24"/>
        </w:rPr>
        <w:t>物排放浓度，应按公式（1）换算为基准含氧量为3%的大气污染物基准排放浓度，并与排放限值比较判定排放是否达标；如进入VOCs燃烧（焚烧、氧化）装置的废气中含氧量可满足自身燃烧、氧化反应需要，不需另外补充空气的（燃烧器需要补充空气助燃的除外），则按排气筒中实测大气污染物浓度判定排放是否达标，此时装置出口烟气含氧量不应高于装置进口废气含氧量。</w:t>
      </w:r>
    </w:p>
    <w:p>
      <w:pPr>
        <w:spacing w:before="50" w:after="50"/>
        <w:jc w:val="center"/>
        <w:rPr>
          <w:rFonts w:ascii="Times New Roman" w:hAnsi="Times New Roman"/>
          <w:sz w:val="24"/>
          <w:szCs w:val="24"/>
        </w:rPr>
      </w:pPr>
      <w:r>
        <w:rPr>
          <w:rFonts w:ascii="Times New Roman" w:hAnsi="Times New Roman"/>
          <w:kern w:val="0"/>
          <w:position w:val="-32"/>
          <w:sz w:val="24"/>
          <w:szCs w:val="24"/>
        </w:rPr>
        <w:drawing>
          <wp:inline distT="0" distB="0" distL="0" distR="0">
            <wp:extent cx="1247775" cy="4572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47775" cy="457200"/>
                    </a:xfrm>
                    <a:prstGeom prst="rect">
                      <a:avLst/>
                    </a:prstGeom>
                    <a:noFill/>
                    <a:ln>
                      <a:noFill/>
                    </a:ln>
                  </pic:spPr>
                </pic:pic>
              </a:graphicData>
            </a:graphic>
          </wp:inline>
        </w:drawing>
      </w:r>
      <w:r>
        <w:rPr>
          <w:rFonts w:ascii="Times New Roman" w:hAnsi="Times New Roman"/>
          <w:sz w:val="24"/>
          <w:szCs w:val="24"/>
        </w:rPr>
        <w:t xml:space="preserve">                           （1）</w:t>
      </w:r>
    </w:p>
    <w:p>
      <w:pPr>
        <w:pStyle w:val="68"/>
        <w:ind w:firstLine="0" w:firstLineChars="0"/>
        <w:rPr>
          <w:rFonts w:cs="Times New Roman"/>
        </w:rPr>
      </w:pPr>
      <w:r>
        <w:rPr>
          <w:rFonts w:cs="Times New Roman"/>
        </w:rPr>
        <w:t>式中：</w:t>
      </w:r>
    </w:p>
    <w:p>
      <w:pPr>
        <w:pStyle w:val="68"/>
        <w:rPr>
          <w:rFonts w:cs="Times New Roman"/>
        </w:rPr>
      </w:pPr>
      <w:r>
        <w:rPr>
          <w:rFonts w:cs="Times New Roman"/>
        </w:rPr>
        <w:t>——大气污染物基准排放浓度，mg/m</w:t>
      </w:r>
      <w:r>
        <w:rPr>
          <w:rFonts w:cs="Times New Roman"/>
          <w:vertAlign w:val="superscript"/>
        </w:rPr>
        <w:t>3</w:t>
      </w:r>
      <w:r>
        <w:rPr>
          <w:rFonts w:cs="Times New Roman"/>
        </w:rPr>
        <w:t>；</w:t>
      </w:r>
    </w:p>
    <w:p>
      <w:pPr>
        <w:pStyle w:val="68"/>
        <w:rPr>
          <w:rFonts w:cs="Times New Roman"/>
        </w:rPr>
      </w:pPr>
      <w:r>
        <w:rPr>
          <w:rFonts w:cs="Times New Roman"/>
        </w:rPr>
        <w:t>——干烟气基准含氧量，%；</w:t>
      </w:r>
    </w:p>
    <w:p>
      <w:pPr>
        <w:pStyle w:val="68"/>
        <w:rPr>
          <w:rFonts w:cs="Times New Roman"/>
        </w:rPr>
      </w:pPr>
      <w:r>
        <w:rPr>
          <w:rFonts w:cs="Times New Roman"/>
        </w:rPr>
        <w:t>——实测的干烟气含氧量，%；</w:t>
      </w:r>
    </w:p>
    <w:p>
      <w:pPr>
        <w:pStyle w:val="68"/>
        <w:rPr>
          <w:rFonts w:cs="Times New Roman"/>
        </w:rPr>
      </w:pPr>
      <w:r>
        <w:rPr>
          <w:rFonts w:cs="Times New Roman"/>
        </w:rPr>
        <w:t>——实测大气污染物排放浓度，mg/m</w:t>
      </w:r>
      <w:r>
        <w:rPr>
          <w:rFonts w:cs="Times New Roman"/>
          <w:vertAlign w:val="superscript"/>
        </w:rPr>
        <w:t>3</w:t>
      </w:r>
      <w:r>
        <w:rPr>
          <w:rFonts w:cs="Times New Roman"/>
        </w:rPr>
        <w:t>。</w:t>
      </w:r>
    </w:p>
    <w:p>
      <w:pPr>
        <w:pStyle w:val="68"/>
        <w:rPr>
          <w:rFonts w:cs="Times New Roman"/>
          <w:kern w:val="0"/>
        </w:rPr>
      </w:pPr>
      <w:r>
        <w:rPr>
          <w:rFonts w:cs="Times New Roman"/>
          <w:kern w:val="0"/>
        </w:rPr>
        <w:t>吸附、吸收、冷凝、生物、膜分离等其他VOCs处理设施，以实测浓度作为达标判定依据。</w:t>
      </w:r>
    </w:p>
    <w:p>
      <w:pPr>
        <w:pStyle w:val="68"/>
        <w:rPr>
          <w:rFonts w:cs="Times New Roman"/>
        </w:rPr>
      </w:pPr>
      <w:r>
        <w:rPr>
          <w:rFonts w:cs="Times New Roman"/>
        </w:rPr>
        <w:t>（2）</w:t>
      </w:r>
      <w:r>
        <w:rPr>
          <w:rFonts w:cs="Times New Roman"/>
          <w:kern w:val="0"/>
          <w:szCs w:val="21"/>
        </w:rPr>
        <w:t>废气收集处理系统应与生产工艺设备同步运行。废气收集处理系统发生故障或检修时，对应的</w:t>
      </w:r>
      <w:r>
        <w:rPr>
          <w:rFonts w:cs="Times New Roman"/>
        </w:rPr>
        <w:t>生产</w:t>
      </w:r>
      <w:r>
        <w:rPr>
          <w:rFonts w:cs="Times New Roman"/>
          <w:kern w:val="0"/>
          <w:szCs w:val="21"/>
        </w:rPr>
        <w:t>工艺设备应停止运行，待检修完毕后同步投入使用；生产工艺设备不能停止运行或不能及时停止运行的，应设置废气应急处理设施或采取其他替代措施</w:t>
      </w:r>
      <w:r>
        <w:rPr>
          <w:rFonts w:hint="eastAsia" w:cs="Times New Roman"/>
          <w:kern w:val="0"/>
          <w:szCs w:val="21"/>
        </w:rPr>
        <w:t>。</w:t>
      </w:r>
    </w:p>
    <w:p>
      <w:pPr>
        <w:pStyle w:val="68"/>
        <w:rPr>
          <w:rFonts w:cs="Times New Roman"/>
        </w:rPr>
      </w:pPr>
      <w:r>
        <w:rPr>
          <w:rFonts w:cs="Times New Roman"/>
        </w:rPr>
        <w:t>（3）英国要求B类（毒性低）有机物排放量达到2kg/h时进行控制。荷兰要求二类有机物质，排放量达到2 kg/h时进行控制；三类有机物质，排放量达到3 kg/h时进行控制。综上标准规定“车间或生产设施排气中NMHC初始排放速率≥3 kg/h时，应配置VOCs处理设施，处理效率不应低于80%。对于重点地区，车间或生产设施排气中NMHC初始排放效率≥2 kg/h时，应配置VOCs处理设施，处理效率不应低于80%”。</w:t>
      </w:r>
    </w:p>
    <w:p>
      <w:pPr>
        <w:pStyle w:val="68"/>
        <w:rPr>
          <w:rFonts w:cs="Times New Roman"/>
        </w:rPr>
      </w:pPr>
      <w:r>
        <w:rPr>
          <w:rFonts w:cs="Times New Roman"/>
        </w:rPr>
        <w:t>按照目前固定污染源工业废气的相对较大排气量20000 m</w:t>
      </w:r>
      <w:r>
        <w:rPr>
          <w:rFonts w:cs="Times New Roman"/>
          <w:vertAlign w:val="superscript"/>
        </w:rPr>
        <w:t>3</w:t>
      </w:r>
      <w:r>
        <w:rPr>
          <w:rFonts w:cs="Times New Roman"/>
        </w:rPr>
        <w:t>/h估算，当排放量达到2kg/h时，排放浓度已经达到了100 mg/m</w:t>
      </w:r>
      <w:r>
        <w:rPr>
          <w:rFonts w:cs="Times New Roman"/>
          <w:vertAlign w:val="superscript"/>
        </w:rPr>
        <w:t>3</w:t>
      </w:r>
      <w:r>
        <w:rPr>
          <w:rFonts w:cs="Times New Roman"/>
        </w:rPr>
        <w:t>的排放限制，为了进一步避免出现人为恶意稀释含VOCs废气的情况，特制定此条款，并要求这类废气必须安装净化效率不低于80%的废气处理设施。</w:t>
      </w:r>
    </w:p>
    <w:p>
      <w:pPr>
        <w:pStyle w:val="68"/>
        <w:rPr>
          <w:rFonts w:cs="Times New Roman"/>
        </w:rPr>
      </w:pPr>
      <w:r>
        <w:rPr>
          <w:rFonts w:cs="Times New Roman"/>
        </w:rPr>
        <w:t>（4）</w:t>
      </w:r>
      <w:r>
        <w:rPr>
          <w:rFonts w:cs="Times New Roman"/>
          <w:kern w:val="0"/>
          <w:szCs w:val="21"/>
        </w:rPr>
        <w:t>排气筒高度不低于15 m</w:t>
      </w:r>
      <w:r>
        <w:rPr>
          <w:rFonts w:cs="Times New Roman"/>
          <w:bCs/>
        </w:rPr>
        <w:t>（因安全考虑或有特殊工艺要求的除外），具体高度以及与周围建筑物的</w:t>
      </w:r>
      <w:r>
        <w:rPr>
          <w:rFonts w:cs="Times New Roman"/>
        </w:rPr>
        <w:t>相对高度</w:t>
      </w:r>
      <w:r>
        <w:rPr>
          <w:rFonts w:cs="Times New Roman"/>
          <w:bCs/>
        </w:rPr>
        <w:t>关系应根据环境影响评价文件确定。</w:t>
      </w:r>
    </w:p>
    <w:p>
      <w:pPr>
        <w:pStyle w:val="68"/>
        <w:rPr>
          <w:rFonts w:cs="Times New Roman"/>
        </w:rPr>
      </w:pPr>
      <w:bookmarkStart w:id="174" w:name="_Hlk26343866"/>
      <w:r>
        <w:rPr>
          <w:rFonts w:cs="Times New Roman"/>
        </w:rPr>
        <w:t>（5）</w:t>
      </w:r>
      <w:bookmarkEnd w:id="174"/>
      <w:r>
        <w:rPr>
          <w:rFonts w:cs="Times New Roman"/>
          <w:kern w:val="0"/>
          <w:szCs w:val="21"/>
        </w:rPr>
        <w:t>当执行不同排放</w:t>
      </w:r>
      <w:r>
        <w:rPr>
          <w:rFonts w:cs="Times New Roman"/>
        </w:rPr>
        <w:t>控制</w:t>
      </w:r>
      <w:r>
        <w:rPr>
          <w:rFonts w:cs="Times New Roman"/>
          <w:kern w:val="0"/>
          <w:szCs w:val="21"/>
        </w:rPr>
        <w:t>要求的挥发性有机物废气合并排气筒排放时，应在废气混合前进行监测，并执行相应的排放控制要求；若可选择的监控位置只能对混合后的废气进行监测，则应执行各排放控制要求中最严格的规定。</w:t>
      </w:r>
    </w:p>
    <w:p>
      <w:pPr>
        <w:pStyle w:val="4"/>
        <w:ind w:left="0" w:firstLine="0"/>
      </w:pPr>
      <w:bookmarkStart w:id="175" w:name="_Toc26350794"/>
      <w:r>
        <w:t>无组织排放控制要求</w:t>
      </w:r>
      <w:bookmarkEnd w:id="175"/>
    </w:p>
    <w:p>
      <w:pPr>
        <w:pStyle w:val="68"/>
        <w:rPr>
          <w:rFonts w:cs="Times New Roman"/>
        </w:rPr>
      </w:pPr>
      <w:r>
        <w:rPr>
          <w:rFonts w:cs="Times New Roman"/>
        </w:rPr>
        <w:t>本标准无组织排放控制要求主要参考国家《挥发性有机物无组织排放控制标准》（GB 37822—2019），综合排放标准覆盖面较广，不同行业工业企业在生产过程中不可避免地存在不同程度上的无组织排放。</w:t>
      </w:r>
      <w:r>
        <w:rPr>
          <w:rFonts w:hint="eastAsia" w:cs="Times New Roman"/>
        </w:rPr>
        <w:t>参照</w:t>
      </w:r>
      <w:r>
        <w:rPr>
          <w:rFonts w:cs="Times New Roman"/>
        </w:rPr>
        <w:t>《挥发性有机物无组织排放控制标准》（GB 37822—2019）</w:t>
      </w:r>
      <w:r>
        <w:rPr>
          <w:rFonts w:hint="eastAsia" w:cs="Times New Roman"/>
        </w:rPr>
        <w:t>，对</w:t>
      </w:r>
      <w:r>
        <w:rPr>
          <w:rFonts w:cs="Times New Roman"/>
          <w:kern w:val="0"/>
          <w:szCs w:val="24"/>
        </w:rPr>
        <w:t>VOCs物料储存、VOCs物料转移和输送、工艺过程VOCs无组织排放、设备与管线组件VOCs泄漏、敞开液面VOCs逸散，以及VOCs废气收集处理系统等</w:t>
      </w:r>
      <w:r>
        <w:rPr>
          <w:rFonts w:hint="eastAsia" w:cs="Times New Roman"/>
        </w:rPr>
        <w:t>进行要求</w:t>
      </w:r>
      <w:r>
        <w:rPr>
          <w:rFonts w:cs="Times New Roman"/>
        </w:rPr>
        <w:t>，</w:t>
      </w:r>
      <w:r>
        <w:rPr>
          <w:rFonts w:hint="eastAsia" w:cs="Times New Roman"/>
        </w:rPr>
        <w:t>除</w:t>
      </w:r>
      <w:r>
        <w:rPr>
          <w:rFonts w:cs="Times New Roman"/>
          <w:kern w:val="0"/>
          <w:szCs w:val="24"/>
        </w:rPr>
        <w:t>设备与管线组件VOCs泄漏</w:t>
      </w:r>
      <w:r>
        <w:rPr>
          <w:rFonts w:hint="eastAsia" w:cs="Times New Roman"/>
          <w:kern w:val="0"/>
          <w:szCs w:val="24"/>
        </w:rPr>
        <w:t>认定浓度及检测频率加严外，其他</w:t>
      </w:r>
      <w:r>
        <w:rPr>
          <w:rFonts w:cs="Times New Roman"/>
        </w:rPr>
        <w:t>控制要求与《挥发性有机物无组织排放控制标准》（GB 37822—2019）一致。</w:t>
      </w:r>
    </w:p>
    <w:p>
      <w:pPr>
        <w:pStyle w:val="3"/>
        <w:ind w:left="0" w:firstLine="0"/>
      </w:pPr>
      <w:bookmarkStart w:id="176" w:name="_Toc75787658"/>
      <w:r>
        <w:t>污染物监测要求</w:t>
      </w:r>
      <w:bookmarkEnd w:id="176"/>
    </w:p>
    <w:p>
      <w:pPr>
        <w:pStyle w:val="68"/>
        <w:rPr>
          <w:rFonts w:cs="Times New Roman"/>
        </w:rPr>
      </w:pPr>
      <w:r>
        <w:rPr>
          <w:rFonts w:cs="Times New Roman"/>
        </w:rPr>
        <w:t>污染物监测要求主要包括4部分：一般要求、有组织排放监测要求、无组织排放监测要求以及污染物测定标准方法。</w:t>
      </w:r>
    </w:p>
    <w:p>
      <w:pPr>
        <w:pStyle w:val="68"/>
        <w:rPr>
          <w:rFonts w:cs="Times New Roman"/>
        </w:rPr>
      </w:pPr>
      <w:r>
        <w:rPr>
          <w:rFonts w:cs="Times New Roman"/>
        </w:rPr>
        <w:t>一般要求主要内容包括：（</w:t>
      </w:r>
      <w:r>
        <w:rPr>
          <w:rFonts w:eastAsia="Times New Roman" w:cs="Times New Roman"/>
        </w:rPr>
        <w:t>1</w:t>
      </w:r>
      <w:r>
        <w:rPr>
          <w:rFonts w:cs="Times New Roman"/>
          <w:spacing w:val="-1"/>
        </w:rPr>
        <w:t>）</w:t>
      </w:r>
      <w:r>
        <w:rPr>
          <w:rFonts w:cs="Times New Roman"/>
        </w:rPr>
        <w:t>企业自行监测相关要求；（</w:t>
      </w:r>
      <w:r>
        <w:rPr>
          <w:rFonts w:eastAsia="Times New Roman" w:cs="Times New Roman"/>
        </w:rPr>
        <w:t>2</w:t>
      </w:r>
      <w:r>
        <w:rPr>
          <w:rFonts w:cs="Times New Roman"/>
          <w:spacing w:val="-1"/>
        </w:rPr>
        <w:t>）</w:t>
      </w:r>
      <w:r>
        <w:rPr>
          <w:rFonts w:cs="Times New Roman"/>
        </w:rPr>
        <w:t>自动监</w:t>
      </w:r>
      <w:r>
        <w:rPr>
          <w:rFonts w:cs="Times New Roman"/>
          <w:spacing w:val="6"/>
        </w:rPr>
        <w:t>控</w:t>
      </w:r>
      <w:r>
        <w:rPr>
          <w:rFonts w:cs="Times New Roman"/>
        </w:rPr>
        <w:t>设备要求；（</w:t>
      </w:r>
      <w:r>
        <w:rPr>
          <w:rFonts w:eastAsia="Times New Roman" w:cs="Times New Roman"/>
        </w:rPr>
        <w:t>3</w:t>
      </w:r>
      <w:r>
        <w:rPr>
          <w:rFonts w:cs="Times New Roman"/>
          <w:spacing w:val="-1"/>
        </w:rPr>
        <w:t>）污染物排放采样及监控位置要求；</w:t>
      </w:r>
      <w:r>
        <w:rPr>
          <w:rFonts w:cs="Times New Roman"/>
        </w:rPr>
        <w:t>（4）对采样工况要求。</w:t>
      </w:r>
    </w:p>
    <w:p>
      <w:pPr>
        <w:pStyle w:val="68"/>
        <w:rPr>
          <w:rFonts w:cs="Times New Roman"/>
        </w:rPr>
      </w:pPr>
      <w:r>
        <w:rPr>
          <w:rFonts w:cs="Times New Roman"/>
        </w:rPr>
        <w:t>有组织排放监测要求主要内容包括：排气筒中大气污染物的监测</w:t>
      </w:r>
      <w:r>
        <w:rPr>
          <w:rFonts w:cs="Times New Roman" w:eastAsiaTheme="minorEastAsia"/>
        </w:rPr>
        <w:t>采样口要求及</w:t>
      </w:r>
      <w:r>
        <w:rPr>
          <w:rFonts w:cs="Times New Roman"/>
        </w:rPr>
        <w:t>采样的相关标准规定要求。</w:t>
      </w:r>
    </w:p>
    <w:p>
      <w:pPr>
        <w:pStyle w:val="68"/>
        <w:rPr>
          <w:rFonts w:cs="Times New Roman"/>
        </w:rPr>
      </w:pPr>
      <w:r>
        <w:rPr>
          <w:rFonts w:cs="Times New Roman"/>
        </w:rPr>
        <w:t>无组织排放监测要求主要内容包括：污染物监控点位置要求。</w:t>
      </w:r>
    </w:p>
    <w:p>
      <w:pPr>
        <w:pStyle w:val="68"/>
        <w:rPr>
          <w:rFonts w:cs="Times New Roman"/>
        </w:rPr>
      </w:pPr>
      <w:r>
        <w:rPr>
          <w:rFonts w:cs="Times New Roman"/>
        </w:rPr>
        <w:t>污染物监测方法如7-22所示。</w:t>
      </w:r>
    </w:p>
    <w:p>
      <w:pPr>
        <w:pStyle w:val="13"/>
        <w:spacing w:before="156" w:beforeLines="50" w:after="156" w:afterLines="50"/>
      </w:pPr>
      <w:bookmarkStart w:id="177" w:name="_Ref26350436"/>
      <w:r>
        <w:t>表 7</w:t>
      </w:r>
      <w:r>
        <w:noBreakHyphen/>
      </w:r>
      <w:bookmarkEnd w:id="177"/>
      <w:r>
        <w:t>22  挥发性有机物测定方法标准</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1253"/>
        <w:gridCol w:w="5522"/>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tcPr>
          <w:p>
            <w:pPr>
              <w:jc w:val="center"/>
              <w:rPr>
                <w:rFonts w:ascii="Times New Roman" w:hAnsi="Times New Roman"/>
                <w:kern w:val="0"/>
                <w:sz w:val="18"/>
                <w:szCs w:val="18"/>
              </w:rPr>
            </w:pPr>
            <w:bookmarkStart w:id="178" w:name="_Hlk531785094"/>
            <w:r>
              <w:rPr>
                <w:rFonts w:ascii="Times New Roman" w:hAnsi="Times New Roman"/>
                <w:kern w:val="0"/>
                <w:sz w:val="18"/>
                <w:szCs w:val="18"/>
              </w:rPr>
              <w:t>序号</w:t>
            </w:r>
          </w:p>
        </w:tc>
        <w:tc>
          <w:tcPr>
            <w:tcW w:w="735" w:type="pct"/>
            <w:vAlign w:val="center"/>
          </w:tcPr>
          <w:p>
            <w:pPr>
              <w:jc w:val="center"/>
              <w:rPr>
                <w:rFonts w:ascii="Times New Roman" w:hAnsi="Times New Roman"/>
                <w:kern w:val="0"/>
                <w:sz w:val="18"/>
                <w:szCs w:val="18"/>
                <w:lang w:eastAsia="en-US"/>
              </w:rPr>
            </w:pPr>
            <w:r>
              <w:rPr>
                <w:rFonts w:ascii="Times New Roman" w:hAnsi="Times New Roman"/>
                <w:kern w:val="0"/>
                <w:sz w:val="18"/>
                <w:szCs w:val="18"/>
                <w:lang w:eastAsia="en-US"/>
              </w:rPr>
              <w:t>项</w:t>
            </w:r>
            <w:r>
              <w:rPr>
                <w:rFonts w:ascii="Times New Roman" w:hAnsi="Times New Roman"/>
                <w:kern w:val="0"/>
                <w:sz w:val="18"/>
                <w:szCs w:val="18"/>
              </w:rPr>
              <w:t xml:space="preserve"> </w:t>
            </w:r>
            <w:r>
              <w:rPr>
                <w:rFonts w:ascii="Times New Roman" w:hAnsi="Times New Roman"/>
                <w:kern w:val="0"/>
                <w:sz w:val="18"/>
                <w:szCs w:val="18"/>
                <w:lang w:eastAsia="en-US"/>
              </w:rPr>
              <w:t>目</w:t>
            </w:r>
          </w:p>
        </w:tc>
        <w:tc>
          <w:tcPr>
            <w:tcW w:w="3240" w:type="pct"/>
            <w:vAlign w:val="center"/>
          </w:tcPr>
          <w:p>
            <w:pPr>
              <w:jc w:val="center"/>
              <w:rPr>
                <w:rFonts w:ascii="Times New Roman" w:hAnsi="Times New Roman"/>
                <w:kern w:val="0"/>
                <w:sz w:val="18"/>
                <w:szCs w:val="18"/>
              </w:rPr>
            </w:pPr>
            <w:r>
              <w:rPr>
                <w:rFonts w:ascii="Times New Roman" w:hAnsi="Times New Roman"/>
                <w:kern w:val="0"/>
                <w:sz w:val="18"/>
                <w:szCs w:val="18"/>
              </w:rPr>
              <w:t>标准名称</w:t>
            </w:r>
          </w:p>
        </w:tc>
        <w:tc>
          <w:tcPr>
            <w:tcW w:w="600" w:type="pct"/>
            <w:vAlign w:val="center"/>
          </w:tcPr>
          <w:p>
            <w:pPr>
              <w:jc w:val="center"/>
              <w:rPr>
                <w:rFonts w:ascii="Times New Roman" w:hAnsi="Times New Roman"/>
                <w:kern w:val="0"/>
                <w:sz w:val="18"/>
                <w:szCs w:val="18"/>
              </w:rPr>
            </w:pPr>
            <w:r>
              <w:rPr>
                <w:rFonts w:ascii="Times New Roman" w:hAnsi="Times New Roman"/>
                <w:kern w:val="0"/>
                <w:sz w:val="18"/>
                <w:szCs w:val="18"/>
              </w:rPr>
              <w:t>标准号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25" w:type="pct"/>
            <w:vMerge w:val="restart"/>
            <w:vAlign w:val="center"/>
          </w:tcPr>
          <w:p>
            <w:pPr>
              <w:widowControl/>
              <w:jc w:val="center"/>
              <w:rPr>
                <w:rFonts w:ascii="Times New Roman" w:hAnsi="Times New Roman"/>
                <w:kern w:val="0"/>
                <w:sz w:val="18"/>
                <w:szCs w:val="18"/>
              </w:rPr>
            </w:pPr>
            <w:r>
              <w:rPr>
                <w:rFonts w:ascii="Times New Roman" w:hAnsi="Times New Roman"/>
                <w:kern w:val="0"/>
                <w:sz w:val="18"/>
                <w:szCs w:val="18"/>
              </w:rPr>
              <w:t>1</w:t>
            </w:r>
          </w:p>
        </w:tc>
        <w:tc>
          <w:tcPr>
            <w:tcW w:w="735" w:type="pct"/>
            <w:vMerge w:val="restart"/>
            <w:vAlign w:val="center"/>
          </w:tcPr>
          <w:p>
            <w:pPr>
              <w:jc w:val="center"/>
              <w:rPr>
                <w:rFonts w:ascii="Times New Roman" w:hAnsi="Times New Roman"/>
                <w:kern w:val="0"/>
                <w:sz w:val="18"/>
                <w:szCs w:val="18"/>
              </w:rPr>
            </w:pPr>
            <w:r>
              <w:rPr>
                <w:rFonts w:ascii="Times New Roman" w:hAnsi="Times New Roman"/>
                <w:kern w:val="0"/>
                <w:sz w:val="18"/>
                <w:szCs w:val="18"/>
              </w:rPr>
              <w:t>苯、苯系物</w:t>
            </w:r>
          </w:p>
        </w:tc>
        <w:tc>
          <w:tcPr>
            <w:tcW w:w="3240" w:type="pct"/>
            <w:tcBorders>
              <w:bottom w:val="single" w:color="000000" w:sz="4" w:space="0"/>
            </w:tcBorders>
            <w:vAlign w:val="center"/>
          </w:tcPr>
          <w:p>
            <w:pPr>
              <w:jc w:val="left"/>
              <w:rPr>
                <w:rFonts w:ascii="Times New Roman" w:hAnsi="Times New Roman"/>
                <w:bCs/>
                <w:sz w:val="18"/>
                <w:szCs w:val="18"/>
              </w:rPr>
            </w:pPr>
            <w:r>
              <w:rPr>
                <w:rFonts w:ascii="Times New Roman" w:hAnsi="Times New Roman"/>
                <w:kern w:val="0"/>
                <w:sz w:val="18"/>
                <w:szCs w:val="18"/>
              </w:rPr>
              <w:t>环境空气 苯系物的测定 固体吸附/热脱附-气相色谱法</w:t>
            </w:r>
          </w:p>
        </w:tc>
        <w:tc>
          <w:tcPr>
            <w:tcW w:w="600" w:type="pct"/>
            <w:tcBorders>
              <w:bottom w:val="single" w:color="000000" w:sz="4" w:space="0"/>
            </w:tcBorders>
            <w:vAlign w:val="center"/>
          </w:tcPr>
          <w:p>
            <w:pPr>
              <w:jc w:val="center"/>
              <w:rPr>
                <w:rFonts w:ascii="Times New Roman" w:hAnsi="Times New Roman"/>
                <w:bCs/>
                <w:sz w:val="18"/>
                <w:szCs w:val="18"/>
              </w:rPr>
            </w:pPr>
            <w:r>
              <w:rPr>
                <w:rFonts w:ascii="Times New Roman" w:hAnsi="Times New Roman"/>
                <w:kern w:val="0"/>
                <w:sz w:val="18"/>
                <w:szCs w:val="18"/>
              </w:rPr>
              <w:t>HJ 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25" w:type="pct"/>
            <w:vMerge w:val="continue"/>
            <w:vAlign w:val="center"/>
          </w:tcPr>
          <w:p>
            <w:pPr>
              <w:widowControl/>
              <w:jc w:val="center"/>
              <w:rPr>
                <w:rFonts w:ascii="Times New Roman" w:hAnsi="Times New Roman"/>
                <w:kern w:val="0"/>
                <w:sz w:val="18"/>
                <w:szCs w:val="18"/>
              </w:rPr>
            </w:pPr>
          </w:p>
        </w:tc>
        <w:tc>
          <w:tcPr>
            <w:tcW w:w="735" w:type="pct"/>
            <w:vMerge w:val="continue"/>
            <w:vAlign w:val="center"/>
          </w:tcPr>
          <w:p>
            <w:pPr>
              <w:jc w:val="center"/>
              <w:rPr>
                <w:rFonts w:ascii="Times New Roman" w:hAnsi="Times New Roman"/>
                <w:kern w:val="0"/>
                <w:sz w:val="18"/>
                <w:szCs w:val="18"/>
              </w:rPr>
            </w:pPr>
          </w:p>
        </w:tc>
        <w:tc>
          <w:tcPr>
            <w:tcW w:w="3240" w:type="pct"/>
            <w:tcBorders>
              <w:top w:val="single" w:color="000000" w:sz="4" w:space="0"/>
              <w:bottom w:val="single" w:color="000000" w:sz="4" w:space="0"/>
            </w:tcBorders>
            <w:vAlign w:val="center"/>
          </w:tcPr>
          <w:p>
            <w:pPr>
              <w:jc w:val="left"/>
              <w:rPr>
                <w:rFonts w:ascii="Times New Roman" w:hAnsi="Times New Roman"/>
                <w:kern w:val="0"/>
                <w:sz w:val="18"/>
                <w:szCs w:val="18"/>
              </w:rPr>
            </w:pPr>
            <w:r>
              <w:rPr>
                <w:rFonts w:ascii="Times New Roman" w:hAnsi="Times New Roman"/>
                <w:kern w:val="0"/>
                <w:sz w:val="18"/>
                <w:szCs w:val="18"/>
              </w:rPr>
              <w:t>环境空气 苯系物的测定 活性炭吸附/二硫化碳解吸-气相色谱法</w:t>
            </w:r>
          </w:p>
        </w:tc>
        <w:tc>
          <w:tcPr>
            <w:tcW w:w="600" w:type="pct"/>
            <w:tcBorders>
              <w:top w:val="single" w:color="000000" w:sz="4" w:space="0"/>
              <w:bottom w:val="single" w:color="000000" w:sz="4" w:space="0"/>
            </w:tcBorders>
            <w:vAlign w:val="center"/>
          </w:tcPr>
          <w:p>
            <w:pPr>
              <w:jc w:val="center"/>
              <w:rPr>
                <w:rFonts w:ascii="Times New Roman" w:hAnsi="Times New Roman"/>
                <w:kern w:val="0"/>
                <w:sz w:val="18"/>
                <w:szCs w:val="18"/>
              </w:rPr>
            </w:pPr>
            <w:r>
              <w:rPr>
                <w:rFonts w:ascii="Times New Roman" w:hAnsi="Times New Roman"/>
                <w:kern w:val="0"/>
                <w:sz w:val="18"/>
                <w:szCs w:val="18"/>
              </w:rPr>
              <w:t>HJ 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425" w:type="pct"/>
            <w:vMerge w:val="continue"/>
            <w:vAlign w:val="center"/>
          </w:tcPr>
          <w:p>
            <w:pPr>
              <w:widowControl/>
              <w:jc w:val="center"/>
              <w:rPr>
                <w:rFonts w:ascii="Times New Roman" w:hAnsi="Times New Roman"/>
                <w:kern w:val="0"/>
                <w:sz w:val="18"/>
                <w:szCs w:val="18"/>
              </w:rPr>
            </w:pPr>
          </w:p>
        </w:tc>
        <w:tc>
          <w:tcPr>
            <w:tcW w:w="735" w:type="pct"/>
            <w:vMerge w:val="continue"/>
            <w:vAlign w:val="center"/>
          </w:tcPr>
          <w:p>
            <w:pPr>
              <w:jc w:val="center"/>
              <w:rPr>
                <w:rFonts w:ascii="Times New Roman" w:hAnsi="Times New Roman"/>
                <w:kern w:val="0"/>
                <w:sz w:val="18"/>
                <w:szCs w:val="18"/>
              </w:rPr>
            </w:pPr>
          </w:p>
        </w:tc>
        <w:tc>
          <w:tcPr>
            <w:tcW w:w="3240" w:type="pct"/>
            <w:tcBorders>
              <w:top w:val="single" w:color="000000" w:sz="4" w:space="0"/>
              <w:bottom w:val="single" w:color="000000" w:sz="4" w:space="0"/>
            </w:tcBorders>
            <w:vAlign w:val="center"/>
          </w:tcPr>
          <w:p>
            <w:pPr>
              <w:jc w:val="left"/>
              <w:rPr>
                <w:rFonts w:ascii="Times New Roman" w:hAnsi="Times New Roman"/>
                <w:kern w:val="0"/>
                <w:sz w:val="18"/>
                <w:szCs w:val="18"/>
              </w:rPr>
            </w:pPr>
            <w:r>
              <w:rPr>
                <w:rFonts w:ascii="Times New Roman" w:hAnsi="Times New Roman"/>
                <w:bCs/>
                <w:sz w:val="18"/>
                <w:szCs w:val="18"/>
              </w:rPr>
              <w:t>环境空气 挥发性有机物的测定 吸附管采样-热脱附/气相色谱-质谱法</w:t>
            </w:r>
          </w:p>
        </w:tc>
        <w:tc>
          <w:tcPr>
            <w:tcW w:w="600" w:type="pct"/>
            <w:tcBorders>
              <w:top w:val="single" w:color="000000" w:sz="4" w:space="0"/>
              <w:bottom w:val="single" w:color="000000" w:sz="4" w:space="0"/>
            </w:tcBorders>
            <w:vAlign w:val="center"/>
          </w:tcPr>
          <w:p>
            <w:pPr>
              <w:jc w:val="center"/>
              <w:rPr>
                <w:rFonts w:ascii="Times New Roman" w:hAnsi="Times New Roman"/>
                <w:kern w:val="0"/>
                <w:sz w:val="18"/>
                <w:szCs w:val="18"/>
              </w:rPr>
            </w:pPr>
            <w:r>
              <w:rPr>
                <w:rFonts w:ascii="Times New Roman" w:hAnsi="Times New Roman"/>
                <w:kern w:val="0"/>
                <w:sz w:val="18"/>
                <w:szCs w:val="18"/>
              </w:rPr>
              <w:t>HJ 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25" w:type="pct"/>
            <w:vMerge w:val="continue"/>
            <w:vAlign w:val="center"/>
          </w:tcPr>
          <w:p>
            <w:pPr>
              <w:widowControl/>
              <w:jc w:val="center"/>
              <w:rPr>
                <w:rFonts w:ascii="Times New Roman" w:hAnsi="Times New Roman"/>
                <w:kern w:val="0"/>
                <w:sz w:val="18"/>
                <w:szCs w:val="18"/>
              </w:rPr>
            </w:pPr>
          </w:p>
        </w:tc>
        <w:tc>
          <w:tcPr>
            <w:tcW w:w="735" w:type="pct"/>
            <w:vMerge w:val="continue"/>
            <w:vAlign w:val="center"/>
          </w:tcPr>
          <w:p>
            <w:pPr>
              <w:jc w:val="center"/>
              <w:rPr>
                <w:rFonts w:ascii="Times New Roman" w:hAnsi="Times New Roman"/>
                <w:kern w:val="0"/>
                <w:sz w:val="18"/>
                <w:szCs w:val="18"/>
              </w:rPr>
            </w:pPr>
          </w:p>
        </w:tc>
        <w:tc>
          <w:tcPr>
            <w:tcW w:w="3240" w:type="pct"/>
            <w:tcBorders>
              <w:top w:val="single" w:color="000000" w:sz="4" w:space="0"/>
              <w:bottom w:val="single" w:color="000000" w:sz="4" w:space="0"/>
            </w:tcBorders>
            <w:vAlign w:val="center"/>
          </w:tcPr>
          <w:p>
            <w:pPr>
              <w:jc w:val="left"/>
              <w:rPr>
                <w:rFonts w:ascii="Times New Roman" w:hAnsi="Times New Roman"/>
                <w:kern w:val="0"/>
                <w:sz w:val="18"/>
                <w:szCs w:val="18"/>
              </w:rPr>
            </w:pPr>
            <w:r>
              <w:rPr>
                <w:rFonts w:ascii="Times New Roman" w:hAnsi="Times New Roman"/>
                <w:kern w:val="0"/>
                <w:sz w:val="18"/>
                <w:szCs w:val="18"/>
              </w:rPr>
              <w:t>固定污染源废气 挥发性有机物的测定 固定相吸附-热脱附/气相色谱-质谱法</w:t>
            </w:r>
          </w:p>
        </w:tc>
        <w:tc>
          <w:tcPr>
            <w:tcW w:w="600" w:type="pct"/>
            <w:tcBorders>
              <w:top w:val="single" w:color="000000" w:sz="4" w:space="0"/>
              <w:bottom w:val="single" w:color="000000" w:sz="4" w:space="0"/>
            </w:tcBorders>
            <w:vAlign w:val="center"/>
          </w:tcPr>
          <w:p>
            <w:pPr>
              <w:jc w:val="center"/>
              <w:rPr>
                <w:rFonts w:ascii="Times New Roman" w:hAnsi="Times New Roman"/>
                <w:kern w:val="0"/>
                <w:sz w:val="18"/>
                <w:szCs w:val="18"/>
              </w:rPr>
            </w:pPr>
            <w:r>
              <w:rPr>
                <w:rFonts w:ascii="Times New Roman" w:hAnsi="Times New Roman"/>
                <w:kern w:val="0"/>
                <w:sz w:val="18"/>
                <w:szCs w:val="18"/>
              </w:rPr>
              <w:t>HJ 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25" w:type="pct"/>
            <w:vMerge w:val="continue"/>
            <w:vAlign w:val="center"/>
          </w:tcPr>
          <w:p>
            <w:pPr>
              <w:widowControl/>
              <w:jc w:val="center"/>
              <w:rPr>
                <w:rFonts w:ascii="Times New Roman" w:hAnsi="Times New Roman"/>
                <w:kern w:val="0"/>
                <w:sz w:val="18"/>
                <w:szCs w:val="18"/>
              </w:rPr>
            </w:pPr>
          </w:p>
        </w:tc>
        <w:tc>
          <w:tcPr>
            <w:tcW w:w="735" w:type="pct"/>
            <w:vMerge w:val="continue"/>
            <w:vAlign w:val="center"/>
          </w:tcPr>
          <w:p>
            <w:pPr>
              <w:jc w:val="center"/>
              <w:rPr>
                <w:rFonts w:ascii="Times New Roman" w:hAnsi="Times New Roman"/>
                <w:kern w:val="0"/>
                <w:sz w:val="18"/>
                <w:szCs w:val="18"/>
              </w:rPr>
            </w:pPr>
          </w:p>
        </w:tc>
        <w:tc>
          <w:tcPr>
            <w:tcW w:w="3240" w:type="pct"/>
            <w:tcBorders>
              <w:top w:val="single" w:color="000000" w:sz="4" w:space="0"/>
              <w:bottom w:val="single" w:color="000000" w:sz="4" w:space="0"/>
            </w:tcBorders>
            <w:vAlign w:val="center"/>
          </w:tcPr>
          <w:p>
            <w:pPr>
              <w:jc w:val="left"/>
              <w:rPr>
                <w:rFonts w:ascii="Times New Roman" w:hAnsi="Times New Roman"/>
                <w:kern w:val="0"/>
                <w:sz w:val="18"/>
                <w:szCs w:val="18"/>
              </w:rPr>
            </w:pPr>
            <w:r>
              <w:rPr>
                <w:rFonts w:ascii="Times New Roman" w:hAnsi="Times New Roman"/>
                <w:bCs/>
                <w:sz w:val="18"/>
                <w:szCs w:val="18"/>
              </w:rPr>
              <w:t>环境空气 挥发性有机物的测定 罐采样/气相色谱-质谱法</w:t>
            </w:r>
          </w:p>
        </w:tc>
        <w:tc>
          <w:tcPr>
            <w:tcW w:w="600" w:type="pct"/>
            <w:tcBorders>
              <w:top w:val="single" w:color="000000" w:sz="4" w:space="0"/>
              <w:bottom w:val="single" w:color="000000" w:sz="4" w:space="0"/>
            </w:tcBorders>
            <w:vAlign w:val="center"/>
          </w:tcPr>
          <w:p>
            <w:pPr>
              <w:jc w:val="center"/>
              <w:rPr>
                <w:rFonts w:ascii="Times New Roman" w:hAnsi="Times New Roman"/>
                <w:kern w:val="0"/>
                <w:sz w:val="18"/>
                <w:szCs w:val="18"/>
              </w:rPr>
            </w:pPr>
            <w:r>
              <w:rPr>
                <w:rFonts w:ascii="Times New Roman" w:hAnsi="Times New Roman"/>
                <w:kern w:val="0"/>
                <w:sz w:val="18"/>
                <w:szCs w:val="18"/>
              </w:rPr>
              <w:t>HJ 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5" w:type="pct"/>
            <w:vMerge w:val="restart"/>
            <w:vAlign w:val="center"/>
          </w:tcPr>
          <w:p>
            <w:pPr>
              <w:jc w:val="center"/>
              <w:rPr>
                <w:rFonts w:ascii="Times New Roman" w:hAnsi="Times New Roman"/>
                <w:kern w:val="0"/>
                <w:sz w:val="18"/>
                <w:szCs w:val="18"/>
              </w:rPr>
            </w:pPr>
            <w:r>
              <w:rPr>
                <w:rFonts w:ascii="Times New Roman" w:hAnsi="Times New Roman"/>
                <w:kern w:val="0"/>
                <w:sz w:val="18"/>
                <w:szCs w:val="18"/>
              </w:rPr>
              <w:t>2</w:t>
            </w:r>
          </w:p>
        </w:tc>
        <w:tc>
          <w:tcPr>
            <w:tcW w:w="735" w:type="pct"/>
            <w:vMerge w:val="restart"/>
            <w:vAlign w:val="center"/>
          </w:tcPr>
          <w:p>
            <w:pPr>
              <w:jc w:val="center"/>
              <w:rPr>
                <w:rFonts w:ascii="Times New Roman" w:hAnsi="Times New Roman"/>
                <w:kern w:val="0"/>
                <w:sz w:val="18"/>
                <w:szCs w:val="18"/>
              </w:rPr>
            </w:pPr>
            <w:r>
              <w:rPr>
                <w:rFonts w:ascii="Times New Roman" w:hAnsi="Times New Roman"/>
                <w:kern w:val="0"/>
                <w:sz w:val="18"/>
                <w:szCs w:val="18"/>
              </w:rPr>
              <w:t>NMHC</w:t>
            </w:r>
          </w:p>
        </w:tc>
        <w:tc>
          <w:tcPr>
            <w:tcW w:w="3240" w:type="pct"/>
            <w:tcBorders>
              <w:bottom w:val="single" w:color="000000" w:sz="4" w:space="0"/>
            </w:tcBorders>
            <w:vAlign w:val="center"/>
          </w:tcPr>
          <w:p>
            <w:pPr>
              <w:jc w:val="left"/>
              <w:rPr>
                <w:rFonts w:ascii="Times New Roman" w:hAnsi="Times New Roman"/>
                <w:bCs/>
                <w:sz w:val="18"/>
                <w:szCs w:val="18"/>
              </w:rPr>
            </w:pPr>
            <w:r>
              <w:rPr>
                <w:rFonts w:ascii="Times New Roman" w:hAnsi="Times New Roman"/>
                <w:bCs/>
                <w:sz w:val="18"/>
                <w:szCs w:val="18"/>
              </w:rPr>
              <w:t>固定污染源废气 总烃、甲烷和非甲烷总烃的测定 气相色谱法</w:t>
            </w:r>
          </w:p>
        </w:tc>
        <w:tc>
          <w:tcPr>
            <w:tcW w:w="600" w:type="pct"/>
            <w:tcBorders>
              <w:bottom w:val="single" w:color="000000" w:sz="4" w:space="0"/>
            </w:tcBorders>
            <w:vAlign w:val="center"/>
          </w:tcPr>
          <w:p>
            <w:pPr>
              <w:jc w:val="center"/>
              <w:rPr>
                <w:rFonts w:ascii="Times New Roman" w:hAnsi="Times New Roman"/>
                <w:kern w:val="0"/>
                <w:sz w:val="18"/>
                <w:szCs w:val="18"/>
              </w:rPr>
            </w:pPr>
            <w:r>
              <w:rPr>
                <w:rFonts w:ascii="Times New Roman" w:hAnsi="Times New Roman"/>
                <w:kern w:val="0"/>
                <w:sz w:val="18"/>
                <w:szCs w:val="18"/>
              </w:rPr>
              <w:t>HJ 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5" w:type="pct"/>
            <w:vMerge w:val="continue"/>
            <w:vAlign w:val="center"/>
          </w:tcPr>
          <w:p>
            <w:pPr>
              <w:jc w:val="center"/>
              <w:rPr>
                <w:rFonts w:ascii="Times New Roman" w:hAnsi="Times New Roman"/>
                <w:kern w:val="0"/>
                <w:sz w:val="18"/>
                <w:szCs w:val="18"/>
              </w:rPr>
            </w:pPr>
          </w:p>
        </w:tc>
        <w:tc>
          <w:tcPr>
            <w:tcW w:w="735" w:type="pct"/>
            <w:vMerge w:val="continue"/>
            <w:vAlign w:val="center"/>
          </w:tcPr>
          <w:p>
            <w:pPr>
              <w:jc w:val="center"/>
              <w:rPr>
                <w:rFonts w:ascii="Times New Roman" w:hAnsi="Times New Roman"/>
                <w:kern w:val="0"/>
                <w:sz w:val="18"/>
                <w:szCs w:val="18"/>
              </w:rPr>
            </w:pPr>
          </w:p>
        </w:tc>
        <w:tc>
          <w:tcPr>
            <w:tcW w:w="3240" w:type="pct"/>
            <w:tcBorders>
              <w:bottom w:val="single" w:color="000000" w:sz="4" w:space="0"/>
            </w:tcBorders>
            <w:vAlign w:val="center"/>
          </w:tcPr>
          <w:p>
            <w:pPr>
              <w:jc w:val="left"/>
              <w:rPr>
                <w:rFonts w:ascii="Times New Roman" w:hAnsi="Times New Roman"/>
                <w:bCs/>
                <w:sz w:val="18"/>
                <w:szCs w:val="18"/>
              </w:rPr>
            </w:pPr>
            <w:r>
              <w:rPr>
                <w:rFonts w:ascii="Times New Roman" w:hAnsi="Times New Roman"/>
                <w:bCs/>
                <w:sz w:val="18"/>
                <w:szCs w:val="18"/>
              </w:rPr>
              <w:t>环境空气 总烃、甲烷和非甲烷总烃的测定 直接进样-气相色谱法</w:t>
            </w:r>
          </w:p>
        </w:tc>
        <w:tc>
          <w:tcPr>
            <w:tcW w:w="600" w:type="pct"/>
            <w:tcBorders>
              <w:bottom w:val="single" w:color="000000" w:sz="4" w:space="0"/>
            </w:tcBorders>
            <w:vAlign w:val="center"/>
          </w:tcPr>
          <w:p>
            <w:pPr>
              <w:jc w:val="center"/>
              <w:rPr>
                <w:rFonts w:ascii="Times New Roman" w:hAnsi="Times New Roman"/>
                <w:kern w:val="0"/>
                <w:sz w:val="18"/>
                <w:szCs w:val="18"/>
              </w:rPr>
            </w:pPr>
            <w:r>
              <w:rPr>
                <w:rFonts w:ascii="Times New Roman" w:hAnsi="Times New Roman"/>
                <w:kern w:val="0"/>
                <w:sz w:val="18"/>
                <w:szCs w:val="18"/>
              </w:rPr>
              <w:t>HJ 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425" w:type="pct"/>
            <w:vAlign w:val="center"/>
          </w:tcPr>
          <w:p>
            <w:pPr>
              <w:widowControl/>
              <w:jc w:val="center"/>
              <w:rPr>
                <w:rFonts w:ascii="Times New Roman" w:hAnsi="Times New Roman"/>
                <w:kern w:val="0"/>
                <w:sz w:val="18"/>
                <w:szCs w:val="18"/>
              </w:rPr>
            </w:pPr>
            <w:r>
              <w:rPr>
                <w:rFonts w:ascii="Times New Roman" w:hAnsi="Times New Roman"/>
                <w:kern w:val="0"/>
                <w:sz w:val="18"/>
                <w:szCs w:val="18"/>
              </w:rPr>
              <w:t>3</w:t>
            </w:r>
          </w:p>
        </w:tc>
        <w:tc>
          <w:tcPr>
            <w:tcW w:w="735" w:type="pct"/>
            <w:vAlign w:val="center"/>
          </w:tcPr>
          <w:p>
            <w:pPr>
              <w:jc w:val="center"/>
              <w:rPr>
                <w:rFonts w:ascii="Times New Roman" w:hAnsi="Times New Roman"/>
                <w:kern w:val="0"/>
                <w:sz w:val="18"/>
                <w:szCs w:val="18"/>
              </w:rPr>
            </w:pPr>
            <w:r>
              <w:rPr>
                <w:rFonts w:ascii="Times New Roman" w:hAnsi="Times New Roman"/>
                <w:kern w:val="0"/>
                <w:sz w:val="18"/>
                <w:szCs w:val="18"/>
              </w:rPr>
              <w:t>TOC</w:t>
            </w:r>
          </w:p>
        </w:tc>
        <w:tc>
          <w:tcPr>
            <w:tcW w:w="3240" w:type="pct"/>
            <w:vAlign w:val="center"/>
          </w:tcPr>
          <w:p>
            <w:pPr>
              <w:jc w:val="left"/>
              <w:rPr>
                <w:rFonts w:ascii="Times New Roman" w:hAnsi="Times New Roman"/>
                <w:bCs/>
                <w:sz w:val="18"/>
                <w:szCs w:val="18"/>
              </w:rPr>
            </w:pPr>
            <w:r>
              <w:rPr>
                <w:rFonts w:ascii="Times New Roman" w:hAnsi="Times New Roman"/>
                <w:bCs/>
                <w:sz w:val="18"/>
                <w:szCs w:val="18"/>
              </w:rPr>
              <w:t>水质 总有机碳的测定  燃烧氧化－非分散红外吸收法</w:t>
            </w:r>
          </w:p>
        </w:tc>
        <w:tc>
          <w:tcPr>
            <w:tcW w:w="600" w:type="pct"/>
            <w:vAlign w:val="center"/>
          </w:tcPr>
          <w:p>
            <w:pPr>
              <w:jc w:val="center"/>
              <w:rPr>
                <w:rFonts w:ascii="Times New Roman" w:hAnsi="Times New Roman"/>
                <w:kern w:val="0"/>
                <w:sz w:val="18"/>
                <w:szCs w:val="18"/>
              </w:rPr>
            </w:pPr>
            <w:r>
              <w:rPr>
                <w:rFonts w:ascii="Times New Roman" w:hAnsi="Times New Roman"/>
                <w:kern w:val="0"/>
                <w:sz w:val="18"/>
                <w:szCs w:val="18"/>
              </w:rPr>
              <w:t>HJ 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restart"/>
            <w:vAlign w:val="center"/>
          </w:tcPr>
          <w:p>
            <w:pPr>
              <w:widowControl/>
              <w:jc w:val="center"/>
              <w:rPr>
                <w:rFonts w:ascii="Times New Roman" w:hAnsi="Times New Roman"/>
                <w:kern w:val="0"/>
                <w:sz w:val="18"/>
                <w:szCs w:val="18"/>
              </w:rPr>
            </w:pPr>
            <w:r>
              <w:rPr>
                <w:rFonts w:ascii="Times New Roman" w:hAnsi="Times New Roman"/>
                <w:kern w:val="0"/>
                <w:sz w:val="18"/>
                <w:szCs w:val="18"/>
              </w:rPr>
              <w:t>4</w:t>
            </w:r>
          </w:p>
        </w:tc>
        <w:tc>
          <w:tcPr>
            <w:tcW w:w="735" w:type="pct"/>
            <w:vMerge w:val="restart"/>
            <w:vAlign w:val="center"/>
          </w:tcPr>
          <w:p>
            <w:pPr>
              <w:jc w:val="center"/>
              <w:rPr>
                <w:rFonts w:ascii="Times New Roman" w:hAnsi="Times New Roman"/>
                <w:kern w:val="0"/>
                <w:sz w:val="18"/>
                <w:szCs w:val="18"/>
              </w:rPr>
            </w:pPr>
            <w:r>
              <w:rPr>
                <w:rFonts w:ascii="Times New Roman" w:hAnsi="Times New Roman"/>
                <w:kern w:val="0"/>
                <w:sz w:val="18"/>
                <w:szCs w:val="18"/>
              </w:rPr>
              <w:t>甲醛</w:t>
            </w:r>
          </w:p>
        </w:tc>
        <w:tc>
          <w:tcPr>
            <w:tcW w:w="3240" w:type="pct"/>
            <w:tcBorders>
              <w:top w:val="single" w:color="000000" w:sz="4" w:space="0"/>
            </w:tcBorders>
            <w:vAlign w:val="center"/>
          </w:tcPr>
          <w:p>
            <w:pPr>
              <w:jc w:val="left"/>
              <w:rPr>
                <w:rFonts w:ascii="Times New Roman" w:hAnsi="Times New Roman"/>
                <w:bCs/>
                <w:sz w:val="18"/>
                <w:szCs w:val="18"/>
              </w:rPr>
            </w:pPr>
            <w:bookmarkStart w:id="179" w:name="_Hlk73546415"/>
            <w:r>
              <w:rPr>
                <w:rFonts w:ascii="Times New Roman" w:hAnsi="Times New Roman"/>
                <w:bCs/>
                <w:sz w:val="18"/>
                <w:szCs w:val="18"/>
              </w:rPr>
              <w:t>固定污染源废气 醛、酮类化合物的测定 溶液吸收-高效液相色谱法</w:t>
            </w:r>
            <w:bookmarkEnd w:id="179"/>
          </w:p>
        </w:tc>
        <w:tc>
          <w:tcPr>
            <w:tcW w:w="600" w:type="pct"/>
            <w:tcBorders>
              <w:top w:val="single" w:color="000000" w:sz="4" w:space="0"/>
            </w:tcBorders>
            <w:vAlign w:val="center"/>
          </w:tcPr>
          <w:p>
            <w:pPr>
              <w:jc w:val="center"/>
              <w:rPr>
                <w:rFonts w:ascii="Times New Roman" w:hAnsi="Times New Roman"/>
                <w:kern w:val="0"/>
                <w:sz w:val="18"/>
                <w:szCs w:val="18"/>
              </w:rPr>
            </w:pPr>
            <w:r>
              <w:rPr>
                <w:rFonts w:ascii="Times New Roman" w:hAnsi="Times New Roman"/>
                <w:kern w:val="0"/>
                <w:sz w:val="18"/>
                <w:szCs w:val="18"/>
              </w:rPr>
              <w:t>HJ 1153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vAlign w:val="center"/>
          </w:tcPr>
          <w:p>
            <w:pPr>
              <w:widowControl/>
              <w:jc w:val="center"/>
              <w:rPr>
                <w:rFonts w:ascii="Times New Roman" w:hAnsi="Times New Roman"/>
                <w:kern w:val="0"/>
                <w:sz w:val="18"/>
                <w:szCs w:val="18"/>
              </w:rPr>
            </w:pPr>
          </w:p>
        </w:tc>
        <w:tc>
          <w:tcPr>
            <w:tcW w:w="735" w:type="pct"/>
            <w:vMerge w:val="continue"/>
            <w:vAlign w:val="center"/>
          </w:tcPr>
          <w:p>
            <w:pPr>
              <w:jc w:val="center"/>
              <w:rPr>
                <w:rFonts w:ascii="Times New Roman" w:hAnsi="Times New Roman"/>
                <w:kern w:val="0"/>
                <w:sz w:val="18"/>
                <w:szCs w:val="18"/>
              </w:rPr>
            </w:pPr>
          </w:p>
        </w:tc>
        <w:tc>
          <w:tcPr>
            <w:tcW w:w="3240" w:type="pct"/>
            <w:tcBorders>
              <w:top w:val="single" w:color="000000" w:sz="4" w:space="0"/>
            </w:tcBorders>
            <w:vAlign w:val="center"/>
          </w:tcPr>
          <w:p>
            <w:pPr>
              <w:jc w:val="left"/>
              <w:rPr>
                <w:rFonts w:ascii="Times New Roman" w:hAnsi="Times New Roman"/>
                <w:bCs/>
                <w:sz w:val="18"/>
                <w:szCs w:val="18"/>
              </w:rPr>
            </w:pPr>
            <w:r>
              <w:rPr>
                <w:rFonts w:ascii="Times New Roman" w:hAnsi="Times New Roman"/>
                <w:bCs/>
                <w:sz w:val="18"/>
                <w:szCs w:val="18"/>
              </w:rPr>
              <w:t>环境空气 醛、酮类化合物的测定 溶液吸收-高效液相色谱法</w:t>
            </w:r>
          </w:p>
        </w:tc>
        <w:tc>
          <w:tcPr>
            <w:tcW w:w="600" w:type="pct"/>
            <w:tcBorders>
              <w:top w:val="single" w:color="000000" w:sz="4" w:space="0"/>
            </w:tcBorders>
            <w:vAlign w:val="center"/>
          </w:tcPr>
          <w:p>
            <w:pPr>
              <w:jc w:val="center"/>
              <w:rPr>
                <w:rFonts w:ascii="Times New Roman" w:hAnsi="Times New Roman"/>
                <w:kern w:val="0"/>
                <w:sz w:val="18"/>
                <w:szCs w:val="18"/>
              </w:rPr>
            </w:pPr>
            <w:r>
              <w:rPr>
                <w:rFonts w:ascii="Times New Roman" w:hAnsi="Times New Roman"/>
                <w:kern w:val="0"/>
                <w:sz w:val="18"/>
                <w:szCs w:val="18"/>
              </w:rPr>
              <w:t>HJ 1154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425" w:type="pct"/>
            <w:vMerge w:val="restart"/>
            <w:vAlign w:val="center"/>
          </w:tcPr>
          <w:p>
            <w:pPr>
              <w:widowControl/>
              <w:jc w:val="center"/>
              <w:rPr>
                <w:rFonts w:ascii="Times New Roman" w:hAnsi="Times New Roman"/>
                <w:kern w:val="0"/>
                <w:sz w:val="18"/>
                <w:szCs w:val="18"/>
              </w:rPr>
            </w:pPr>
            <w:r>
              <w:rPr>
                <w:rFonts w:ascii="Times New Roman" w:hAnsi="Times New Roman"/>
                <w:kern w:val="0"/>
                <w:sz w:val="18"/>
                <w:szCs w:val="18"/>
              </w:rPr>
              <w:t>5</w:t>
            </w:r>
          </w:p>
        </w:tc>
        <w:tc>
          <w:tcPr>
            <w:tcW w:w="735" w:type="pct"/>
            <w:vMerge w:val="restart"/>
            <w:vAlign w:val="center"/>
          </w:tcPr>
          <w:p>
            <w:pPr>
              <w:jc w:val="center"/>
              <w:rPr>
                <w:rFonts w:ascii="Times New Roman" w:hAnsi="Times New Roman"/>
                <w:kern w:val="0"/>
                <w:sz w:val="18"/>
                <w:szCs w:val="18"/>
              </w:rPr>
            </w:pPr>
            <w:r>
              <w:rPr>
                <w:rFonts w:ascii="Times New Roman" w:hAnsi="Times New Roman"/>
                <w:kern w:val="0"/>
                <w:sz w:val="18"/>
                <w:szCs w:val="18"/>
              </w:rPr>
              <w:t>丙烯醛</w:t>
            </w:r>
          </w:p>
        </w:tc>
        <w:tc>
          <w:tcPr>
            <w:tcW w:w="3240" w:type="pct"/>
            <w:vAlign w:val="center"/>
          </w:tcPr>
          <w:p>
            <w:pPr>
              <w:jc w:val="left"/>
              <w:rPr>
                <w:rFonts w:ascii="Times New Roman" w:hAnsi="Times New Roman"/>
                <w:bCs/>
                <w:sz w:val="18"/>
                <w:szCs w:val="18"/>
              </w:rPr>
            </w:pPr>
            <w:r>
              <w:rPr>
                <w:rFonts w:ascii="Times New Roman" w:hAnsi="Times New Roman"/>
                <w:bCs/>
                <w:sz w:val="18"/>
                <w:szCs w:val="18"/>
              </w:rPr>
              <w:t>固定污染源废气 醛、酮类化合物的测定 溶液吸收-高效液相色谱法</w:t>
            </w:r>
          </w:p>
        </w:tc>
        <w:tc>
          <w:tcPr>
            <w:tcW w:w="600" w:type="pct"/>
            <w:vAlign w:val="center"/>
          </w:tcPr>
          <w:p>
            <w:pPr>
              <w:jc w:val="center"/>
              <w:rPr>
                <w:rFonts w:ascii="Times New Roman" w:hAnsi="Times New Roman"/>
                <w:kern w:val="0"/>
                <w:sz w:val="18"/>
                <w:szCs w:val="18"/>
              </w:rPr>
            </w:pPr>
            <w:r>
              <w:rPr>
                <w:rFonts w:ascii="Times New Roman" w:hAnsi="Times New Roman"/>
                <w:kern w:val="0"/>
                <w:sz w:val="18"/>
                <w:szCs w:val="18"/>
              </w:rPr>
              <w:t>HJ 1153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425" w:type="pct"/>
            <w:vMerge w:val="continue"/>
            <w:vAlign w:val="center"/>
          </w:tcPr>
          <w:p>
            <w:pPr>
              <w:widowControl/>
              <w:jc w:val="center"/>
              <w:rPr>
                <w:rFonts w:ascii="Times New Roman" w:hAnsi="Times New Roman"/>
                <w:kern w:val="0"/>
                <w:sz w:val="18"/>
                <w:szCs w:val="18"/>
              </w:rPr>
            </w:pPr>
          </w:p>
        </w:tc>
        <w:tc>
          <w:tcPr>
            <w:tcW w:w="735" w:type="pct"/>
            <w:vMerge w:val="continue"/>
            <w:vAlign w:val="center"/>
          </w:tcPr>
          <w:p>
            <w:pPr>
              <w:jc w:val="center"/>
              <w:rPr>
                <w:rFonts w:ascii="Times New Roman" w:hAnsi="Times New Roman"/>
                <w:kern w:val="0"/>
                <w:sz w:val="18"/>
                <w:szCs w:val="18"/>
              </w:rPr>
            </w:pPr>
          </w:p>
        </w:tc>
        <w:tc>
          <w:tcPr>
            <w:tcW w:w="3240" w:type="pct"/>
            <w:vAlign w:val="center"/>
          </w:tcPr>
          <w:p>
            <w:pPr>
              <w:jc w:val="left"/>
              <w:rPr>
                <w:rFonts w:ascii="Times New Roman" w:hAnsi="Times New Roman"/>
                <w:bCs/>
                <w:sz w:val="18"/>
                <w:szCs w:val="18"/>
              </w:rPr>
            </w:pPr>
            <w:r>
              <w:rPr>
                <w:rFonts w:ascii="Times New Roman" w:hAnsi="Times New Roman"/>
                <w:bCs/>
                <w:sz w:val="18"/>
                <w:szCs w:val="18"/>
              </w:rPr>
              <w:t>环境空气 醛、酮类化合物的测定 溶液吸收-高效液相色谱法</w:t>
            </w:r>
          </w:p>
        </w:tc>
        <w:tc>
          <w:tcPr>
            <w:tcW w:w="600" w:type="pct"/>
            <w:vAlign w:val="center"/>
          </w:tcPr>
          <w:p>
            <w:pPr>
              <w:jc w:val="center"/>
              <w:rPr>
                <w:rFonts w:ascii="Times New Roman" w:hAnsi="Times New Roman"/>
                <w:bCs/>
                <w:sz w:val="18"/>
                <w:szCs w:val="18"/>
              </w:rPr>
            </w:pPr>
            <w:r>
              <w:rPr>
                <w:rFonts w:ascii="Times New Roman" w:hAnsi="Times New Roman"/>
                <w:kern w:val="0"/>
                <w:sz w:val="18"/>
                <w:szCs w:val="18"/>
              </w:rPr>
              <w:t>HJ 1154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425" w:type="pct"/>
            <w:vAlign w:val="center"/>
          </w:tcPr>
          <w:p>
            <w:pPr>
              <w:widowControl/>
              <w:jc w:val="center"/>
              <w:rPr>
                <w:rFonts w:ascii="Times New Roman" w:hAnsi="Times New Roman"/>
                <w:kern w:val="0"/>
                <w:sz w:val="18"/>
                <w:szCs w:val="18"/>
              </w:rPr>
            </w:pPr>
            <w:r>
              <w:rPr>
                <w:rFonts w:ascii="Times New Roman" w:hAnsi="Times New Roman"/>
                <w:kern w:val="0"/>
                <w:sz w:val="18"/>
                <w:szCs w:val="18"/>
              </w:rPr>
              <w:t>6</w:t>
            </w:r>
          </w:p>
        </w:tc>
        <w:tc>
          <w:tcPr>
            <w:tcW w:w="735" w:type="pct"/>
            <w:vAlign w:val="center"/>
          </w:tcPr>
          <w:p>
            <w:pPr>
              <w:jc w:val="center"/>
              <w:rPr>
                <w:rFonts w:ascii="Times New Roman" w:hAnsi="Times New Roman"/>
                <w:kern w:val="0"/>
                <w:sz w:val="18"/>
                <w:szCs w:val="18"/>
              </w:rPr>
            </w:pPr>
            <w:r>
              <w:rPr>
                <w:rFonts w:ascii="Times New Roman" w:hAnsi="Times New Roman"/>
                <w:kern w:val="0"/>
                <w:sz w:val="18"/>
                <w:szCs w:val="18"/>
              </w:rPr>
              <w:t>丙烯腈</w:t>
            </w:r>
          </w:p>
        </w:tc>
        <w:tc>
          <w:tcPr>
            <w:tcW w:w="3240" w:type="pct"/>
            <w:vAlign w:val="center"/>
          </w:tcPr>
          <w:p>
            <w:pPr>
              <w:jc w:val="left"/>
              <w:rPr>
                <w:rFonts w:ascii="Times New Roman" w:hAnsi="Times New Roman"/>
                <w:bCs/>
                <w:sz w:val="18"/>
                <w:szCs w:val="18"/>
              </w:rPr>
            </w:pPr>
            <w:r>
              <w:rPr>
                <w:rFonts w:ascii="Times New Roman" w:hAnsi="Times New Roman"/>
                <w:bCs/>
                <w:sz w:val="18"/>
                <w:szCs w:val="18"/>
              </w:rPr>
              <w:t>固定污染源排气中丙烯腈的测定 气相色谱法</w:t>
            </w:r>
          </w:p>
        </w:tc>
        <w:tc>
          <w:tcPr>
            <w:tcW w:w="600" w:type="pct"/>
            <w:vAlign w:val="center"/>
          </w:tcPr>
          <w:p>
            <w:pPr>
              <w:jc w:val="center"/>
              <w:rPr>
                <w:rFonts w:ascii="Times New Roman" w:hAnsi="Times New Roman"/>
                <w:kern w:val="0"/>
                <w:sz w:val="18"/>
                <w:szCs w:val="18"/>
              </w:rPr>
            </w:pPr>
            <w:r>
              <w:rPr>
                <w:rFonts w:ascii="Times New Roman" w:hAnsi="Times New Roman"/>
                <w:kern w:val="0"/>
                <w:sz w:val="18"/>
                <w:szCs w:val="18"/>
              </w:rPr>
              <w:t>HJ/T 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425" w:type="pct"/>
            <w:vMerge w:val="restart"/>
            <w:vAlign w:val="center"/>
          </w:tcPr>
          <w:p>
            <w:pPr>
              <w:jc w:val="center"/>
              <w:rPr>
                <w:rFonts w:ascii="Times New Roman" w:hAnsi="Times New Roman"/>
                <w:kern w:val="0"/>
                <w:sz w:val="18"/>
                <w:szCs w:val="18"/>
              </w:rPr>
            </w:pPr>
            <w:r>
              <w:rPr>
                <w:rFonts w:ascii="Times New Roman" w:hAnsi="Times New Roman"/>
                <w:kern w:val="0"/>
                <w:sz w:val="18"/>
                <w:szCs w:val="18"/>
              </w:rPr>
              <w:t>7</w:t>
            </w:r>
          </w:p>
        </w:tc>
        <w:tc>
          <w:tcPr>
            <w:tcW w:w="735" w:type="pct"/>
            <w:vMerge w:val="restart"/>
            <w:vAlign w:val="center"/>
          </w:tcPr>
          <w:p>
            <w:pPr>
              <w:jc w:val="center"/>
              <w:rPr>
                <w:rFonts w:ascii="Times New Roman" w:hAnsi="Times New Roman"/>
                <w:kern w:val="0"/>
                <w:sz w:val="18"/>
                <w:szCs w:val="18"/>
              </w:rPr>
            </w:pPr>
            <w:r>
              <w:rPr>
                <w:rFonts w:ascii="Times New Roman" w:hAnsi="Times New Roman"/>
                <w:kern w:val="0"/>
                <w:sz w:val="18"/>
                <w:szCs w:val="18"/>
              </w:rPr>
              <w:t>硝基苯类</w:t>
            </w:r>
          </w:p>
        </w:tc>
        <w:tc>
          <w:tcPr>
            <w:tcW w:w="3240" w:type="pct"/>
            <w:vAlign w:val="center"/>
          </w:tcPr>
          <w:p>
            <w:pPr>
              <w:jc w:val="left"/>
              <w:rPr>
                <w:rFonts w:ascii="Times New Roman" w:hAnsi="Times New Roman"/>
                <w:bCs/>
                <w:sz w:val="18"/>
                <w:szCs w:val="18"/>
              </w:rPr>
            </w:pPr>
            <w:r>
              <w:rPr>
                <w:rFonts w:ascii="Times New Roman" w:hAnsi="Times New Roman"/>
                <w:bCs/>
                <w:sz w:val="18"/>
                <w:szCs w:val="18"/>
              </w:rPr>
              <w:t>环境空气 硝基苯类化合物的测定 气相色谱法</w:t>
            </w:r>
          </w:p>
        </w:tc>
        <w:tc>
          <w:tcPr>
            <w:tcW w:w="600" w:type="pct"/>
            <w:vAlign w:val="center"/>
          </w:tcPr>
          <w:p>
            <w:pPr>
              <w:jc w:val="center"/>
              <w:rPr>
                <w:rFonts w:ascii="Times New Roman" w:hAnsi="Times New Roman"/>
                <w:kern w:val="0"/>
                <w:sz w:val="18"/>
                <w:szCs w:val="18"/>
              </w:rPr>
            </w:pPr>
            <w:r>
              <w:rPr>
                <w:rFonts w:ascii="Times New Roman" w:hAnsi="Times New Roman"/>
                <w:kern w:val="0"/>
                <w:sz w:val="18"/>
                <w:szCs w:val="18"/>
              </w:rPr>
              <w:t>HJ 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425" w:type="pct"/>
            <w:vMerge w:val="continue"/>
            <w:vAlign w:val="center"/>
          </w:tcPr>
          <w:p>
            <w:pPr>
              <w:jc w:val="center"/>
              <w:rPr>
                <w:rFonts w:ascii="Times New Roman" w:hAnsi="Times New Roman"/>
                <w:kern w:val="0"/>
                <w:sz w:val="18"/>
                <w:szCs w:val="18"/>
              </w:rPr>
            </w:pPr>
          </w:p>
        </w:tc>
        <w:tc>
          <w:tcPr>
            <w:tcW w:w="735" w:type="pct"/>
            <w:vMerge w:val="continue"/>
            <w:vAlign w:val="center"/>
          </w:tcPr>
          <w:p>
            <w:pPr>
              <w:jc w:val="center"/>
              <w:rPr>
                <w:rFonts w:ascii="Times New Roman" w:hAnsi="Times New Roman"/>
                <w:kern w:val="0"/>
                <w:sz w:val="18"/>
                <w:szCs w:val="18"/>
              </w:rPr>
            </w:pPr>
          </w:p>
        </w:tc>
        <w:tc>
          <w:tcPr>
            <w:tcW w:w="3240" w:type="pct"/>
            <w:vAlign w:val="center"/>
          </w:tcPr>
          <w:p>
            <w:pPr>
              <w:jc w:val="left"/>
              <w:rPr>
                <w:rFonts w:ascii="Times New Roman" w:hAnsi="Times New Roman"/>
                <w:bCs/>
                <w:sz w:val="18"/>
                <w:szCs w:val="18"/>
              </w:rPr>
            </w:pPr>
            <w:r>
              <w:rPr>
                <w:rFonts w:ascii="Times New Roman" w:hAnsi="Times New Roman"/>
                <w:bCs/>
                <w:sz w:val="18"/>
                <w:szCs w:val="18"/>
              </w:rPr>
              <w:t>环境空气 硝基苯类化合物的测定 气相色谱-质谱法</w:t>
            </w:r>
          </w:p>
        </w:tc>
        <w:tc>
          <w:tcPr>
            <w:tcW w:w="600" w:type="pct"/>
            <w:vAlign w:val="center"/>
          </w:tcPr>
          <w:p>
            <w:pPr>
              <w:jc w:val="center"/>
              <w:rPr>
                <w:rFonts w:ascii="Times New Roman" w:hAnsi="Times New Roman"/>
                <w:kern w:val="0"/>
                <w:sz w:val="18"/>
                <w:szCs w:val="18"/>
              </w:rPr>
            </w:pPr>
            <w:r>
              <w:rPr>
                <w:rFonts w:ascii="Times New Roman" w:hAnsi="Times New Roman"/>
                <w:kern w:val="0"/>
                <w:sz w:val="18"/>
                <w:szCs w:val="18"/>
              </w:rPr>
              <w:t>HJ 739</w:t>
            </w:r>
          </w:p>
        </w:tc>
      </w:tr>
      <w:bookmarkEnd w:id="178"/>
    </w:tbl>
    <w:p>
      <w:pPr>
        <w:pStyle w:val="2"/>
        <w:numPr>
          <w:ilvl w:val="0"/>
          <w:numId w:val="1"/>
        </w:numPr>
        <w:ind w:left="0" w:firstLine="0"/>
        <w:jc w:val="center"/>
        <w:rPr>
          <w:rFonts w:ascii="Times New Roman" w:hAnsi="Times New Roman"/>
        </w:rPr>
      </w:pPr>
      <w:bookmarkStart w:id="180" w:name="_Toc75787659"/>
      <w:r>
        <w:rPr>
          <w:rFonts w:ascii="Times New Roman" w:hAnsi="Times New Roman"/>
        </w:rPr>
        <w:t>实施本标准的环境效益和经济技术分析</w:t>
      </w:r>
      <w:bookmarkEnd w:id="180"/>
    </w:p>
    <w:p>
      <w:pPr>
        <w:pStyle w:val="3"/>
        <w:ind w:left="0" w:firstLine="0"/>
      </w:pPr>
      <w:bookmarkStart w:id="181" w:name="_Toc75787660"/>
      <w:r>
        <w:t>实施本标准的环境效益</w:t>
      </w:r>
      <w:bookmarkEnd w:id="181"/>
    </w:p>
    <w:p>
      <w:pPr>
        <w:pStyle w:val="68"/>
        <w:rPr>
          <w:rFonts w:cs="Times New Roman"/>
        </w:rPr>
      </w:pPr>
      <w:r>
        <w:rPr>
          <w:rFonts w:cs="Times New Roman"/>
        </w:rPr>
        <w:t>本标准明确了固定污染源</w:t>
      </w:r>
      <w:r>
        <w:rPr>
          <w:rFonts w:hint="eastAsia" w:cs="Times New Roman"/>
        </w:rPr>
        <w:t>VOCs</w:t>
      </w:r>
      <w:r>
        <w:rPr>
          <w:rFonts w:cs="Times New Roman"/>
        </w:rPr>
        <w:t>污染控制的特征因子，提出了</w:t>
      </w:r>
      <w:r>
        <w:rPr>
          <w:rFonts w:hint="eastAsia" w:cs="Times New Roman"/>
        </w:rPr>
        <w:t>VOCs</w:t>
      </w:r>
      <w:r>
        <w:rPr>
          <w:rFonts w:cs="Times New Roman"/>
        </w:rPr>
        <w:t>的控制要求，有利于推行企业清洁生产工艺，加强污染控制，保护环境，保护人体健康。</w:t>
      </w:r>
    </w:p>
    <w:p>
      <w:pPr>
        <w:pStyle w:val="68"/>
        <w:rPr>
          <w:rFonts w:cs="Times New Roman"/>
        </w:rPr>
      </w:pPr>
      <w:r>
        <w:rPr>
          <w:rFonts w:cs="Times New Roman"/>
        </w:rPr>
        <w:t>按</w:t>
      </w:r>
      <w:r>
        <w:rPr>
          <w:rFonts w:hint="eastAsia" w:cs="Times New Roman"/>
        </w:rPr>
        <w:t>广东省《大气污染物综合排放限值》（DB44/27-2001）</w:t>
      </w:r>
      <w:r>
        <w:rPr>
          <w:rFonts w:cs="Times New Roman"/>
        </w:rPr>
        <w:t>执行率100%计算，</w:t>
      </w:r>
      <w:r>
        <w:rPr>
          <w:rFonts w:hint="eastAsia" w:cs="Times New Roman"/>
        </w:rPr>
        <w:t>NMHC</w:t>
      </w:r>
      <w:r>
        <w:rPr>
          <w:rFonts w:cs="Times New Roman"/>
        </w:rPr>
        <w:t>浓度120 mg/m</w:t>
      </w:r>
      <w:r>
        <w:rPr>
          <w:rFonts w:cs="Times New Roman"/>
          <w:vertAlign w:val="superscript"/>
        </w:rPr>
        <w:t>3</w:t>
      </w:r>
      <w:r>
        <w:rPr>
          <w:rFonts w:cs="Times New Roman"/>
        </w:rPr>
        <w:t>，本标准实施后非甲烷总烃排放浓度为80 mg/m</w:t>
      </w:r>
      <w:r>
        <w:rPr>
          <w:rFonts w:cs="Times New Roman"/>
          <w:vertAlign w:val="superscript"/>
        </w:rPr>
        <w:t>3</w:t>
      </w:r>
      <w:r>
        <w:rPr>
          <w:rFonts w:cs="Times New Roman"/>
        </w:rPr>
        <w:t>，</w:t>
      </w:r>
      <w:r>
        <w:rPr>
          <w:rFonts w:hint="eastAsia" w:cs="Times New Roman"/>
        </w:rPr>
        <w:t>标准限值收严</w:t>
      </w:r>
      <w:r>
        <w:rPr>
          <w:rFonts w:cs="Times New Roman"/>
        </w:rPr>
        <w:t>33%</w:t>
      </w:r>
      <w:r>
        <w:rPr>
          <w:rFonts w:hint="eastAsia" w:cs="Times New Roman"/>
        </w:rPr>
        <w:t>，由监测数据可知，仍有2</w:t>
      </w:r>
      <w:r>
        <w:rPr>
          <w:rFonts w:cs="Times New Roman"/>
        </w:rPr>
        <w:t>2</w:t>
      </w:r>
      <w:r>
        <w:rPr>
          <w:rFonts w:hint="eastAsia" w:cs="Times New Roman"/>
        </w:rPr>
        <w:t>%企业需要进行达标改造，将会产生较大的V</w:t>
      </w:r>
      <w:r>
        <w:rPr>
          <w:rFonts w:cs="Times New Roman"/>
        </w:rPr>
        <w:t>OC</w:t>
      </w:r>
      <w:r>
        <w:rPr>
          <w:rFonts w:hint="eastAsia" w:cs="Times New Roman"/>
        </w:rPr>
        <w:t>s减排效益。此外，</w:t>
      </w:r>
      <w:r>
        <w:rPr>
          <w:rFonts w:cs="Times New Roman"/>
        </w:rPr>
        <w:t>本标准对无组织排放提出了较</w:t>
      </w:r>
      <w:r>
        <w:rPr>
          <w:rFonts w:hint="eastAsia" w:cs="Times New Roman"/>
        </w:rPr>
        <w:t>为</w:t>
      </w:r>
      <w:r>
        <w:rPr>
          <w:rFonts w:cs="Times New Roman"/>
        </w:rPr>
        <w:t>严格的控制要求，从调研情况看，</w:t>
      </w:r>
      <w:r>
        <w:rPr>
          <w:rFonts w:hint="eastAsia" w:cs="Times New Roman"/>
        </w:rPr>
        <w:t>我省VOCs排放</w:t>
      </w:r>
      <w:r>
        <w:rPr>
          <w:rFonts w:cs="Times New Roman"/>
        </w:rPr>
        <w:t>企业</w:t>
      </w:r>
      <w:r>
        <w:rPr>
          <w:rFonts w:hint="eastAsia" w:cs="Times New Roman"/>
        </w:rPr>
        <w:t>VOCs</w:t>
      </w:r>
      <w:r>
        <w:rPr>
          <w:rFonts w:cs="Times New Roman"/>
        </w:rPr>
        <w:t>废气收集水平较差，无组织逸散严重</w:t>
      </w:r>
      <w:r>
        <w:rPr>
          <w:rFonts w:hint="eastAsia" w:cs="Times New Roman"/>
        </w:rPr>
        <w:t>；</w:t>
      </w:r>
      <w:r>
        <w:rPr>
          <w:rFonts w:cs="Times New Roman"/>
        </w:rPr>
        <w:t>根据</w:t>
      </w:r>
      <w:r>
        <w:rPr>
          <w:rFonts w:hint="eastAsia" w:cs="Times New Roman"/>
        </w:rPr>
        <w:t>初步</w:t>
      </w:r>
      <w:r>
        <w:rPr>
          <w:rFonts w:cs="Times New Roman"/>
        </w:rPr>
        <w:t>物料衡算，无组织排放约占50%以上，有的企业甚至接近100%（</w:t>
      </w:r>
      <w:r>
        <w:rPr>
          <w:rFonts w:hint="eastAsia" w:cs="Times New Roman"/>
        </w:rPr>
        <w:t>中、</w:t>
      </w:r>
      <w:r>
        <w:rPr>
          <w:rFonts w:cs="Times New Roman"/>
        </w:rPr>
        <w:t>小</w:t>
      </w:r>
      <w:r>
        <w:rPr>
          <w:rFonts w:hint="eastAsia" w:cs="Times New Roman"/>
        </w:rPr>
        <w:t>型</w:t>
      </w:r>
      <w:r>
        <w:rPr>
          <w:rFonts w:cs="Times New Roman"/>
        </w:rPr>
        <w:t>企业）</w:t>
      </w:r>
      <w:r>
        <w:rPr>
          <w:rFonts w:hint="eastAsia" w:cs="Times New Roman"/>
        </w:rPr>
        <w:t>，实施本标准后，可在一定程度上减少企业V</w:t>
      </w:r>
      <w:r>
        <w:rPr>
          <w:rFonts w:cs="Times New Roman"/>
        </w:rPr>
        <w:t>OC</w:t>
      </w:r>
      <w:r>
        <w:rPr>
          <w:rFonts w:hint="eastAsia" w:cs="Times New Roman"/>
        </w:rPr>
        <w:t>s无组织排放。</w:t>
      </w:r>
    </w:p>
    <w:p>
      <w:pPr>
        <w:pStyle w:val="68"/>
        <w:rPr>
          <w:rFonts w:cs="Times New Roman"/>
        </w:rPr>
      </w:pPr>
      <w:r>
        <w:rPr>
          <w:rFonts w:hint="eastAsia" w:cs="Times New Roman"/>
        </w:rPr>
        <w:t>总的来说，</w:t>
      </w:r>
      <w:r>
        <w:rPr>
          <w:rFonts w:cs="Times New Roman"/>
        </w:rPr>
        <w:t>标准实施后可</w:t>
      </w:r>
      <w:r>
        <w:rPr>
          <w:rFonts w:hint="eastAsia" w:cs="Times New Roman"/>
        </w:rPr>
        <w:t>在一定程度上</w:t>
      </w:r>
      <w:r>
        <w:rPr>
          <w:rFonts w:cs="Times New Roman"/>
        </w:rPr>
        <w:t>降低工业企业VOCs排放量，对降低臭氧及PM</w:t>
      </w:r>
      <w:r>
        <w:rPr>
          <w:rFonts w:cs="Times New Roman"/>
          <w:vertAlign w:val="subscript"/>
        </w:rPr>
        <w:t>2.5</w:t>
      </w:r>
      <w:r>
        <w:rPr>
          <w:rFonts w:cs="Times New Roman"/>
        </w:rPr>
        <w:t>的浓度具有积极的作用，可以为广东省带来明显的环境效益。同时可有效防止污染源对周边居民生活环境</w:t>
      </w:r>
      <w:r>
        <w:rPr>
          <w:rFonts w:hint="eastAsia" w:cs="Times New Roman"/>
        </w:rPr>
        <w:t>及人体健康造成进一步危害</w:t>
      </w:r>
      <w:r>
        <w:rPr>
          <w:rFonts w:cs="Times New Roman"/>
        </w:rPr>
        <w:t>。</w:t>
      </w:r>
    </w:p>
    <w:p>
      <w:pPr>
        <w:pStyle w:val="3"/>
        <w:ind w:left="0" w:firstLine="0"/>
      </w:pPr>
      <w:bookmarkStart w:id="182" w:name="_Toc38361832"/>
      <w:bookmarkEnd w:id="182"/>
      <w:bookmarkStart w:id="183" w:name="_Toc38361833"/>
      <w:bookmarkEnd w:id="183"/>
      <w:bookmarkStart w:id="184" w:name="_Toc38361834"/>
      <w:bookmarkEnd w:id="184"/>
      <w:bookmarkStart w:id="185" w:name="_Toc75787661"/>
      <w:r>
        <w:t>实施本标准的经济技术分析</w:t>
      </w:r>
      <w:bookmarkEnd w:id="185"/>
    </w:p>
    <w:p>
      <w:pPr>
        <w:pStyle w:val="68"/>
        <w:rPr>
          <w:rFonts w:cs="Times New Roman"/>
        </w:rPr>
      </w:pPr>
      <w:r>
        <w:rPr>
          <w:rFonts w:hint="eastAsia" w:cs="Times New Roman"/>
        </w:rPr>
        <w:t>为</w:t>
      </w:r>
      <w:r>
        <w:rPr>
          <w:rFonts w:cs="Times New Roman"/>
        </w:rPr>
        <w:t>达到本标准排放</w:t>
      </w:r>
      <w:r>
        <w:rPr>
          <w:rFonts w:hint="eastAsia" w:cs="Times New Roman"/>
        </w:rPr>
        <w:t>要求</w:t>
      </w:r>
      <w:r>
        <w:rPr>
          <w:rFonts w:cs="Times New Roman"/>
        </w:rPr>
        <w:t>，企业需结合自身实际，从</w:t>
      </w:r>
      <w:r>
        <w:rPr>
          <w:rFonts w:hint="eastAsia" w:cs="Times New Roman"/>
        </w:rPr>
        <w:t>源头、过程和</w:t>
      </w:r>
      <w:r>
        <w:rPr>
          <w:rFonts w:cs="Times New Roman"/>
        </w:rPr>
        <w:t>末端等方面开展达标改造。</w:t>
      </w:r>
    </w:p>
    <w:p>
      <w:pPr>
        <w:pStyle w:val="4"/>
        <w:ind w:left="0" w:firstLine="0"/>
      </w:pPr>
      <w:bookmarkStart w:id="186" w:name="_Toc26350799"/>
      <w:r>
        <w:t>源头控制技术</w:t>
      </w:r>
      <w:bookmarkEnd w:id="186"/>
    </w:p>
    <w:p>
      <w:pPr>
        <w:pStyle w:val="68"/>
        <w:rPr>
          <w:rFonts w:cs="Times New Roman"/>
          <w:szCs w:val="24"/>
        </w:rPr>
      </w:pPr>
      <w:r>
        <w:rPr>
          <w:rFonts w:cs="Times New Roman"/>
        </w:rPr>
        <w:t>目前</w:t>
      </w:r>
      <w:r>
        <w:rPr>
          <w:rFonts w:cs="Times New Roman"/>
          <w:szCs w:val="24"/>
        </w:rPr>
        <w:t>源头</w:t>
      </w:r>
      <w:r>
        <w:rPr>
          <w:rFonts w:cs="Times New Roman"/>
        </w:rPr>
        <w:t>控制技术已有较多行业成功实施的案例。根据调研，大部分行业、企业已开始研制低VOCs含量、低反应活性、无毒无害或低毒低害的环境友好型原辅材料。如</w:t>
      </w:r>
      <w:r>
        <w:rPr>
          <w:rFonts w:cs="Times New Roman"/>
          <w:szCs w:val="24"/>
        </w:rPr>
        <w:t>医药行业企业使用低VOCs含量或低反应活性的溶剂、溶媒；油墨行业研发低（无）VOCs的水性油墨、单一溶剂型凹印油墨、辐射固化油墨；涂料行业推广水性涂料、粉末涂料、高固体分涂料、无溶剂涂料、辐射固化涂料（UV涂料）等绿色涂料产品；工业涂装行业推广采用符合环保要求的水基型、高固份、粉末、紫外光固化等低VOCs含量的涂料代替溶剂型涂料；印刷行业推广使用水性油墨、紫外光固化油墨（UV油墨）、辐射固化油墨（EB油墨）、醇溶性油墨、植物基油墨（例如大豆油墨）等低</w:t>
      </w:r>
      <w:r>
        <w:rPr>
          <w:rFonts w:cs="Times New Roman"/>
        </w:rPr>
        <w:t>VOCs</w:t>
      </w:r>
      <w:r>
        <w:rPr>
          <w:rFonts w:cs="Times New Roman"/>
          <w:szCs w:val="24"/>
        </w:rPr>
        <w:t>含量的油墨替代溶剂型油墨，复合、包装过程使用水性胶粘剂替代溶剂型胶粘剂，书刊印刷行业鼓励使用预涂膜技术；制鞋行业推广使用水性胶粘剂、水性硬化剂、水性处理剂、热熔胶等水基、热熔型低VOCs含量的原辅材料；电子制造行业推广采用低VOCs含量的油墨以及水溶性或光固化抗蚀剂、阻焊剂；家具、汽车制造、集装箱制造等表面涂装行业推广采用水性涂料、高固分涂料等低挥发性涂料代替溶剂型涂料等。</w:t>
      </w:r>
    </w:p>
    <w:p>
      <w:pPr>
        <w:pStyle w:val="4"/>
        <w:ind w:left="0" w:firstLine="0"/>
      </w:pPr>
      <w:bookmarkStart w:id="187" w:name="_Toc26350800"/>
      <w:r>
        <w:t>过程控制技术</w:t>
      </w:r>
      <w:bookmarkEnd w:id="187"/>
    </w:p>
    <w:p>
      <w:pPr>
        <w:pStyle w:val="68"/>
        <w:rPr>
          <w:rFonts w:cs="Times New Roman"/>
        </w:rPr>
      </w:pPr>
      <w:r>
        <w:rPr>
          <w:rFonts w:cs="Times New Roman"/>
        </w:rPr>
        <w:t>目前的技术均有成功实施的案例，因此具有技术可行性。</w:t>
      </w:r>
    </w:p>
    <w:p>
      <w:pPr>
        <w:pStyle w:val="68"/>
        <w:rPr>
          <w:rFonts w:cs="Times New Roman"/>
        </w:rPr>
      </w:pPr>
      <w:r>
        <w:rPr>
          <w:rFonts w:cs="Times New Roman"/>
        </w:rPr>
        <w:t>（1）管道输送</w:t>
      </w:r>
    </w:p>
    <w:p>
      <w:pPr>
        <w:pStyle w:val="68"/>
        <w:rPr>
          <w:rFonts w:cs="Times New Roman"/>
        </w:rPr>
      </w:pPr>
      <w:r>
        <w:rPr>
          <w:rFonts w:cs="Times New Roman"/>
        </w:rPr>
        <w:t>根据调研，大部分的企业已经开始针对使用量比较大的液体原料（包括树脂、溶剂）等均采用管道输送。管道输送技术上不存在难度。比如某国际知名涂料公司</w:t>
      </w:r>
      <w:r>
        <w:rPr>
          <w:rFonts w:hint="eastAsia" w:cs="Times New Roman"/>
        </w:rPr>
        <w:t>除了</w:t>
      </w:r>
      <w:r>
        <w:rPr>
          <w:rFonts w:cs="Times New Roman"/>
        </w:rPr>
        <w:t>对主要原料通过计量泵管道输送至分散釜外，还针对小批量的拉缸作业实施了管道输送至计量环节，实施自动计量配料，拉缸实施全封闭。</w:t>
      </w:r>
    </w:p>
    <w:p>
      <w:pPr>
        <w:pStyle w:val="68"/>
        <w:rPr>
          <w:rFonts w:cs="Times New Roman"/>
        </w:rPr>
      </w:pPr>
      <w:r>
        <w:rPr>
          <w:rFonts w:cs="Times New Roman"/>
        </w:rPr>
        <w:t>（2）桶泵或者其他等效技术</w:t>
      </w:r>
    </w:p>
    <w:p>
      <w:pPr>
        <w:pStyle w:val="68"/>
        <w:rPr>
          <w:rFonts w:cs="Times New Roman"/>
        </w:rPr>
      </w:pPr>
      <w:r>
        <w:rPr>
          <w:rFonts w:cs="Times New Roman"/>
        </w:rPr>
        <w:t>桶泵技术在国外得到了较为广泛的推广，中国台湾、德国等地区都有成熟的成品。某涂料厂目前针对投料系统进行了因地制宜地改造，也较好地实现了投料的密闭性。针对桶装液体或者拉缸之间的物料输送，则其在生产单元之间的转移应该采取泵入或其他等效的方式。</w:t>
      </w:r>
    </w:p>
    <w:p>
      <w:pPr>
        <w:pStyle w:val="68"/>
        <w:rPr>
          <w:rFonts w:cs="Times New Roman"/>
        </w:rPr>
      </w:pPr>
      <w:r>
        <w:rPr>
          <w:rFonts w:cs="Times New Roman"/>
        </w:rPr>
        <w:t>（3）密封、加盖技术</w:t>
      </w:r>
    </w:p>
    <w:p>
      <w:pPr>
        <w:pStyle w:val="68"/>
        <w:rPr>
          <w:rFonts w:cs="Times New Roman"/>
        </w:rPr>
      </w:pPr>
      <w:r>
        <w:rPr>
          <w:rFonts w:cs="Times New Roman"/>
        </w:rPr>
        <w:t>反应器的密闭技术已经毋容置疑，对于比较新的企业来说，大部分都使用密闭性比较好的反应器，但针对预混合器、搅拌、分散、中间槽等容器的密闭系统则看似简单，做到100%密闭性却有很大的难度。加盖技术并不难，但需要根据企业的实际使用容器特点进行设计和加工。</w:t>
      </w:r>
    </w:p>
    <w:p>
      <w:pPr>
        <w:pStyle w:val="68"/>
        <w:rPr>
          <w:rFonts w:cs="Times New Roman"/>
        </w:rPr>
      </w:pPr>
      <w:r>
        <w:rPr>
          <w:rFonts w:cs="Times New Roman"/>
        </w:rPr>
        <w:t>（4）投料、包装以及采样过程的吸风装置</w:t>
      </w:r>
    </w:p>
    <w:p>
      <w:pPr>
        <w:pStyle w:val="68"/>
        <w:rPr>
          <w:rFonts w:cs="Times New Roman"/>
        </w:rPr>
      </w:pPr>
      <w:r>
        <w:rPr>
          <w:rFonts w:cs="Times New Roman"/>
        </w:rPr>
        <w:t>投料、包装以及采样等各个环节都需要设置吸风罩，在容易散发VOCs或者其他设备上方也设置吸风罩，还包括侧向的吸风罩。吸风罩的效果决定了VOCs 的控制水平，也决定了无组织排放的强度。为了确保捕集效果，因此本标准要求设置移动式吸风罩，确保捕集效果。</w:t>
      </w:r>
    </w:p>
    <w:p>
      <w:pPr>
        <w:pStyle w:val="68"/>
        <w:rPr>
          <w:rFonts w:cs="Times New Roman"/>
        </w:rPr>
      </w:pPr>
      <w:r>
        <w:rPr>
          <w:rFonts w:cs="Times New Roman"/>
        </w:rPr>
        <w:t>根据美国环保署上世纪 90 年代设置的《control of VOC emissions from ink and paint manufacturing processes》，提出了全密闭系统，并定义为围绕排放源设置封闭系统然后经过收集后通过一个排气筒或者通道进入控制装置的系统。因此本标准也做了相应的收集和处理要求。逐步推进无组织排放方面的全封闭操作系统。</w:t>
      </w:r>
    </w:p>
    <w:p>
      <w:pPr>
        <w:pStyle w:val="4"/>
        <w:ind w:left="0" w:firstLine="0"/>
      </w:pPr>
      <w:bookmarkStart w:id="188" w:name="_Toc26350801"/>
      <w:r>
        <w:t>末端控制技术</w:t>
      </w:r>
      <w:bookmarkEnd w:id="188"/>
    </w:p>
    <w:p>
      <w:pPr>
        <w:pStyle w:val="68"/>
        <w:rPr>
          <w:rFonts w:cs="Times New Roman"/>
        </w:rPr>
      </w:pPr>
      <w:r>
        <w:rPr>
          <w:rFonts w:cs="Times New Roman"/>
        </w:rPr>
        <w:t>根据调研，目前主流的有机废气处理技术</w:t>
      </w:r>
      <w:bookmarkStart w:id="189" w:name="_Hlk25652578"/>
      <w:r>
        <w:rPr>
          <w:rFonts w:cs="Times New Roman"/>
        </w:rPr>
        <w:t>包括吸附（固定床吸附、流动床吸附）、吸收、冷凝、燃烧（热力燃烧、催化燃烧）</w:t>
      </w:r>
      <w:bookmarkEnd w:id="189"/>
      <w:r>
        <w:rPr>
          <w:rFonts w:cs="Times New Roman"/>
        </w:rPr>
        <w:t>等。</w:t>
      </w:r>
    </w:p>
    <w:p>
      <w:pPr>
        <w:pStyle w:val="68"/>
        <w:rPr>
          <w:rFonts w:cs="Times New Roman"/>
        </w:rPr>
      </w:pPr>
      <w:r>
        <w:rPr>
          <w:rFonts w:cs="Times New Roman"/>
        </w:rPr>
        <w:t>为达到本标准排放限值，企业需结合自身实际，选取经济、实用的处理技术，以下给出可实现达标排放的典型废气治理技术应用案例的投资成本。</w:t>
      </w:r>
    </w:p>
    <w:p>
      <w:pPr>
        <w:pStyle w:val="68"/>
        <w:rPr>
          <w:rFonts w:cs="Times New Roman"/>
        </w:rPr>
      </w:pPr>
      <w:r>
        <w:rPr>
          <w:rFonts w:cs="Times New Roman"/>
        </w:rPr>
        <w:t>（1）蓄热式燃烧技术</w:t>
      </w:r>
    </w:p>
    <w:p>
      <w:pPr>
        <w:pStyle w:val="68"/>
        <w:rPr>
          <w:rFonts w:cs="Times New Roman"/>
        </w:rPr>
      </w:pPr>
      <w:r>
        <w:rPr>
          <w:rFonts w:cs="Times New Roman"/>
        </w:rPr>
        <w:t>某彩印企业，采用“减风增浓+RTO（蓄热式燃烧）”技术对3台印刷机、2台干式复合机进行废气治理。建设投资总投入成本346.9万元。废气入口NMHC浓度781.94~1226.02 mg/m</w:t>
      </w:r>
      <w:r>
        <w:rPr>
          <w:rFonts w:cs="Times New Roman"/>
          <w:vertAlign w:val="superscript"/>
        </w:rPr>
        <w:t>3</w:t>
      </w:r>
      <w:r>
        <w:rPr>
          <w:rFonts w:cs="Times New Roman"/>
        </w:rPr>
        <w:t>，RTO 净化效率 98.4~99.5%，废气排放NMHC浓度7.65~21.12 mg/m</w:t>
      </w:r>
      <w:r>
        <w:rPr>
          <w:rFonts w:cs="Times New Roman"/>
          <w:vertAlign w:val="superscript"/>
        </w:rPr>
        <w:t>3</w:t>
      </w:r>
      <w:r>
        <w:rPr>
          <w:rFonts w:cs="Times New Roman"/>
        </w:rPr>
        <w:t>。末端治理设施运行费用18.8万元/年，节能收益177.2万元/年。</w:t>
      </w:r>
    </w:p>
    <w:p>
      <w:pPr>
        <w:pStyle w:val="68"/>
        <w:rPr>
          <w:rFonts w:cs="Times New Roman"/>
        </w:rPr>
      </w:pPr>
      <w:r>
        <w:rPr>
          <w:rFonts w:cs="Times New Roman"/>
        </w:rPr>
        <w:t>（2）光催化氧化（UV）+吸附技术</w:t>
      </w:r>
    </w:p>
    <w:p>
      <w:pPr>
        <w:pStyle w:val="68"/>
        <w:rPr>
          <w:rFonts w:cs="Times New Roman"/>
        </w:rPr>
      </w:pPr>
      <w:r>
        <w:rPr>
          <w:rFonts w:cs="Times New Roman"/>
        </w:rPr>
        <w:t>某塑料制品企业，采用2套“光催化氧化（UV）+吸附技术”对24台注塑机注塑过程产生的有机废气进行治理。设计风量均为6000 m³/h。其中，光催化氧化装置均设计灯管30组，废气停留时间为2s；活性炭吸附设施均设计废气停留时间为4.7s，过滤速度0.4m/s，活性炭总容量为4.5 m</w:t>
      </w:r>
      <w:r>
        <w:rPr>
          <w:rFonts w:cs="Times New Roman"/>
          <w:vertAlign w:val="superscript"/>
        </w:rPr>
        <w:t>3</w:t>
      </w:r>
      <w:r>
        <w:rPr>
          <w:rFonts w:cs="Times New Roman"/>
        </w:rPr>
        <w:t>。经检测对于非甲烷总烃的去除效率在90%以上，排放废气中NMHC浓度低于1.5 mg/m</w:t>
      </w:r>
      <w:r>
        <w:rPr>
          <w:rFonts w:cs="Times New Roman"/>
          <w:vertAlign w:val="superscript"/>
        </w:rPr>
        <w:t>3</w:t>
      </w:r>
      <w:r>
        <w:rPr>
          <w:rFonts w:cs="Times New Roman"/>
        </w:rPr>
        <w:t>，设备总投入和安装费用约40万元，运行费用为1800元/天。</w:t>
      </w:r>
    </w:p>
    <w:p>
      <w:pPr>
        <w:pStyle w:val="68"/>
        <w:rPr>
          <w:rFonts w:cs="Times New Roman"/>
        </w:rPr>
      </w:pPr>
      <w:r>
        <w:rPr>
          <w:rFonts w:cs="Times New Roman"/>
        </w:rPr>
        <w:t>（3）喷淋洗涤+静电吸附技术</w:t>
      </w:r>
    </w:p>
    <w:p>
      <w:pPr>
        <w:pStyle w:val="68"/>
        <w:rPr>
          <w:rFonts w:cs="Times New Roman"/>
        </w:rPr>
      </w:pPr>
      <w:r>
        <w:rPr>
          <w:rFonts w:cs="Times New Roman"/>
        </w:rPr>
        <w:t>某纺织印染企业，采用</w:t>
      </w:r>
      <w:r>
        <w:rPr>
          <w:rFonts w:hint="eastAsia" w:cs="Times New Roman"/>
        </w:rPr>
        <w:t>“</w:t>
      </w:r>
      <w:r>
        <w:rPr>
          <w:rFonts w:cs="Times New Roman"/>
        </w:rPr>
        <w:t>喷淋洗涤+静电吸附技术</w:t>
      </w:r>
      <w:r>
        <w:rPr>
          <w:rFonts w:hint="eastAsia" w:cs="Times New Roman"/>
        </w:rPr>
        <w:t>”</w:t>
      </w:r>
      <w:r>
        <w:rPr>
          <w:rFonts w:cs="Times New Roman"/>
        </w:rPr>
        <w:t>对高温定型机处理工艺生过程中产生的废气进行废气治理。定型机设计风量为1500 m</w:t>
      </w:r>
      <w:r>
        <w:rPr>
          <w:rFonts w:cs="Times New Roman"/>
          <w:vertAlign w:val="superscript"/>
        </w:rPr>
        <w:t>3</w:t>
      </w:r>
      <w:r>
        <w:rPr>
          <w:rFonts w:cs="Times New Roman"/>
        </w:rPr>
        <w:t>/h。经监测废气处理设施出口废气中NMHC浓度</w:t>
      </w:r>
      <w:r>
        <w:rPr>
          <w:rFonts w:hint="eastAsia" w:cs="Times New Roman"/>
        </w:rPr>
        <w:t>为</w:t>
      </w:r>
      <w:r>
        <w:rPr>
          <w:rFonts w:cs="Times New Roman"/>
        </w:rPr>
        <w:t>0.044~0.121mg/m</w:t>
      </w:r>
      <w:r>
        <w:rPr>
          <w:rFonts w:cs="Times New Roman"/>
          <w:vertAlign w:val="superscript"/>
        </w:rPr>
        <w:t>3</w:t>
      </w:r>
      <w:r>
        <w:rPr>
          <w:rFonts w:cs="Times New Roman"/>
        </w:rPr>
        <w:t>，每套设施每年运行维护费用（主要为电费）约5.5万元。</w:t>
      </w:r>
    </w:p>
    <w:p>
      <w:pPr>
        <w:pStyle w:val="68"/>
        <w:rPr>
          <w:rFonts w:cs="Times New Roman"/>
        </w:rPr>
      </w:pPr>
      <w:r>
        <w:rPr>
          <w:rFonts w:cs="Times New Roman"/>
        </w:rPr>
        <w:t>（4）吸附+冷凝回收技术</w:t>
      </w:r>
    </w:p>
    <w:p>
      <w:pPr>
        <w:pStyle w:val="68"/>
        <w:rPr>
          <w:rFonts w:cs="Times New Roman"/>
        </w:rPr>
      </w:pPr>
      <w:r>
        <w:rPr>
          <w:rFonts w:cs="Times New Roman"/>
        </w:rPr>
        <w:t>某包装印刷企业，采用2套“活性炭吸附+冷凝回收”治理设施进行废气处理，治理设施合计设计处理风量为64000 m</w:t>
      </w:r>
      <w:r>
        <w:rPr>
          <w:rFonts w:cs="Times New Roman"/>
          <w:vertAlign w:val="superscript"/>
        </w:rPr>
        <w:t>3</w:t>
      </w:r>
      <w:r>
        <w:rPr>
          <w:rFonts w:cs="Times New Roman"/>
        </w:rPr>
        <w:t>/h。该治理设施综合设计治理效率在93%以上，经治理后</w:t>
      </w:r>
      <w:r>
        <w:rPr>
          <w:rFonts w:hint="eastAsia" w:cs="Times New Roman"/>
        </w:rPr>
        <w:t>“</w:t>
      </w:r>
      <w:r>
        <w:rPr>
          <w:rFonts w:cs="Times New Roman"/>
        </w:rPr>
        <w:t>总VOCs</w:t>
      </w:r>
      <w:r>
        <w:rPr>
          <w:rFonts w:hint="eastAsia" w:cs="Times New Roman"/>
        </w:rPr>
        <w:t>”</w:t>
      </w:r>
      <w:r>
        <w:rPr>
          <w:rFonts w:cs="Times New Roman"/>
        </w:rPr>
        <w:t>排放浓度在22.1~46.5mg/m</w:t>
      </w:r>
      <w:r>
        <w:rPr>
          <w:rFonts w:cs="Times New Roman"/>
          <w:vertAlign w:val="superscript"/>
        </w:rPr>
        <w:t>3</w:t>
      </w:r>
      <w:r>
        <w:rPr>
          <w:rFonts w:cs="Times New Roman"/>
        </w:rPr>
        <w:t>，设备总投入和安装费用约340万，运行成本主要为电费，约为15万/年。</w:t>
      </w:r>
    </w:p>
    <w:p>
      <w:pPr>
        <w:pStyle w:val="68"/>
        <w:rPr>
          <w:rFonts w:cs="Times New Roman"/>
        </w:rPr>
      </w:pPr>
      <w:r>
        <w:rPr>
          <w:rFonts w:cs="Times New Roman"/>
        </w:rPr>
        <w:t>（5）蓄热催化燃烧技术</w:t>
      </w:r>
    </w:p>
    <w:p>
      <w:pPr>
        <w:pStyle w:val="68"/>
        <w:rPr>
          <w:rFonts w:cs="Times New Roman"/>
        </w:rPr>
      </w:pPr>
      <w:r>
        <w:rPr>
          <w:rFonts w:cs="Times New Roman"/>
        </w:rPr>
        <w:t>某合成革制造企业，采用旋转式蓄热催化技术（RCO）净化烘干有机废气。系统出口VOCs浓度可满足排放标准要求，VOCs净化效率达到98%以上。设备总投资费用约170万元，年运行成本约为17.1万元。</w:t>
      </w:r>
    </w:p>
    <w:p>
      <w:pPr>
        <w:pStyle w:val="3"/>
        <w:ind w:left="0" w:firstLine="0"/>
      </w:pPr>
      <w:bookmarkStart w:id="190" w:name="_Toc75787662"/>
      <w:r>
        <w:t>标准实施建议</w:t>
      </w:r>
      <w:bookmarkEnd w:id="190"/>
    </w:p>
    <w:p>
      <w:pPr>
        <w:pStyle w:val="68"/>
        <w:rPr>
          <w:rFonts w:cs="Times New Roman"/>
        </w:rPr>
      </w:pPr>
      <w:r>
        <w:rPr>
          <w:rFonts w:cs="Times New Roman"/>
        </w:rPr>
        <w:t>（1）进行标准宣传、培训</w:t>
      </w:r>
    </w:p>
    <w:p>
      <w:pPr>
        <w:pStyle w:val="68"/>
        <w:rPr>
          <w:rFonts w:cs="Times New Roman"/>
        </w:rPr>
      </w:pPr>
      <w:r>
        <w:rPr>
          <w:rFonts w:cs="Times New Roman"/>
        </w:rPr>
        <w:t>为了使标准监督、标准实施企业等相关单位尽快了解本标准的内容，加深对标准的理解，推动标准的有效实施，在标准实施前开展标准的宣传、培训。</w:t>
      </w:r>
    </w:p>
    <w:p>
      <w:pPr>
        <w:pStyle w:val="68"/>
        <w:rPr>
          <w:rFonts w:cs="Times New Roman"/>
        </w:rPr>
      </w:pPr>
      <w:r>
        <w:rPr>
          <w:rFonts w:cs="Times New Roman"/>
        </w:rPr>
        <w:t>（2）配套出台相应的行业控制技术指南</w:t>
      </w:r>
    </w:p>
    <w:p>
      <w:pPr>
        <w:pStyle w:val="68"/>
        <w:rPr>
          <w:rFonts w:cs="Times New Roman"/>
        </w:rPr>
      </w:pPr>
      <w:r>
        <w:rPr>
          <w:rFonts w:cs="Times New Roman"/>
        </w:rPr>
        <w:t>为更好实施标准，引导和规范企业开展达标治理，建议尽快配套各行业污染控制技术指南等技术文件。</w:t>
      </w:r>
    </w:p>
    <w:p>
      <w:pPr>
        <w:pStyle w:val="68"/>
        <w:rPr>
          <w:rFonts w:cs="Times New Roman"/>
        </w:rPr>
      </w:pPr>
      <w:r>
        <w:rPr>
          <w:rFonts w:cs="Times New Roman"/>
        </w:rPr>
        <w:t>（3）充分发挥企业能动性</w:t>
      </w:r>
    </w:p>
    <w:p>
      <w:pPr>
        <w:pStyle w:val="68"/>
        <w:rPr>
          <w:rFonts w:cs="Times New Roman"/>
        </w:rPr>
      </w:pPr>
      <w:r>
        <w:rPr>
          <w:rFonts w:cs="Times New Roman"/>
        </w:rPr>
        <w:t>作为环境保护的主体，企业应该主动实施标准。本标准不仅规定了排放限值，还规定了措施控制的要求，没有企业自主实施，难以有效控制企业VOCs排放。</w:t>
      </w:r>
    </w:p>
    <w:p>
      <w:pPr>
        <w:pStyle w:val="68"/>
        <w:rPr>
          <w:rFonts w:cs="Times New Roman"/>
        </w:rPr>
      </w:pPr>
      <w:r>
        <w:rPr>
          <w:rFonts w:cs="Times New Roman"/>
        </w:rPr>
        <w:t>（4）增强基层环保监测机构对工业源VOCs排放监测的能力建设和人员培训。</w:t>
      </w:r>
    </w:p>
    <w:sectPr>
      <w:headerReference r:id="rId11"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swiss"/>
    <w:pitch w:val="default"/>
    <w:sig w:usb0="E0002AFF" w:usb1="C0007843" w:usb2="00000009" w:usb3="00000000" w:csb0="400001FF" w:csb1="FFFF0000"/>
  </w:font>
  <w:font w:name="PMingLiU">
    <w:panose1 w:val="02020500000000000000"/>
    <w:charset w:val="88"/>
    <w:family w:val="roman"/>
    <w:pitch w:val="default"/>
    <w:sig w:usb0="A00002FF" w:usb1="28CFFCFA" w:usb2="00000016" w:usb3="00000000" w:csb0="00100001" w:csb1="00000000"/>
  </w:font>
  <w:font w:name="Arial Unicode MS">
    <w:panose1 w:val="020B0604020202020204"/>
    <w:charset w:val="86"/>
    <w:family w:val="swiss"/>
    <w:pitch w:val="default"/>
    <w:sig w:usb0="FFFFFFFF" w:usb1="E9FFFFFF" w:usb2="0000003F" w:usb3="00000000" w:csb0="603F01FF" w:csb1="FFFF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MicrosoftYaHei">
    <w:altName w:val="Times New Roman"/>
    <w:panose1 w:val="00000000000000000000"/>
    <w:charset w:val="00"/>
    <w:family w:val="roman"/>
    <w:pitch w:val="default"/>
    <w:sig w:usb0="00000000" w:usb1="00000000" w:usb2="00000000" w:usb3="00000000" w:csb0="00000000" w:csb1="00000000"/>
  </w:font>
  <w:font w:name="TimesNewRomanPSMT">
    <w:altName w:val="Times New Roman"/>
    <w:panose1 w:val="00000000000000000000"/>
    <w:charset w:val="00"/>
    <w:family w:val="roman"/>
    <w:pitch w:val="default"/>
    <w:sig w:usb0="00000000" w:usb1="00000000" w:usb2="00000010"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roma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S Mincho">
    <w:panose1 w:val="020206090402050803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p>
  <w:p>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2781367"/>
    </w:sdtPr>
    <w:sdtContent>
      <w:p>
        <w:pPr>
          <w:pStyle w:val="23"/>
          <w:jc w:val="center"/>
        </w:pPr>
        <w:r>
          <w:fldChar w:fldCharType="begin"/>
        </w:r>
        <w:r>
          <w:instrText xml:space="preserve">PAGE   \* MERGEFORMAT</w:instrText>
        </w:r>
        <w:r>
          <w:fldChar w:fldCharType="separate"/>
        </w:r>
        <w:r>
          <w:rPr>
            <w:lang w:val="zh-CN"/>
          </w:rPr>
          <w:t>2</w:t>
        </w:r>
        <w:r>
          <w:fldChar w:fldCharType="end"/>
        </w:r>
      </w:p>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0" w:lineRule="atLeast"/>
      <w:rPr>
        <w:sz w:val="4"/>
        <w:szCs w:val="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0" w:lineRule="atLeast"/>
      <w:rPr>
        <w:sz w:val="4"/>
        <w:szCs w:val="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0" w:lineRule="atLeast"/>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945EEA"/>
    <w:multiLevelType w:val="multilevel"/>
    <w:tmpl w:val="1D945EEA"/>
    <w:lvl w:ilvl="0" w:tentative="0">
      <w:start w:val="1"/>
      <w:numFmt w:val="decimalEnclosedCircle"/>
      <w:lvlText w:val="%1"/>
      <w:lvlJc w:val="left"/>
      <w:pPr>
        <w:ind w:left="960" w:hanging="360"/>
      </w:pPr>
      <w:rPr>
        <w:rFonts w:hint="default" w:ascii="宋体" w:hAnsi="宋体"/>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
    <w:nsid w:val="2E8149CF"/>
    <w:multiLevelType w:val="multilevel"/>
    <w:tmpl w:val="2E8149CF"/>
    <w:lvl w:ilvl="0" w:tentative="0">
      <w:start w:val="5"/>
      <w:numFmt w:val="chineseCountingThousand"/>
      <w:pStyle w:val="168"/>
      <w:suff w:val="space"/>
      <w:lvlText w:val="第%1章"/>
      <w:lvlJc w:val="center"/>
      <w:pPr>
        <w:ind w:left="0" w:firstLine="288"/>
      </w:pPr>
      <w:rPr>
        <w:rFonts w:hint="eastAsia"/>
      </w:rPr>
    </w:lvl>
    <w:lvl w:ilvl="1" w:tentative="0">
      <w:start w:val="1"/>
      <w:numFmt w:val="decimal"/>
      <w:pStyle w:val="169"/>
      <w:isLgl/>
      <w:suff w:val="space"/>
      <w:lvlText w:val="%1.%2"/>
      <w:lvlJc w:val="left"/>
      <w:pPr>
        <w:ind w:left="0" w:firstLine="0"/>
      </w:pPr>
      <w:rPr>
        <w:rFonts w:hint="eastAsia"/>
      </w:rPr>
    </w:lvl>
    <w:lvl w:ilvl="2" w:tentative="0">
      <w:start w:val="1"/>
      <w:numFmt w:val="decimal"/>
      <w:pStyle w:val="170"/>
      <w:isLgl/>
      <w:suff w:val="space"/>
      <w:lvlText w:val="%1.%2.%3"/>
      <w:lvlJc w:val="left"/>
      <w:pPr>
        <w:ind w:left="0" w:firstLine="0"/>
      </w:pPr>
      <w:rPr>
        <w:rFonts w:hint="eastAsia"/>
        <w:i w:val="0"/>
      </w:rPr>
    </w:lvl>
    <w:lvl w:ilvl="3" w:tentative="0">
      <w:start w:val="1"/>
      <w:numFmt w:val="decimal"/>
      <w:lvlText w:val="%4."/>
      <w:lvlJc w:val="left"/>
      <w:pPr>
        <w:ind w:left="1968" w:hanging="420"/>
      </w:pPr>
      <w:rPr>
        <w:rFonts w:hint="eastAsia"/>
      </w:rPr>
    </w:lvl>
    <w:lvl w:ilvl="4" w:tentative="0">
      <w:start w:val="1"/>
      <w:numFmt w:val="lowerLetter"/>
      <w:lvlText w:val="%5)"/>
      <w:lvlJc w:val="left"/>
      <w:pPr>
        <w:ind w:left="2388" w:hanging="420"/>
      </w:pPr>
      <w:rPr>
        <w:rFonts w:hint="eastAsia"/>
      </w:rPr>
    </w:lvl>
    <w:lvl w:ilvl="5" w:tentative="0">
      <w:start w:val="1"/>
      <w:numFmt w:val="lowerRoman"/>
      <w:lvlText w:val="%6."/>
      <w:lvlJc w:val="right"/>
      <w:pPr>
        <w:ind w:left="2808" w:hanging="420"/>
      </w:pPr>
      <w:rPr>
        <w:rFonts w:hint="eastAsia"/>
      </w:rPr>
    </w:lvl>
    <w:lvl w:ilvl="6" w:tentative="0">
      <w:start w:val="1"/>
      <w:numFmt w:val="decimal"/>
      <w:lvlText w:val="%7."/>
      <w:lvlJc w:val="left"/>
      <w:pPr>
        <w:ind w:left="3228" w:hanging="420"/>
      </w:pPr>
      <w:rPr>
        <w:rFonts w:hint="eastAsia"/>
      </w:rPr>
    </w:lvl>
    <w:lvl w:ilvl="7" w:tentative="0">
      <w:start w:val="1"/>
      <w:numFmt w:val="lowerLetter"/>
      <w:lvlText w:val="%8)"/>
      <w:lvlJc w:val="left"/>
      <w:pPr>
        <w:ind w:left="3648" w:hanging="420"/>
      </w:pPr>
      <w:rPr>
        <w:rFonts w:hint="eastAsia"/>
      </w:rPr>
    </w:lvl>
    <w:lvl w:ilvl="8" w:tentative="0">
      <w:start w:val="1"/>
      <w:numFmt w:val="lowerRoman"/>
      <w:lvlText w:val="%9."/>
      <w:lvlJc w:val="right"/>
      <w:pPr>
        <w:ind w:left="4068" w:hanging="420"/>
      </w:pPr>
      <w:rPr>
        <w:rFonts w:hint="eastAsia"/>
      </w:rPr>
    </w:lvl>
  </w:abstractNum>
  <w:abstractNum w:abstractNumId="2">
    <w:nsid w:val="2F546B9E"/>
    <w:multiLevelType w:val="multilevel"/>
    <w:tmpl w:val="2F546B9E"/>
    <w:lvl w:ilvl="0" w:tentative="0">
      <w:start w:val="1"/>
      <w:numFmt w:val="decimal"/>
      <w:lvlText w:val="第%1章"/>
      <w:lvlJc w:val="left"/>
      <w:pPr>
        <w:ind w:left="432" w:hanging="432"/>
      </w:pPr>
      <w:rPr>
        <w:rFonts w:hint="eastAsia"/>
      </w:rPr>
    </w:lvl>
    <w:lvl w:ilvl="1" w:tentative="0">
      <w:start w:val="1"/>
      <w:numFmt w:val="decimal"/>
      <w:pStyle w:val="3"/>
      <w:lvlText w:val="%1.%2"/>
      <w:lvlJc w:val="left"/>
      <w:pPr>
        <w:ind w:left="4120" w:hanging="576"/>
      </w:pPr>
    </w:lvl>
    <w:lvl w:ilvl="2" w:tentative="0">
      <w:start w:val="1"/>
      <w:numFmt w:val="decimal"/>
      <w:pStyle w:val="4"/>
      <w:lvlText w:val="%1.%2.%3"/>
      <w:lvlJc w:val="left"/>
      <w:pPr>
        <w:ind w:left="720" w:hanging="720"/>
      </w:pPr>
      <w:rPr>
        <w:b/>
        <w:sz w:val="30"/>
        <w:szCs w:val="30"/>
      </w:r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3">
    <w:nsid w:val="47D74904"/>
    <w:multiLevelType w:val="multilevel"/>
    <w:tmpl w:val="47D74904"/>
    <w:lvl w:ilvl="0" w:tentative="0">
      <w:start w:val="1"/>
      <w:numFmt w:val="decimal"/>
      <w:pStyle w:val="176"/>
      <w:lvlText w:val="（%1）"/>
      <w:lvlJc w:val="left"/>
      <w:pPr>
        <w:tabs>
          <w:tab w:val="left" w:pos="737"/>
        </w:tabs>
        <w:ind w:left="539" w:firstLine="454"/>
      </w:pPr>
      <w:rPr>
        <w:rFonts w:hint="eastAsia"/>
        <w:lang w:val="en-US"/>
      </w:rPr>
    </w:lvl>
    <w:lvl w:ilvl="1" w:tentative="0">
      <w:start w:val="1"/>
      <w:numFmt w:val="decimal"/>
      <w:lvlText w:val="（%2）"/>
      <w:lvlJc w:val="left"/>
      <w:pPr>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784E1D47"/>
    <w:multiLevelType w:val="multilevel"/>
    <w:tmpl w:val="784E1D47"/>
    <w:lvl w:ilvl="0" w:tentative="0">
      <w:start w:val="1"/>
      <w:numFmt w:val="decimal"/>
      <w:pStyle w:val="111"/>
      <w:lvlText w:val="%1"/>
      <w:lvlJc w:val="left"/>
      <w:pPr>
        <w:ind w:left="425" w:hanging="425"/>
      </w:pPr>
    </w:lvl>
    <w:lvl w:ilvl="1" w:tentative="0">
      <w:start w:val="1"/>
      <w:numFmt w:val="decimal"/>
      <w:pStyle w:val="112"/>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2"/>
  </w:num>
  <w:num w:numId="2">
    <w:abstractNumId w:val="4"/>
  </w:num>
  <w:num w:numId="3">
    <w:abstractNumId w:val="1"/>
  </w:num>
  <w:num w:numId="4">
    <w:abstractNumId w:val="3"/>
    <w:lvlOverride w:ilvl="0">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dit="readOnly"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Ref{000C98F6-950F-4170-B8B8-F0B9EDFB305E}" w:val=" ADDIN NE.Ref.{000C98F6-950F-4170-B8B8-F0B9EDFB305E}&lt;Citation&gt;&lt;Group&gt;&lt;References&gt;&lt;Item&gt;&lt;ID&gt;84&lt;/ID&gt;&lt;UID&gt;{4D7F9A4C-2E27-4456-B574-12FAD09E9D49}&lt;/UID&gt;&lt;Title&gt;油墨行业调查：2011年国内油墨使用统计数据&lt;/Title&gt;&lt;Template&gt;Web Page&lt;/Template&gt;&lt;Star&gt;0&lt;/Star&gt;&lt;Tag&gt;0&lt;/Tag&gt;&lt;Author&gt;广告买卖网&lt;/Author&gt;&lt;Year&gt;2011&lt;/Year&gt;&lt;Details&gt;&lt;_url&gt;http://www.admaimai.com/contact/detail/2/94222.htm&lt;/_url&gt;&lt;_accessed&gt;60501164&lt;/_accessed&gt;&lt;_created&gt;60501164&lt;/_created&gt;&lt;_modified&gt;60501164&lt;/_modified&gt;&lt;_translated_author&gt;Guang, Gaomaimaiwang&lt;/_translated_author&gt;&lt;/Details&gt;&lt;Extra&gt;&lt;DBUID&gt;{0DA6E8B8-3A61-49AD-9027-1BB1B3F94C4B}&lt;/DBUID&gt;&lt;/Extra&gt;&lt;/Item&gt;&lt;/References&gt;&lt;/Group&gt;&lt;/Citation&gt;_x000a_"/>
    <w:docVar w:name="NE.Ref{01992F20-D810-4702-A5BD-041FAB718ACF}" w:val=" ADDIN NE.Ref.{01992F20-D810-4702-A5BD-041FAB718ACF}&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0272D039-7040-40D6-8537-C75C08223800}" w:val=" ADDIN NE.Ref.{0272D039-7040-40D6-8537-C75C08223800}&lt;Citation&gt;&lt;Group&gt;&lt;References&gt;&lt;Item&gt;&lt;ID&gt;52&lt;/ID&gt;&lt;UID&gt;{DBBAD738-1404-4FCF-B52B-686AF1408233}&lt;/UID&gt;&lt;Title&gt;中国生物质燃烧大气污染物排放清单&lt;/Title&gt;&lt;Template&gt;Journal Article&lt;/Template&gt;&lt;Star&gt;0&lt;/Star&gt;&lt;Tag&gt;0&lt;/Tag&gt;&lt;Author&gt;田贺忠; 赵丹; 王艳&lt;/Author&gt;&lt;Year&gt;2011&lt;/Year&gt;&lt;Details&gt;&lt;_author_aff&gt;北京师范大学环境学院&lt;/_author_aff&gt;&lt;_cate&gt;X511&lt;/_cate&gt;&lt;_cited_count&gt;38&lt;/_cited_count&gt;&lt;_created&gt;60464771&lt;/_created&gt;&lt;_funding&gt;国家自然科学基金(No. 20677005, 40975061);  环保公益性行业科研专项(No. 20090924)~~&lt;/_funding&gt;&lt;_issue&gt;02&lt;/_issue&gt;&lt;_journal&gt;环境科学学报&lt;/_journal&gt;&lt;_keywords&gt;生物质; 燃烧; 大气污染物; 排放清单; 中国&lt;/_keywords&gt;&lt;_modified&gt;60464842&lt;/_modified&gt;&lt;_ref_count&gt;26&lt;/_ref_count&gt;&lt;_url&gt;http://www.cnki.net/KCMS/detail/detail.aspx?QueryID=0&amp;amp;CurRec=1&amp;amp;dbcode=CJFQ&amp;amp;dbname=CJFD2011&amp;amp;filename=HJXX201102017&amp;amp;urlid=&amp;amp;yx=&amp;amp;v=MDQ2NzgvQUxTZlRkckc0SDlETXJZOUVZNFI4ZVgxTHV4WVM3RGgxVDNxVHJXTTFGckNVUkw2ZVplZG5GeW5sVXI=&lt;/_url&gt;&lt;_translated_author&gt;Tian, Hezhong;Zhao, Dan;Wang, Yan&lt;/_translated_author&gt;&lt;/Details&gt;&lt;Extra&gt;&lt;DBUID&gt;{0DA6E8B8-3A61-49AD-9027-1BB1B3F94C4B}&lt;/DBUID&gt;&lt;/Extra&gt;&lt;/Item&gt;&lt;/References&gt;&lt;/Group&gt;&lt;Group&gt;&lt;References&gt;&lt;Item&gt;&lt;ID&gt;53&lt;/ID&gt;&lt;UID&gt;{42B10F2B-3B7F-4ED0-B210-A319926FE6DE}&lt;/UID&gt;&lt;Title&gt;中国作物的收获指数&lt;/Title&gt;&lt;Template&gt;Journal Article&lt;/Template&gt;&lt;Star&gt;0&lt;/Star&gt;&lt;Tag&gt;0&lt;/Tag&gt;&lt;Author&gt;张福春; 朱志辉&lt;/Author&gt;&lt;Year&gt;1990&lt;/Year&gt;&lt;Details&gt;&lt;_author_aff&gt;中国科学院地理研究所; 中国科学院地理研究所&lt;/_author_aff&gt;&lt;_created&gt;60464772&lt;/_created&gt;&lt;_issue&gt;02&lt;/_issue&gt;&lt;_journal&gt;中国农业科学&lt;/_journal&gt;&lt;_keywords&gt;收获指数; 谷草比; 经济系数; 生物学产量&lt;/_keywords&gt;&lt;_modified&gt;60464773&lt;/_modified&gt;&lt;_url&gt;http://www.cnki.net/KCMS/detail/detail.aspx?QueryID=5&amp;amp;CurRec=1&amp;amp;dbcode=CJFQ&amp;amp;dbname=CJFD9093&amp;amp;filename=ZNYK199002013&amp;amp;urlid=&amp;amp;yx=&amp;amp;v=MjQzOTMzcVRyV00xRnJDVVJMNmVaZWRuRnlubFU3L1BQeVBTWmJLeEY5SE1yWTlFWjRSOGVYMUx1eFlTN0RoMVQ=&lt;/_url&gt;&lt;_translated_author&gt;Zhang, Fuchun;Zhu, Zhihui&lt;/_translated_author&gt;&lt;/Details&gt;&lt;Extra&gt;&lt;DBUID&gt;{0DA6E8B8-3A61-49AD-9027-1BB1B3F94C4B}&lt;/DBUID&gt;&lt;/Extra&gt;&lt;/Item&gt;&lt;/References&gt;&lt;/Group&gt;&lt;Group&gt;&lt;References&gt;&lt;Item&gt;&lt;ID&gt;54&lt;/ID&gt;&lt;UID&gt;{D63A4AD3-4A0E-48C6-ABD7-E28D67168A3D}&lt;/UID&gt;&lt;Title&gt;中国秸秆露天焚烧大气污染物排放时空分布&lt;/Title&gt;&lt;Template&gt;Web Page&lt;/Template&gt;&lt;Star&gt;0&lt;/Star&gt;&lt;Tag&gt;0&lt;/Tag&gt;&lt;Author&gt;王书肖; 张楚莹&lt;/Author&gt;&lt;Year&gt;2008&lt;/Year&gt;&lt;Details&gt;&lt;_author_aff&gt;清华大学环境科学与工程系&lt;/_author_aff&gt;&lt;_cate&gt;X51&lt;/_cate&gt;&lt;_cited_count&gt;58&lt;/_cited_count&gt;&lt;_created&gt;60464772&lt;/_created&gt;&lt;_funding&gt;国家重点基础研究发展规划(973)项目(2005CB422201)&lt;/_funding&gt;&lt;_issue&gt;05&lt;/_issue&gt;&lt;_journal&gt;中国科技论文在线&lt;/_journal&gt;&lt;_keywords&gt;大气污染防治工程; 排放清单; 问卷调查; 生物质; 露天焚烧&lt;/_keywords&gt;&lt;_modified&gt;60464787&lt;/_modified&gt;&lt;_ref_count&gt;16&lt;/_ref_count&gt;&lt;_url&gt;http://www.cnki.net/KCMS/detail/detail.aspx?QueryID=10&amp;amp;CurRec=1&amp;amp;dbcode=CJFQ&amp;amp;dbname=CJFD2008&amp;amp;filename=ZKZX200805005&amp;amp;urlid=&amp;amp;yx=&amp;amp;v=MTM2OTQ5RllZUjhlWDFMdXhZUzdEaDFUM3FUcldNMUZyQ1VSTDZlWmVkbkZ5bmxVNzNCUHliUmRyRzRIdG5NcW8=&lt;/_url&gt;&lt;_translated_author&gt;Wang, Shuxiao;Zhang, Chuying&lt;/_translated_author&gt;&lt;/Details&gt;&lt;Extra&gt;&lt;DBUID&gt;{0DA6E8B8-3A61-49AD-9027-1BB1B3F94C4B}&lt;/DBUID&gt;&lt;/Extra&gt;&lt;/Item&gt;&lt;/References&gt;&lt;/Group&gt;&lt;Group&gt;&lt;References&gt;&lt;Item&gt;&lt;ID&gt;55&lt;/ID&gt;&lt;UID&gt;{6FD02FAE-676E-45DD-AFAD-AE99DE52DCAB}&lt;/UID&gt;&lt;Title&gt;中国非禾谷类大田作物收获指数和秸秆系数&lt;/Title&gt;&lt;Template&gt;Journal Article&lt;/Template&gt;&lt;Star&gt;0&lt;/Star&gt;&lt;Tag&gt;0&lt;/Tag&gt;&lt;Author&gt;谢光辉; 王晓玉; 韩东倩; 薛帅&lt;/Author&gt;&lt;Year&gt;2011&lt;/Year&gt;&lt;Details&gt;&lt;_author_aff&gt;中国农业大学农学与生物技术学院/农业部农作制度重点开放实验室; 中国农业大学生物质工程中心&lt;/_author_aff&gt;&lt;_cate&gt;S511&lt;/_cate&gt;&lt;_cited_count&gt;27&lt;/_cited_count&gt;&lt;_created&gt;60464772&lt;/_created&gt;&lt;_funding&gt;国家“十一五”课题支撑计划(2006BAD07A04);公益性行业(农业)科研专项经费资助项目(nyhyzx07-011)&lt;/_funding&gt;&lt;_issue&gt;01&lt;/_issue&gt;&lt;_journal&gt;中国农业大学学报&lt;/_journal&gt;&lt;_keywords&gt;作物; 收获指数; 秸秆; 秸秆系数; 草谷比&lt;/_keywords&gt;&lt;_modified&gt;60464798&lt;/_modified&gt;&lt;_ref_count&gt;92&lt;/_ref_count&gt;&lt;_url&gt;http://www.cnki.net/KCMS/detail/detail.aspx?QueryID=15&amp;amp;CurRec=1&amp;amp;dbcode=CJFQ&amp;amp;dbname=CJFD2011&amp;amp;filename=NYDX201101003&amp;amp;urlid=&amp;amp;yx=&amp;amp;v=MDkxNjFyQ1VSTDZlWmVkbkZ5bmxVN3ZPS3pUUGRyRzRIOURNcm85Rlo0UjhlWDFMdXhZUzdEaDFUM3FUcldNMUY=&lt;/_url&gt;&lt;_translated_author&gt;Xie, Guanghui;Wang, Xiaoyu;Han, Dongqian;Xue, Shuai&lt;/_translated_author&gt;&lt;/Details&gt;&lt;Extra&gt;&lt;DBUID&gt;{0DA6E8B8-3A61-49AD-9027-1BB1B3F94C4B}&lt;/DBUID&gt;&lt;/Extra&gt;&lt;/Item&gt;&lt;/References&gt;&lt;/Group&gt;&lt;Group&gt;&lt;References&gt;&lt;Item&gt;&lt;ID&gt;56&lt;/ID&gt;&lt;UID&gt;{3ABAD354-FFF5-4C08-9A50-73E2F7B335C4}&lt;/UID&gt;&lt;Title&gt;2011年深圳大运会空气质量保障大气污染源清单开发及评估研究专题报告&lt;/Title&gt;&lt;Template&gt;Report&lt;/Template&gt;&lt;Star&gt;0&lt;/Star&gt;&lt;Tag&gt;0&lt;/Tag&gt;&lt;Author&gt;华南理工大学&lt;/Author&gt;&lt;Year&gt;2010&lt;/Year&gt;&lt;Details&gt;&lt;_accessed&gt;60464773&lt;/_accessed&gt;&lt;_created&gt;60464773&lt;/_created&gt;&lt;_modified&gt;60464773&lt;/_modified&gt;&lt;_place_published&gt;广州&lt;/_place_published&gt;&lt;_translated_author&gt;Hua, Nanligongdaxue&lt;/_translated_author&gt;&lt;/Details&gt;&lt;Extra&gt;&lt;DBUID&gt;{0DA6E8B8-3A61-49AD-9027-1BB1B3F94C4B}&lt;/DBUID&gt;&lt;/Extra&gt;&lt;/Item&gt;&lt;/References&gt;&lt;/Group&gt;&lt;Group&gt;&lt;References&gt;&lt;Item&gt;&lt;ID&gt;57&lt;/ID&gt;&lt;UID&gt;{7A38A3C1-6D00-40EE-8047-B5E3B56570E6}&lt;/UID&gt;&lt;Title&gt;中国农作物秸秆燃烧排放气态、颗粒态污染物排放特征的实验室模拟&lt;/Title&gt;&lt;Template&gt;Thesis&lt;/Template&gt;&lt;Star&gt;0&lt;/Star&gt;&lt;Tag&gt;0&lt;/Tag&gt;&lt;Author&gt;张鹤丰&lt;/Author&gt;&lt;Year&gt;2009&lt;/Year&gt;&lt;Details&gt;&lt;_cate&gt;环境科学&lt;/_cate&gt;&lt;_created&gt;60464777&lt;/_created&gt;&lt;_db_provider&gt;北京万方数据股份有限公司&lt;/_db_provider&gt;&lt;_language&gt;chinese&lt;/_language&gt;&lt;_modified&gt;60464777&lt;/_modified&gt;&lt;_publisher&gt;复旦大学&lt;/_publisher&gt;&lt;_tertiary_author&gt;陈建民&lt;/_tertiary_author&gt;&lt;_url&gt;http://d.wanfangdata.com.cn/Thesis_D446885.aspx&lt;/_url&gt;&lt;_volume&gt;博士&lt;/_volume&gt;&lt;_translated_author&gt;Zhang, Hefeng&lt;/_translated_author&gt;&lt;/Details&gt;&lt;Extra&gt;&lt;DBUID&gt;{0DA6E8B8-3A61-49AD-9027-1BB1B3F94C4B}&lt;/DBUID&gt;&lt;/Extra&gt;&lt;/Item&gt;&lt;/References&gt;&lt;/Group&gt;&lt;Group&gt;&lt;References&gt;&lt;Item&gt;&lt;ID&gt;58&lt;/ID&gt;&lt;UID&gt;{6CE42E72-2ED1-4BD8-BDEF-C108D645C154}&lt;/UID&gt;&lt;Title&gt;农业残留物燃烧温室气体排放清单研究:以江苏省为例&lt;/Title&gt;&lt;Template&gt;Journal Article&lt;/Template&gt;&lt;Star&gt;0&lt;/Star&gt;&lt;Tag&gt;0&lt;/Tag&gt;&lt;Author&gt;刘丽华; 蒋静艳; 宗良纲&lt;/Author&gt;&lt;Year&gt;2011&lt;/Year&gt;&lt;Details&gt;&lt;_author_aff&gt;南京农业大学资源与环境科学学院&lt;/_author_aff&gt;&lt;_cate&gt;X511&lt;/_cate&gt;&lt;_created&gt;60464777&lt;/_created&gt;&lt;_funding&gt;国家自然科学基金项目(40975091)&lt;/_funding&gt;&lt;_issue&gt;05&lt;/_issue&gt;&lt;_journal&gt;环境科学&lt;/_journal&gt;&lt;_keywords&gt;农业残留物; 温室气体; 作物秸秆燃烧; 排放因子; 排放清单&lt;/_keywords&gt;&lt;_modified&gt;60464794&lt;/_modified&gt;&lt;_translated_author&gt;LIU, Li-hua; JIANG, Jing-yan; ZONG, Liang-gang&lt;/_translated_author&gt;&lt;_url&gt;http://www.cnki.net/KCMS/detail/detail.aspx?filename=hjkz201105005&amp;amp;dbcode=CJFQ&amp;amp;dbname=CJFD2011&lt;/_url&gt;&lt;/Details&gt;&lt;Extra&gt;&lt;DBUID&gt;{0DA6E8B8-3A61-49AD-9027-1BB1B3F94C4B}&lt;/DBUID&gt;&lt;/Extra&gt;&lt;/Item&gt;&lt;/References&gt;&lt;/Group&gt;&lt;Group&gt;&lt;References&gt;&lt;Item&gt;&lt;ID&gt;59&lt;/ID&gt;&lt;UID&gt;{27E29C46-7EB8-4608-BFA8-6C53259AB77C}&lt;/UID&gt;&lt;Title&gt;Agricultural and Forest Fires, Generation, Utilization and Availability&lt;/Title&gt;&lt;Template&gt;Report&lt;/Template&gt;&lt;Star&gt;0&lt;/Star&gt;&lt;Tag&gt;0&lt;/Tag&gt;&lt;Author&gt;Koopmans, Auke; Koppejan, Jaap&lt;/Author&gt;&lt;Year&gt;1998&lt;/Year&gt;&lt;Details&gt;&lt;_accessed&gt;60464797&lt;/_accessed&gt;&lt;_created&gt;60464787&lt;/_created&gt;&lt;_modified&gt;60464787&lt;/_modified&gt;&lt;_publisher&gt;Wood Energy Conservation Specialists&lt;/_publisher&gt;&lt;/Details&gt;&lt;Extra&gt;&lt;DBUID&gt;{0DA6E8B8-3A61-49AD-9027-1BB1B3F94C4B}&lt;/DBUID&gt;&lt;/Extra&gt;&lt;/Item&gt;&lt;/References&gt;&lt;/Group&gt;&lt;Group&gt;&lt;References&gt;&lt;Item&gt;&lt;ID&gt;60&lt;/ID&gt;&lt;UID&gt;{795392B8-091C-4719-A0FA-2B368F1F9BAB}&lt;/UID&gt;&lt;Title&gt;Trends, temporal and spatial characteristics, and uncertainties in biomass burning emissions in the Pearl River Delta, China&lt;/Title&gt;&lt;Template&gt;Journal Article&lt;/Template&gt;&lt;Star&gt;0&lt;/Star&gt;&lt;Tag&gt;0&lt;/Tag&gt;&lt;Author&gt;He, Min; Zheng, Junyu; Yin, Shasha; Zhang, Yingyi&lt;/Author&gt;&lt;Year&gt;2011&lt;/Year&gt;&lt;Details&gt;&lt;_alternate_title&gt;Atmospheric Environment&lt;/_alternate_title&gt;&lt;_created&gt;60464788&lt;/_created&gt;&lt;_date&gt;2011-08-01&lt;/_date&gt;&lt;_date_display&gt;2011/8//&lt;/_date_display&gt;&lt;_doi&gt;10.1016/j.atmosenv.2011.04.016&lt;/_doi&gt;&lt;_isbn&gt;1352-2310&lt;/_isbn&gt;&lt;_issue&gt;24&lt;/_issue&gt;&lt;_journal&gt;Atmospheric Environment&lt;/_journal&gt;&lt;_keywords&gt;Pearl River Delta region; Biomass burning emission inventory; Temporal characteristics; Spatial characteristics; Uncertainty&lt;/_keywords&gt;&lt;_modified&gt;60464794&lt;/_modified&gt;&lt;_pages&gt;4051-4059&lt;/_pages&gt;&lt;_url&gt;http://www.sciencedirect.com/science/article/pii/S1352231011003852&lt;/_url&gt;&lt;_volume&gt;45&lt;/_volume&gt;&lt;/Details&gt;&lt;Extra&gt;&lt;DBUID&gt;{0DA6E8B8-3A61-49AD-9027-1BB1B3F94C4B}&lt;/DBUID&gt;&lt;/Extra&gt;&lt;/Item&gt;&lt;/References&gt;&lt;/Group&gt;&lt;/Citation&gt;_x000a_"/>
    <w:docVar w:name="NE.Ref{02C94379-7E46-4064-BEDB-21DD62029A50}" w:val=" ADDIN NE.Ref.{02C94379-7E46-4064-BEDB-21DD62029A50}&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03F66469-06E6-4CB9-809F-3CD5520DFF60}" w:val=" ADDIN NE.Ref.{03F66469-06E6-4CB9-809F-3CD5520DFF60}&lt;Citation&gt;&lt;Group&gt;&lt;References&gt;&lt;Item&gt;&lt;ID&gt;29&lt;/ID&gt;&lt;UID&gt;{D8EBC4C4-A644-4412-BD9D-7FAF54A552FD}&lt;/UID&gt;&lt;Title&gt;珠三角机动车污染物排放量估算和时空特征分析&lt;/Title&gt;&lt;Template&gt;Report&lt;/Template&gt;&lt;Star&gt;0&lt;/Star&gt;&lt;Tag&gt;0&lt;/Tag&gt;&lt;Author&gt;广东省环境科学研究院; 中山大学&lt;/Author&gt;&lt;Year&gt;2012&lt;/Year&gt;&lt;Details&gt;&lt;_accessed&gt;60463748&lt;/_accessed&gt;&lt;_created&gt;60463748&lt;/_created&gt;&lt;_modified&gt;60463748&lt;/_modified&gt;&lt;_place_published&gt;广州&lt;/_place_published&gt;&lt;_translated_author&gt;Guang, Dongshenghuanjingkexueyanjiuyuan;Zhong, Shandaxue&lt;/_translated_author&gt;&lt;/Details&gt;&lt;Extra&gt;&lt;DBUID&gt;{0DA6E8B8-3A61-49AD-9027-1BB1B3F94C4B}&lt;/DBUID&gt;&lt;/Extra&gt;&lt;/Item&gt;&lt;/References&gt;&lt;/Group&gt;&lt;/Citation&gt;_x000a_"/>
    <w:docVar w:name="NE.Ref{0448B6E3-2B9C-4ED7-96F5-FE79D2DAE3F5}" w:val=" ADDIN NE.Ref.{0448B6E3-2B9C-4ED7-96F5-FE79D2DAE3F5}&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05912408-BA57-464B-8997-1A63F07AE0C2}" w:val=" ADDIN NE.Ref.{05912408-BA57-464B-8997-1A63F07AE0C2}&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05D8505F-0E46-4291-AD8B-46DAC8D039DE}" w:val=" ADDIN NE.Ref.{05D8505F-0E46-4291-AD8B-46DAC8D039DE}&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05F13246-1B4D-4A2F-8B10-7ADD3D79CE04}" w:val=" ADDIN NE.Ref.{05F13246-1B4D-4A2F-8B10-7ADD3D79CE04}&lt;Citation&gt;&lt;Group&gt;&lt;References&gt;&lt;Item&gt;&lt;ID&gt;7&lt;/ID&gt;&lt;UID&gt;{BD9BF6D2-F5BD-4E52-A587-6BB13834F2D1}&lt;/UID&gt;&lt;Title&gt;空气污染物排放量推估手册&lt;/Title&gt;&lt;Template&gt;Standard&lt;/Template&gt;&lt;Star&gt;0&lt;/Star&gt;&lt;Tag&gt;0&lt;/Tag&gt;&lt;Author&gt;台湾环保署&lt;/Author&gt;&lt;Year&gt;2006&lt;/Year&gt;&lt;Details&gt;&lt;_created&gt;60463628&lt;/_created&gt;&lt;_modified&gt;60464816&lt;/_modified&gt;&lt;_translated_author&gt;Tai, Wanhuanbaoshu&lt;/_translated_author&gt;&lt;/Details&gt;&lt;Extra&gt;&lt;DBUID&gt;{0DA6E8B8-3A61-49AD-9027-1BB1B3F94C4B}&lt;/DBUID&gt;&lt;/Extra&gt;&lt;/Item&gt;&lt;/References&gt;&lt;/Group&gt;&lt;/Citation&gt;_x000a_"/>
    <w:docVar w:name="NE.Ref{05F16E29-CB70-4782-97D8-BA1D43CE2D35}" w:val=" ADDIN NE.Ref.{05F16E29-CB70-4782-97D8-BA1D43CE2D35}&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07C4377A-7537-4703-BD6C-DDCD9C4BB418}" w:val=" ADDIN NE.Ref.{07C4377A-7537-4703-BD6C-DDCD9C4BB418}&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099D3799-F1AA-4984-ABB6-4E495258B15F}" w:val=" ADDIN NE.Ref.{099D3799-F1AA-4984-ABB6-4E495258B15F}&lt;Citation&gt;&lt;Group&gt;&lt;References&gt;&lt;Item&gt;&lt;ID&gt;112&lt;/ID&gt;&lt;UID&gt;{BE586DD2-D71E-456B-BFB9-30DEAB8E8C17}&lt;/UID&gt;&lt;Title&gt;Estimating ammonia emissions from anthropogenic  nonagricultural source&lt;/Title&gt;&lt;Template&gt;Report&lt;/Template&gt;&lt;Star&gt;0&lt;/Star&gt;&lt;Tag&gt;0&lt;/Tag&gt;&lt;Author&gt;Roe, Stephen M; Spivey, Melissa D; Lindquist, Holly C; Thesing, Kirstin B&lt;/Author&gt;&lt;Year&gt;2004&lt;/Year&gt;&lt;Details&gt;&lt;_accessed&gt;60549806&lt;/_accessed&gt;&lt;_created&gt;60549806&lt;/_created&gt;&lt;_modified&gt;60549806&lt;/_modified&gt;&lt;_place_published&gt;U.S.&lt;/_place_published&gt;&lt;_volume&gt; Emission Inventory Improvement Program&lt;/_volume&gt;&lt;/Details&gt;&lt;Extra&gt;&lt;DBUID&gt;{0DA6E8B8-3A61-49AD-9027-1BB1B3F94C4B}&lt;/DBUID&gt;&lt;/Extra&gt;&lt;/Item&gt;&lt;/References&gt;&lt;/Group&gt;&lt;/Citation&gt;_x000a_"/>
    <w:docVar w:name="NE.Ref{0AA1F723-8739-40D6-BF9F-452656B6E82E}" w:val=" ADDIN NE.Ref.{0AA1F723-8739-40D6-BF9F-452656B6E82E}&lt;Citation&gt;&lt;Group&gt;&lt;References&gt;&lt;Item&gt;&lt;ID&gt;50&lt;/ID&gt;&lt;UID&gt;{4D383136-A01B-4B94-B14A-3D88651AE897}&lt;/UID&gt;&lt;Title&gt;Emission inventory of carbonaceous pollutants from biomass burning in the Pearl River Delta Region, China&lt;/Title&gt;&lt;Template&gt;Journal Article&lt;/Template&gt;&lt;Star&gt;0&lt;/Star&gt;&lt;Tag&gt;0&lt;/Tag&gt;&lt;Author&gt;Zhang, Yisheng; Shao, Min; Lin, Yun; Luan, Shengji; Mao, Ning; Chen, Wentai; Wang, Ming&lt;/Author&gt;&lt;Year&gt;2013&lt;/Year&gt;&lt;Details&gt;&lt;_alternate_title&gt;Atmospheric EnvironmentImproving Regional Air Quality over the Pearl River Delta and Hong Kong: from Science to Policy&lt;/_alternate_title&gt;&lt;_created&gt;60464763&lt;/_created&gt;&lt;_date&gt;2013-09-01&lt;/_date&gt;&lt;_date_display&gt;2013/9//&lt;/_date_display&gt;&lt;_doi&gt;10.1016/j.atmosenv.2012.05.055&lt;/_doi&gt;&lt;_isbn&gt;1352-2310&lt;/_isbn&gt;&lt;_issue&gt;0&lt;/_issue&gt;&lt;_journal&gt;Atmospheric Environment&lt;/_journal&gt;&lt;_keywords&gt;Biomass burning; Emission factor; Chamber; Emission inventory; Regional allocation&lt;/_keywords&gt;&lt;_modified&gt;60464836&lt;/_modified&gt;&lt;_pages&gt;189-199&lt;/_pages&gt;&lt;_url&gt;http://www.sciencedirect.com/science/article/pii/S1352231012005407&lt;/_url&gt;&lt;_volume&gt;76&lt;/_volume&gt;&lt;_impact_factor&gt;   3.459&lt;/_impact_factor&gt;&lt;_collection_scope&gt;EI;SCI;SCIE;&lt;/_collection_scope&gt;&lt;/Details&gt;&lt;Extra&gt;&lt;DBUID&gt;{0DA6E8B8-3A61-49AD-9027-1BB1B3F94C4B}&lt;/DBUID&gt;&lt;/Extra&gt;&lt;/Item&gt;&lt;/References&gt;&lt;/Group&gt;&lt;/Citation&gt;_x000a_"/>
    <w:docVar w:name="NE.Ref{0AE3BB84-96B9-4A0F-B52C-A5AC731F3447}" w:val=" ADDIN NE.Ref.{0AE3BB84-96B9-4A0F-B52C-A5AC731F3447}&lt;Citation&gt;&lt;Group&gt;&lt;References&gt;&lt;Item&gt;&lt;ID&gt;37&lt;/ID&gt;&lt;UID&gt;{A9D71192-30DB-443C-B4D1-1DD91046DCFC}&lt;/UID&gt;&lt;Title&gt;生物质燃烧源大气污染物排放清单编制技术指南（试行）&lt;/Title&gt;&lt;Template&gt;Standard&lt;/Template&gt;&lt;Star&gt;0&lt;/Star&gt;&lt;Tag&gt;0&lt;/Tag&gt;&lt;Author&gt;环境保护部&lt;/Author&gt;&lt;Year&gt;2014&lt;/Year&gt;&lt;Details&gt;&lt;_accessed&gt;60463766&lt;/_accessed&gt;&lt;_created&gt;60463766&lt;/_created&gt;&lt;_modified&gt;60464817&lt;/_modified&gt;&lt;_translated_author&gt;Huan, Jingbaohubu&lt;/_translated_author&gt;&lt;/Details&gt;&lt;Extra&gt;&lt;DBUID&gt;{0DA6E8B8-3A61-49AD-9027-1BB1B3F94C4B}&lt;/DBUID&gt;&lt;/Extra&gt;&lt;/Item&gt;&lt;/References&gt;&lt;/Group&gt;&lt;/Citation&gt;_x000a_"/>
    <w:docVar w:name="NE.Ref{0BD688DC-AF71-420F-885A-5DE26A2815CC}" w:val=" ADDIN NE.Ref.{0BD688DC-AF71-420F-885A-5DE26A2815CC}&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0C2BA845-A70A-4D34-B5EC-86EEE68661E5}" w:val=" ADDIN NE.Ref.{0C2BA845-A70A-4D34-B5EC-86EEE68661E5}&lt;Citation&gt;&lt;Group&gt;&lt;References&gt;&lt;Item&gt;&lt;ID&gt;7&lt;/ID&gt;&lt;UID&gt;{BD9BF6D2-F5BD-4E52-A587-6BB13834F2D1}&lt;/UID&gt;&lt;Title&gt;空气污染物排放量推估手册&lt;/Title&gt;&lt;Template&gt;Standard&lt;/Template&gt;&lt;Star&gt;0&lt;/Star&gt;&lt;Tag&gt;0&lt;/Tag&gt;&lt;Author&gt;台湾环保署&lt;/Author&gt;&lt;Year&gt;2006&lt;/Year&gt;&lt;Details&gt;&lt;_created&gt;60463628&lt;/_created&gt;&lt;_modified&gt;60464816&lt;/_modified&gt;&lt;_translated_author&gt;Tai, Wanhuanbaoshu&lt;/_translated_author&gt;&lt;/Details&gt;&lt;Extra&gt;&lt;DBUID&gt;{0DA6E8B8-3A61-49AD-9027-1BB1B3F94C4B}&lt;/DBUID&gt;&lt;/Extra&gt;&lt;/Item&gt;&lt;/References&gt;&lt;/Group&gt;&lt;/Citation&gt;_x000a_"/>
    <w:docVar w:name="NE.Ref{0D175CB2-411C-44AB-8CDE-F203F3DE5FE6}" w:val=" ADDIN NE.Ref.{0D175CB2-411C-44AB-8CDE-F203F3DE5FE6}&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0DF5C200-3647-4BEA-9AE2-9508FAF1AB98}" w:val=" ADDIN NE.Ref.{0DF5C200-3647-4BEA-9AE2-9508FAF1AB98}&lt;Citation&gt;&lt;Group&gt;&lt;References&gt;&lt;Item&gt;&lt;ID&gt;84&lt;/ID&gt;&lt;UID&gt;{4D7F9A4C-2E27-4456-B574-12FAD09E9D49}&lt;/UID&gt;&lt;Title&gt;油墨行业调查：2011年国内油墨使用统计数据&lt;/Title&gt;&lt;Template&gt;Web Page&lt;/Template&gt;&lt;Star&gt;0&lt;/Star&gt;&lt;Tag&gt;0&lt;/Tag&gt;&lt;Author&gt;广告买卖网&lt;/Author&gt;&lt;Year&gt;2011&lt;/Year&gt;&lt;Details&gt;&lt;_url&gt;http://www.admaimai.com/contact/detail/2/94222.htm&lt;/_url&gt;&lt;_accessed&gt;60501164&lt;/_accessed&gt;&lt;_created&gt;60501164&lt;/_created&gt;&lt;_modified&gt;60501164&lt;/_modified&gt;&lt;_translated_author&gt;Guang, Gaomaimaiwang&lt;/_translated_author&gt;&lt;/Details&gt;&lt;Extra&gt;&lt;DBUID&gt;{0DA6E8B8-3A61-49AD-9027-1BB1B3F94C4B}&lt;/DBUID&gt;&lt;/Extra&gt;&lt;/Item&gt;&lt;/References&gt;&lt;/Group&gt;&lt;/Citation&gt;_x000a_"/>
    <w:docVar w:name="NE.Ref{0EF5C05C-137D-41B1-AA41-FC4259D678C3}" w:val=" ADDIN NE.Ref.{0EF5C05C-137D-41B1-AA41-FC4259D678C3}&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0F223236-B3E3-4934-A9BC-835A9644A66E}" w:val=" ADDIN NE.Ref.{0F223236-B3E3-4934-A9BC-835A9644A66E}&lt;Citation&gt;&lt;Group&gt;&lt;References&gt;&lt;Item&gt;&lt;ID&gt;23&lt;/ID&gt;&lt;UID&gt;{62A64D67-BB2E-4D94-A120-7F67E54B475F}&lt;/UID&gt;&lt;Title&gt;珠江三角洲地区空气污染物排放清单编制手册[M]&lt;/Title&gt;&lt;Template&gt;Standard&lt;/Template&gt;&lt;Star&gt;0&lt;/Star&gt;&lt;Tag&gt;0&lt;/Tag&gt;&lt;Author&gt;广东省环境保护监测中心站; 香港特别行政区政府环境保护署&lt;/Author&gt;&lt;Year&gt;2005&lt;/Year&gt;&lt;Details&gt;&lt;_accessed&gt;60463713&lt;/_accessed&gt;&lt;_created&gt;60463713&lt;/_created&gt;&lt;_modified&gt;60464816&lt;/_modified&gt;&lt;_place_published&gt;广州&lt;/_place_published&gt;&lt;_translated_author&gt;Guang, Dongshenghuanjingbaohujiancezhongxinzhan;Xiang, Gangtebiexingzhengquzhengfuhuanjingbaohushu&lt;/_translated_author&gt;&lt;/Details&gt;&lt;Extra&gt;&lt;DBUID&gt;{0DA6E8B8-3A61-49AD-9027-1BB1B3F94C4B}&lt;/DBUID&gt;&lt;/Extra&gt;&lt;/Item&gt;&lt;/References&gt;&lt;/Group&gt;&lt;/Citation&gt;_x000a_"/>
    <w:docVar w:name="NE.Ref{0F956A31-7ABD-484E-BED4-39B938B868A0}" w:val=" ADDIN NE.Ref.{0F956A31-7ABD-484E-BED4-39B938B868A0}&lt;Citation&gt;&lt;Group&gt;&lt;References&gt;&lt;Item&gt;&lt;ID&gt;66&lt;/ID&gt;&lt;UID&gt;{19A453C6-CE1A-4008-8C19-0D8AD433BC15}&lt;/UID&gt;&lt;Title&gt;珠江三角洲空气质量管理计划中期回顾研究报告&lt;/Title&gt;&lt;Template&gt;Report&lt;/Template&gt;&lt;Star&gt;0&lt;/Star&gt;&lt;Tag&gt;0&lt;/Tag&gt;&lt;Author&gt;珠江三角洲空气质量管理及监察负责小组&lt;/Author&gt;&lt;Year&gt;2007&lt;/Year&gt;&lt;Details&gt;&lt;_accessed&gt;60464805&lt;/_accessed&gt;&lt;_created&gt;60464805&lt;/_created&gt;&lt;_modified&gt;60464805&lt;/_modified&gt;&lt;_place_published&gt;广州&lt;/_place_published&gt;&lt;_publisher&gt;广东省环境保护监测中心站&lt;/_publisher&gt;&lt;_translated_author&gt;Zhu, Jiangsanjiaozhoukongqizhiliangguanlijijianchafuzexiaozu&lt;/_translated_author&gt;&lt;/Details&gt;&lt;Extra&gt;&lt;DBUID&gt;{0DA6E8B8-3A61-49AD-9027-1BB1B3F94C4B}&lt;/DBUID&gt;&lt;/Extra&gt;&lt;/Item&gt;&lt;/References&gt;&lt;/Group&gt;&lt;/Citation&gt;_x000a_"/>
    <w:docVar w:name="NE.Ref{0FF025EC-F2F8-4E25-95F7-0CE452F814D0}" w:val=" ADDIN NE.Ref.{0FF025EC-F2F8-4E25-95F7-0CE452F814D0}&lt;Citation&gt;&lt;Group&gt;&lt;References&gt;&lt;Item&gt;&lt;ID&gt;364&lt;/ID&gt;&lt;UID&gt;{6FD5B18F-0925-41BC-8672-EB4E43E086E5}&lt;/UID&gt;&lt;Title&gt;大气可吸入颗粒物一次源排放清单编制技术指南（试行）&lt;/Title&gt;&lt;Template&gt;Standard&lt;/Template&gt;&lt;Star&gt;0&lt;/Star&gt;&lt;Tag&gt;0&lt;/Tag&gt;&lt;Author&gt;环境保护部&lt;/Author&gt;&lt;Year&gt;2014&lt;/Year&gt;&lt;Details&gt;&lt;_accessed&gt;60463507&lt;/_accessed&gt;&lt;_created&gt;60463507&lt;/_created&gt;&lt;_modified&gt;60463507&lt;/_modified&gt;&lt;_translated_author&gt;Huan, Jingbaohubu&lt;/_translated_author&gt;&lt;/Details&gt;&lt;Extra&gt;&lt;DBUID&gt;{0C8895AB-960A-4B76-A0DA-38D8A76C4C8B}&lt;/DBUID&gt;&lt;/Extra&gt;&lt;/Item&gt;&lt;/References&gt;&lt;/Group&gt;&lt;/Citation&gt;_x000a_"/>
    <w:docVar w:name="NE.Ref{0FF84F10-63A0-4627-938B-8845EAD71257}" w:val=" ADDIN NE.Ref.{0FF84F10-63A0-4627-938B-8845EAD71257}&lt;Citation&gt;&lt;Group&gt;&lt;References&gt;&lt;Item&gt;&lt;ID&gt;138&lt;/ID&gt;&lt;UID&gt;{9FFF55B8-7600-4965-850D-9F593B05872A}&lt;/UID&gt;&lt;Title&gt;广东农村统计年鉴2015&lt;/Title&gt;&lt;Template&gt;Book&lt;/Template&gt;&lt;Star&gt;0&lt;/Star&gt;&lt;Tag&gt;0&lt;/Tag&gt;&lt;Author&gt;广东农村统计年鉴编辑委员会&lt;/Author&gt;&lt;Year&gt;2015&lt;/Year&gt;&lt;Details&gt;&lt;_accessed&gt;61305088&lt;/_accessed&gt;&lt;_created&gt;60466451&lt;/_created&gt;&lt;_isbn&gt;978-7-5037-7289-4&lt;/_isbn&gt;&lt;_modified&gt;61305088&lt;/_modified&gt;&lt;_place_published&gt;北京&lt;/_place_published&gt;&lt;_publisher&gt;中国统计出版社&lt;/_publisher&gt;&lt;_translated_author&gt;Guang, Dongnongcuntongjinianjianbianjiweiyuanhui&lt;/_translated_author&gt;&lt;/Details&gt;&lt;Extra&gt;&lt;DBUID&gt;{0DA6E8B8-3A61-49AD-9027-1BB1B3F94C4B}&lt;/DBUID&gt;&lt;/Extra&gt;&lt;/Item&gt;&lt;/References&gt;&lt;/Group&gt;&lt;/Citation&gt;_x000a_"/>
    <w:docVar w:name="NE.Ref{10117394-2426-4E64-BF61-AFB8A80CF81C}" w:val=" ADDIN NE.Ref.{10117394-2426-4E64-BF61-AFB8A80CF81C}&lt;Citation&gt;&lt;Group&gt;&lt;References&gt;&lt;Item&gt;&lt;ID&gt;7&lt;/ID&gt;&lt;UID&gt;{BD9BF6D2-F5BD-4E52-A587-6BB13834F2D1}&lt;/UID&gt;&lt;Title&gt;空气污染物排放量推估手册&lt;/Title&gt;&lt;Template&gt;Standard&lt;/Template&gt;&lt;Star&gt;0&lt;/Star&gt;&lt;Tag&gt;0&lt;/Tag&gt;&lt;Author&gt;台湾环保署&lt;/Author&gt;&lt;Year&gt;2006&lt;/Year&gt;&lt;Details&gt;&lt;_created&gt;60463628&lt;/_created&gt;&lt;_modified&gt;60464816&lt;/_modified&gt;&lt;_translated_author&gt;Tai, Wanhuanbaoshu&lt;/_translated_author&gt;&lt;/Details&gt;&lt;Extra&gt;&lt;DBUID&gt;{0DA6E8B8-3A61-49AD-9027-1BB1B3F94C4B}&lt;/DBUID&gt;&lt;/Extra&gt;&lt;/Item&gt;&lt;/References&gt;&lt;/Group&gt;&lt;/Citation&gt;_x000a_"/>
    <w:docVar w:name="NE.Ref{118A52F1-C18E-468B-9998-996B5577F487}" w:val=" ADDIN NE.Ref.{118A52F1-C18E-468B-9998-996B5577F487}&lt;Citation&gt;&lt;Group&gt;&lt;References&gt;&lt;Item&gt;&lt;ID&gt;1&lt;/ID&gt;&lt;UID&gt;{6B18977D-9777-462E-95F6-D25F3A60E833}&lt;/UID&gt;&lt;Title&gt;“十二五”重点区域大气污染联防联控VOC排放清单和治理技术手册&lt;/Title&gt;&lt;Template&gt;Standard&lt;/Template&gt;&lt;Star&gt;0&lt;/Star&gt;&lt;Tag&gt;0&lt;/Tag&gt;&lt;Author&gt;环境保护部&lt;/Author&gt;&lt;Year&gt;2010&lt;/Year&gt;&lt;Details&gt;&lt;_accessed&gt;60463742&lt;/_accessed&gt;&lt;_created&gt;60463628&lt;/_created&gt;&lt;_modified&gt;60567113&lt;/_modified&gt;&lt;_translated_author&gt;Huan, Jingbaohubu&lt;/_translated_author&gt;&lt;/Details&gt;&lt;Extra&gt;&lt;DBUID&gt;{0DA6E8B8-3A61-49AD-9027-1BB1B3F94C4B}&lt;/DBUID&gt;&lt;/Extra&gt;&lt;/Item&gt;&lt;/References&gt;&lt;/Group&gt;&lt;/Citation&gt;_x000a_"/>
    <w:docVar w:name="NE.Ref{127D7D5D-DC19-48C7-9F23-0081356C813F}" w:val=" ADDIN NE.Ref.{127D7D5D-DC19-48C7-9F23-0081356C813F}&lt;Citation&gt;&lt;Group&gt;&lt;References&gt;&lt;Item&gt;&lt;ID&gt;4&lt;/ID&gt;&lt;UID&gt;{E57F084E-0472-493F-A584-41A59FE7A954}&lt;/UID&gt;&lt;Title&gt;大气细颗粒物一次源排放清单编制技术指南（试行）&lt;/Title&gt;&lt;Template&gt;Standard&lt;/Template&gt;&lt;Star&gt;0&lt;/Star&gt;&lt;Tag&gt;0&lt;/Tag&gt;&lt;Author&gt;环境保护部&lt;/Author&gt;&lt;Year&gt;2014&lt;/Year&gt;&lt;Details&gt;&lt;_created&gt;60463628&lt;/_created&gt;&lt;_modified&gt;60465005&lt;/_modified&gt;&lt;_translated_author&gt;Huan, Jingbaohubu&lt;/_translated_author&gt;&lt;/Details&gt;&lt;Extra&gt;&lt;DBUID&gt;{0DA6E8B8-3A61-49AD-9027-1BB1B3F94C4B}&lt;/DBUID&gt;&lt;/Extra&gt;&lt;/Item&gt;&lt;/References&gt;&lt;/Group&gt;&lt;/Citation&gt;_x000a_"/>
    <w:docVar w:name="NE.Ref{1369D71F-9DDE-49E5-A0A8-22E939CAA61E}" w:val=" ADDIN NE.Ref.{1369D71F-9DDE-49E5-A0A8-22E939CAA61E}&lt;Citation&gt;&lt;Group&gt;&lt;References&gt;&lt;Item&gt;&lt;ID&gt;363&lt;/ID&gt;&lt;UID&gt;{65E16E74-F240-4FB8-8662-7B4BE7323502}&lt;/UID&gt;&lt;Title&gt;大气细颗粒物(PM2.5)源排放清单编制技术指南（试行）&lt;/Title&gt;&lt;Template&gt;Standard&lt;/Template&gt;&lt;Star&gt;0&lt;/Star&gt;&lt;Tag&gt;0&lt;/Tag&gt;&lt;Author&gt;环境保护部&lt;/Author&gt;&lt;Year&gt;2014&lt;/Year&gt;&lt;Details&gt;&lt;_accessed&gt;60463499&lt;/_accessed&gt;&lt;_created&gt;60463498&lt;/_created&gt;&lt;_modified&gt;60463499&lt;/_modified&gt;&lt;_translated_author&gt;Huan, Jingbaohubu&lt;/_translated_author&gt;&lt;/Details&gt;&lt;Extra&gt;&lt;DBUID&gt;{0C8895AB-960A-4B76-A0DA-38D8A76C4C8B}&lt;/DBUID&gt;&lt;/Extra&gt;&lt;/Item&gt;&lt;/References&gt;&lt;/Group&gt;&lt;/Citation&gt;_x000a_"/>
    <w:docVar w:name="NE.Ref{14210189-030C-451C-9F54-D194A68C1453}" w:val=" ADDIN NE.Ref.{14210189-030C-451C-9F54-D194A68C1453}&lt;Citation&gt;&lt;Group&gt;&lt;References&gt;&lt;Item&gt;&lt;ID&gt;72&lt;/ID&gt;&lt;UID&gt;{7925F399-D529-414C-BF4B-065252241EA8}&lt;/UID&gt;&lt;Title&gt;广东统计年鉴&lt;/Title&gt;&lt;Template&gt;Book&lt;/Template&gt;&lt;Star&gt;0&lt;/Star&gt;&lt;Tag&gt;0&lt;/Tag&gt;&lt;Author&gt;广东省统计局; 国家统计局广东调查总队&lt;/Author&gt;&lt;Year&gt;2013&lt;/Year&gt;&lt;Details&gt;&lt;_accessed&gt;60465096&lt;/_accessed&gt;&lt;_created&gt;60465096&lt;/_created&gt;&lt;_modified&gt;60466472&lt;/_modified&gt;&lt;_place_published&gt;北京&lt;/_place_published&gt;&lt;_publisher&gt;中国统计出版社&lt;/_publisher&gt;&lt;_translated_author&gt;Guang, Dongshengtongjiju;Guo, Jiatongjijuguangdongdiaochazongdui&lt;/_translated_author&gt;&lt;/Details&gt;&lt;Extra&gt;&lt;DBUID&gt;{0DA6E8B8-3A61-49AD-9027-1BB1B3F94C4B}&lt;/DBUID&gt;&lt;/Extra&gt;&lt;/Item&gt;&lt;/References&gt;&lt;/Group&gt;&lt;/Citation&gt;_x000a_"/>
    <w:docVar w:name="NE.Ref{14282E61-57A4-4257-AA8C-62978A06FA97}" w:val=" ADDIN NE.Ref.{14282E61-57A4-4257-AA8C-62978A06FA97}&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14382A01-C6E2-4218-AEF4-5CCEF98EF5A6}" w:val=" ADDIN NE.Ref.{14382A01-C6E2-4218-AEF4-5CCEF98EF5A6}&lt;Citation&gt;&lt;Group&gt;&lt;References&gt;&lt;Item&gt;&lt;ID&gt;142&lt;/ID&gt;&lt;UID&gt;{ED0D38CB-B7DC-49E5-9E69-7BDDBA0D5244}&lt;/UID&gt;&lt;Title&gt;广东统计年鉴. 2015&lt;/Title&gt;&lt;Template&gt;Book&lt;/Template&gt;&lt;Star&gt;0&lt;/Star&gt;&lt;Tag&gt;0&lt;/Tag&gt;&lt;Author&gt;广东省统计局&lt;/Author&gt;&lt;Year&gt;2015&lt;/Year&gt;&lt;Details&gt;&lt;_publisher&gt;中国统计出版社&lt;/_publisher&gt;&lt;_created&gt;61305124&lt;/_created&gt;&lt;_modified&gt;61305125&lt;/_modified&gt;&lt;_translated_author&gt;Guang, Dongshengtongjiju&lt;/_translated_author&gt;&lt;/Details&gt;&lt;Extra&gt;&lt;DBUID&gt;{0DA6E8B8-3A61-49AD-9027-1BB1B3F94C4B}&lt;/DBUID&gt;&lt;/Extra&gt;&lt;/Item&gt;&lt;/References&gt;&lt;/Group&gt;&lt;/Citation&gt;_x000a_"/>
    <w:docVar w:name="NE.Ref{1449BC3E-7B4C-4517-8D03-EC38A7AAB79B}" w:val=" ADDIN NE.Ref.{1449BC3E-7B4C-4517-8D03-EC38A7AAB79B}&lt;Citation&gt;&lt;Group&gt;&lt;References&gt;&lt;Item&gt;&lt;ID&gt;1&lt;/ID&gt;&lt;UID&gt;{6B18977D-9777-462E-95F6-D25F3A60E833}&lt;/UID&gt;&lt;Title&gt;“十二五”重点区域大气污染联防联控VOC排放清单和治理技术手册&lt;/Title&gt;&lt;Template&gt;Standard&lt;/Template&gt;&lt;Star&gt;0&lt;/Star&gt;&lt;Tag&gt;0&lt;/Tag&gt;&lt;Author&gt;环境保护部&lt;/Author&gt;&lt;Year&gt;2010&lt;/Year&gt;&lt;Details&gt;&lt;_accessed&gt;60463742&lt;/_accessed&gt;&lt;_created&gt;60463628&lt;/_created&gt;&lt;_modified&gt;60567113&lt;/_modified&gt;&lt;_translated_author&gt;Huan, Jingbaohubu&lt;/_translated_author&gt;&lt;/Details&gt;&lt;Extra&gt;&lt;DBUID&gt;{0DA6E8B8-3A61-49AD-9027-1BB1B3F94C4B}&lt;/DBUID&gt;&lt;/Extra&gt;&lt;/Item&gt;&lt;/References&gt;&lt;/Group&gt;&lt;/Citation&gt;_x000a_"/>
    <w:docVar w:name="NE.Ref{145BAD28-5AE8-4382-80FF-1C9282AC5522}" w:val=" ADDIN NE.Ref.{145BAD28-5AE8-4382-80FF-1C9282AC5522}&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147DF88C-2158-4F34-A47A-7D2DC63CA3FF}" w:val=" ADDIN NE.Ref.{147DF88C-2158-4F34-A47A-7D2DC63CA3FF}&lt;Citation&gt;&lt;Group&gt;&lt;References&gt;&lt;Item&gt;&lt;ID&gt;74&lt;/ID&gt;&lt;UID&gt;{AF97B13C-1D53-40D0-B016-B3FCC74DA953}&lt;/UID&gt;&lt;Title&gt;中国能源统计年鉴2013&lt;/Title&gt;&lt;Template&gt;Book&lt;/Template&gt;&lt;Star&gt;0&lt;/Star&gt;&lt;Tag&gt;0&lt;/Tag&gt;&lt;Author&gt;国家统计局能源统计司&lt;/Author&gt;&lt;Year&gt;2013&lt;/Year&gt;&lt;Details&gt;&lt;_accessed&gt;60465122&lt;/_accessed&gt;&lt;_created&gt;60465122&lt;/_created&gt;&lt;_isbn&gt;978-7-5037-7022-7&lt;/_isbn&gt;&lt;_modified&gt;60465124&lt;/_modified&gt;&lt;_place_published&gt;北京&lt;/_place_published&gt;&lt;_publisher&gt;中国统计出版社&lt;/_publisher&gt;&lt;_translated_author&gt;Guo, Jiatongjijunengyuantongjisi&lt;/_translated_author&gt;&lt;/Details&gt;&lt;Extra&gt;&lt;DBUID&gt;{0DA6E8B8-3A61-49AD-9027-1BB1B3F94C4B}&lt;/DBUID&gt;&lt;/Extra&gt;&lt;/Item&gt;&lt;/References&gt;&lt;/Group&gt;&lt;/Citation&gt;_x000a_"/>
    <w:docVar w:name="NE.Ref{1566A83B-B23F-4C7D-8304-AF5845D659AE}" w:val=" ADDIN NE.Ref.{1566A83B-B23F-4C7D-8304-AF5845D659AE}&lt;Citation&gt;&lt;Group&gt;&lt;References&gt;&lt;Item&gt;&lt;ID&gt;1&lt;/ID&gt;&lt;UID&gt;{6B18977D-9777-462E-95F6-D25F3A60E833}&lt;/UID&gt;&lt;Title&gt;“十二五”重点区域大气污染联防联控VOC排放清单和治理技术手册&lt;/Title&gt;&lt;Template&gt;Standard&lt;/Template&gt;&lt;Star&gt;0&lt;/Star&gt;&lt;Tag&gt;0&lt;/Tag&gt;&lt;Author&gt;环境保护部&lt;/Author&gt;&lt;Year&gt;2010&lt;/Year&gt;&lt;Details&gt;&lt;_accessed&gt;60463742&lt;/_accessed&gt;&lt;_created&gt;60463628&lt;/_created&gt;&lt;_modified&gt;60567113&lt;/_modified&gt;&lt;_translated_author&gt;Huan, Jingbaohubu&lt;/_translated_author&gt;&lt;/Details&gt;&lt;Extra&gt;&lt;DBUID&gt;{0DA6E8B8-3A61-49AD-9027-1BB1B3F94C4B}&lt;/DBUID&gt;&lt;/Extra&gt;&lt;/Item&gt;&lt;/References&gt;&lt;/Group&gt;&lt;/Citation&gt;_x000a_"/>
    <w:docVar w:name="NE.Ref{15807E13-B227-4741-9BD9-73F9938E3C99}" w:val=" ADDIN NE.Ref.{15807E13-B227-4741-9BD9-73F9938E3C99}&lt;Citation&gt;&lt;Group&gt;&lt;References&gt;&lt;Item&gt;&lt;ID&gt;93&lt;/ID&gt;&lt;UID&gt;{B9F0479C-8987-454F-B32B-ADE571D4044D}&lt;/UID&gt;&lt;Title&gt;道路机动车大气污染物排放清单编制技术指南（试行）&lt;/Title&gt;&lt;Template&gt;Standard&lt;/Template&gt;&lt;Star&gt;0&lt;/Star&gt;&lt;Tag&gt;0&lt;/Tag&gt;&lt;Author&gt;环境保护部&lt;/Author&gt;&lt;Year&gt;2014&lt;/Year&gt;&lt;Details&gt;&lt;_accessed&gt;60502478&lt;/_accessed&gt;&lt;_created&gt;60463628&lt;/_created&gt;&lt;_modified&gt;60505414&lt;/_modified&gt;&lt;_translated_author&gt;Huan, Jingbaohubu&lt;/_translated_author&gt;&lt;/Details&gt;&lt;Extra&gt;&lt;DBUID&gt;{0DA6E8B8-3A61-49AD-9027-1BB1B3F94C4B}&lt;/DBUID&gt;&lt;/Extra&gt;&lt;/Item&gt;&lt;/References&gt;&lt;/Group&gt;&lt;Group&gt;&lt;References&gt;&lt;Item&gt;&lt;ID&gt;92&lt;/ID&gt;&lt;UID&gt;{37CC8A84-6A3B-4C75-9EC5-8E2798FE4A36}&lt;/UID&gt;&lt;Title&gt;珠江三角洲高时空分辨率机动车污染排放清单开发及控制对策研究&lt;/Title&gt;&lt;Template&gt;Thesis&lt;/Template&gt;&lt;Star&gt;0&lt;/Star&gt;&lt;Tag&gt;0&lt;/Tag&gt;&lt;Author&gt;车汶蔚&lt;/Author&gt;&lt;Year&gt;2011&lt;/Year&gt;&lt;Details&gt;&lt;_created&gt;60502475&lt;/_created&gt;&lt;_modified&gt;60502478&lt;/_modified&gt;&lt;_place_published&gt;广州_x000d__x000a_&lt;/_place_published&gt;&lt;_publisher&gt;华南理工大学&lt;/_publisher&gt;&lt;_volume&gt;硕士&lt;/_volume&gt;&lt;_translated_author&gt;Che, Wenyu&lt;/_translated_author&gt;&lt;/Details&gt;&lt;Extra&gt;&lt;DBUID&gt;{0DA6E8B8-3A61-49AD-9027-1BB1B3F94C4B}&lt;/DBUID&gt;&lt;/Extra&gt;&lt;/Item&gt;&lt;/References&gt;&lt;/Group&gt;&lt;/Citation&gt;_x000a_"/>
    <w:docVar w:name="NE.Ref{18791DB5-05AE-48A0-B406-70DFC792476C}" w:val=" ADDIN NE.Ref.{18791DB5-05AE-48A0-B406-70DFC792476C}&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197A3064-5B2E-4C90-8319-DEFB5256F08F}" w:val=" ADDIN NE.Ref.{197A3064-5B2E-4C90-8319-DEFB5256F08F}&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1A48A0C1-A2F0-4C23-A73F-0BEAB127DBD0}" w:val=" ADDIN NE.Ref.{1A48A0C1-A2F0-4C23-A73F-0BEAB127DBD0}&lt;Citation&gt;&lt;Group&gt;&lt;References&gt;&lt;Item&gt;&lt;ID&gt;14&lt;/ID&gt;&lt;UID&gt;{2CFCAC0C-5B70-4C37-A07D-CE16B81AC781}&lt;/UID&gt;&lt;Title&gt;北京市加油站油气回收治理的减排贡献及发展趋势&lt;/Title&gt;&lt;Template&gt;Web Page&lt;/Template&gt;&lt;Star&gt;0&lt;/Star&gt;&lt;Tag&gt;0&lt;/Tag&gt;&lt;Author&gt;吴锋棒; 崔凌; 张卫华; 单晓雯&lt;/Author&gt;&lt;Year&gt;2010&lt;/Year&gt;&lt;Details&gt;&lt;_accessed&gt;60463684&lt;/_accessed&gt;&lt;_author_aff&gt;中国石化安全工程研究院; 中国石化北京石油分公司&lt;/_author_aff&gt;&lt;_cate&gt;TE85&lt;/_cate&gt;&lt;_cited_count&gt;7&lt;/_cited_count&gt;&lt;_created&gt;60463629&lt;/_created&gt;&lt;_issue&gt;09&lt;/_issue&gt;&lt;_journal&gt;安全、健康和环境&lt;/_journal&gt;&lt;_keywords&gt;VOC; 排放源; 排放因子; 车载油气回收系统&lt;/_keywords&gt;&lt;_modified&gt;60935996&lt;/_modified&gt;&lt;_ref_count&gt;2&lt;/_ref_count&gt;&lt;_translated_author&gt;Wu, Fengbang; Cui, Ling; Zhang, Weihua; Shan, Xiaowen&lt;/_translated_author&gt;&lt;_url&gt;http://www.cnki.net/KCMS/detail/detail.aspx?filename=safe201009013&amp;amp;dbcode=CJFQ&amp;amp;dbname=CJFD2010&lt;/_url&gt;&lt;/Details&gt;&lt;Extra&gt;&lt;DBUID&gt;{0DA6E8B8-3A61-49AD-9027-1BB1B3F94C4B}&lt;/DBUID&gt;&lt;/Extra&gt;&lt;/Item&gt;&lt;/References&gt;&lt;/Group&gt;&lt;/Citation&gt;_x000a_"/>
    <w:docVar w:name="NE.Ref{1B31E9C3-90A6-4277-8EC7-FEEAEC5EE436}" w:val=" ADDIN NE.Ref.{1B31E9C3-90A6-4277-8EC7-FEEAEC5EE436}&lt;Citation&gt;&lt;Group&gt;&lt;References&gt;&lt;Item&gt;&lt;ID&gt;9&lt;/ID&gt;&lt;UID&gt;{9E324EA5-3AF7-4ECE-B023-DAF922E68099}&lt;/UID&gt;&lt;Title&gt;天津市大气污染源排放清单的建立&lt;/Title&gt;&lt;Template&gt;Journal Article&lt;/Template&gt;&lt;Star&gt;0&lt;/Star&gt;&lt;Tag&gt;0&lt;/Tag&gt;&lt;Author&gt;赵斌; 马建中&lt;/Author&gt;&lt;Year&gt;2008&lt;/Year&gt;&lt;Details&gt;&lt;_accessed&gt;60464686&lt;/_accessed&gt;&lt;_author_adr&gt;中国气象科学研究院,北京100081&lt;/_author_adr&gt;&lt;_created&gt;60463628&lt;/_created&gt;&lt;_db_provider&gt;重庆维普&lt;/_db_provider&gt;&lt;_isbn&gt;0253-2468&lt;/_isbn&gt;&lt;_issue&gt;2&lt;/_issue&gt;&lt;_journal&gt;环境科学学报&lt;/_journal&gt;&lt;_keywords&gt;排放源清单; 排放因子; 空气污染; 天津; emission inventory; emission factor; air pollution; Tianjin&lt;/_keywords&gt;&lt;_language&gt;Chinese&lt;/_language&gt;&lt;_modified&gt;60613150&lt;/_modified&gt;&lt;_pages&gt;368-375&lt;/_pages&gt;&lt;_translated_author&gt;ZHAO, Bin; MA, Jianzhong Chinese Academy Of; Beijing&lt;/_translated_author&gt;&lt;_translated_title&gt;Development of an air pollutant emission inventory for Tianjin&lt;/_translated_title&gt;&lt;_volume&gt;28&lt;/_volume&gt;&lt;_collection_scope&gt;中国科技核心期刊;中文核心期刊;CSCD;&lt;/_collection_scope&gt;&lt;/Details&gt;&lt;Extra&gt;&lt;DBUID&gt;{0DA6E8B8-3A61-49AD-9027-1BB1B3F94C4B}&lt;/DBUID&gt;&lt;/Extra&gt;&lt;/Item&gt;&lt;/References&gt;&lt;/Group&gt;&lt;/Citation&gt;_x000a_"/>
    <w:docVar w:name="NE.Ref{1B407FE1-3C14-4680-9AB5-949708C76B36}" w:val=" ADDIN NE.Ref.{1B407FE1-3C14-4680-9AB5-949708C76B36}&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1B58D35A-9EC0-46B4-80C9-54DD7CEA5294}" w:val=" ADDIN NE.Ref.{1B58D35A-9EC0-46B4-80C9-54DD7CEA5294}&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1C17D521-DC44-4BC3-AF2B-7A1AD608108D}" w:val=" ADDIN NE.Ref.{1C17D521-DC44-4BC3-AF2B-7A1AD608108D}&lt;Citation&gt;&lt;Group&gt;&lt;References&gt;&lt;Item&gt;&lt;ID&gt;79&lt;/ID&gt;&lt;UID&gt;{6E5C1FE1-EC5D-4D16-B355-A85EAB76B699}&lt;/UID&gt;&lt;Title&gt;www.sina.com.cn&lt;/Title&gt;&lt;Template&gt;Web Page&lt;/Template&gt;&lt;Star&gt;0&lt;/Star&gt;&lt;Tag&gt;0&lt;/Tag&gt;&lt;Author&gt;新浪网&lt;/Author&gt;&lt;Year&gt;2013&lt;/Year&gt;&lt;Details&gt;&lt;_accessed&gt;60502184&lt;/_accessed&gt;&lt;_created&gt;60501145&lt;/_created&gt;&lt;_modified&gt;60502146&lt;/_modified&gt;&lt;_translated_author&gt;Xin, Langwang&lt;/_translated_author&gt;&lt;/Details&gt;&lt;Extra&gt;&lt;DBUID&gt;{0DA6E8B8-3A61-49AD-9027-1BB1B3F94C4B}&lt;/DBUID&gt;&lt;/Extra&gt;&lt;/Item&gt;&lt;/References&gt;&lt;/Group&gt;&lt;Group&gt;&lt;References&gt;&lt;Item&gt;&lt;ID&gt;81&lt;/ID&gt;&lt;UID&gt;{3391FD6A-8F5B-4ABB-BA82-45F5B9BEF324}&lt;/UID&gt;&lt;Title&gt;http://www.chinairn.com&lt;/Title&gt;&lt;Template&gt;Web Page&lt;/Template&gt;&lt;Star&gt;0&lt;/Star&gt;&lt;Tag&gt;0&lt;/Tag&gt;&lt;Author&gt;中国行业研究网&lt;/Author&gt;&lt;Year&gt;2012&lt;/Year&gt;&lt;Details&gt;&lt;_accessed&gt;60502163&lt;/_accessed&gt;&lt;_created&gt;60501156&lt;/_created&gt;&lt;_modified&gt;60502159&lt;/_modified&gt;&lt;_url&gt;http://www.chinairn.com&lt;/_url&gt;&lt;_translated_author&gt;Zhong, Guoxingyeyanjiuwang&lt;/_translated_author&gt;&lt;/Details&gt;&lt;Extra&gt;&lt;DBUID&gt;{0DA6E8B8-3A61-49AD-9027-1BB1B3F94C4B}&lt;/DBUID&gt;&lt;/Extra&gt;&lt;/Item&gt;&lt;/References&gt;&lt;/Group&gt;&lt;Group&gt;&lt;References&gt;&lt;Item&gt;&lt;ID&gt;83&lt;/ID&gt;&lt;UID&gt;{07874015-591D-4691-9B2B-23F3CC715516}&lt;/UID&gt;&lt;Title&gt;www.askci.com&lt;/Title&gt;&lt;Template&gt;Web Page&lt;/Template&gt;&lt;Star&gt;0&lt;/Star&gt;&lt;Tag&gt;0&lt;/Tag&gt;&lt;Author&gt;中商情报网&lt;/Author&gt;&lt;Year&gt;2013&lt;/Year&gt;&lt;Details&gt;&lt;_accessed&gt;60502136&lt;/_accessed&gt;&lt;_created&gt;60501159&lt;/_created&gt;&lt;_modified&gt;60502159&lt;/_modified&gt;&lt;_url&gt;www.askci.com&lt;/_url&gt;&lt;_translated_author&gt;Zhong, Shangqingbaowang&lt;/_translated_author&gt;&lt;/Details&gt;&lt;Extra&gt;&lt;DBUID&gt;{0DA6E8B8-3A61-49AD-9027-1BB1B3F94C4B}&lt;/DBUID&gt;&lt;/Extra&gt;&lt;/Item&gt;&lt;/References&gt;&lt;/Group&gt;&lt;Group&gt;&lt;References&gt;&lt;Item&gt;&lt;ID&gt;84&lt;/ID&gt;&lt;UID&gt;{4D7F9A4C-2E27-4456-B574-12FAD09E9D49}&lt;/UID&gt;&lt;Title&gt;www.admaimai.com&lt;/Title&gt;&lt;Template&gt;Web Page&lt;/Template&gt;&lt;Star&gt;0&lt;/Star&gt;&lt;Tag&gt;0&lt;/Tag&gt;&lt;Author&gt;广告买卖网&lt;/Author&gt;&lt;Year&gt;2013&lt;/Year&gt;&lt;Details&gt;&lt;_accessed&gt;60502145&lt;/_accessed&gt;&lt;_created&gt;60501164&lt;/_created&gt;&lt;_modified&gt;60502145&lt;/_modified&gt;&lt;_translated_author&gt;Guang, Gaomaimaiwang&lt;/_translated_author&gt;&lt;/Details&gt;&lt;Extra&gt;&lt;DBUID&gt;{0DA6E8B8-3A61-49AD-9027-1BB1B3F94C4B}&lt;/DBUID&gt;&lt;/Extra&gt;&lt;/Item&gt;&lt;/References&gt;&lt;/Group&gt;&lt;Group&gt;&lt;References&gt;&lt;Item&gt;&lt;ID&gt;85&lt;/ID&gt;&lt;UID&gt;{9E1205FB-2893-4BF8-B5B6-35383958DD47}&lt;/UID&gt;&lt;Title&gt;http://www.chinairr.org&lt;/Title&gt;&lt;Template&gt;Web Page&lt;/Template&gt;&lt;Star&gt;0&lt;/Star&gt;&lt;Tag&gt;0&lt;/Tag&gt;&lt;Author&gt;产业研究报告网&lt;/Author&gt;&lt;Year&gt;2013&lt;/Year&gt;&lt;Details&gt;&lt;_accessed&gt;60502151&lt;/_accessed&gt;&lt;_created&gt;60501168&lt;/_created&gt;&lt;_modified&gt;60502151&lt;/_modified&gt;&lt;_url&gt;http://www.chinairr.org&lt;/_url&gt;&lt;_translated_author&gt;Chan, Yeyanjiubaogaowang&lt;/_translated_author&gt;&lt;/Details&gt;&lt;Extra&gt;&lt;DBUID&gt;{0DA6E8B8-3A61-49AD-9027-1BB1B3F94C4B}&lt;/DBUID&gt;&lt;/Extra&gt;&lt;/Item&gt;&lt;/References&gt;&lt;/Group&gt;&lt;Group&gt;&lt;References&gt;&lt;Item&gt;&lt;ID&gt;89&lt;/ID&gt;&lt;UID&gt;{3B75DA0B-71B7-416B-B6F7-A5D4C38E0271}&lt;/UID&gt;&lt;Title&gt;www.qianzhan.com&lt;/Title&gt;&lt;Template&gt;Web Page&lt;/Template&gt;&lt;Star&gt;0&lt;/Star&gt;&lt;Tag&gt;0&lt;/Tag&gt;&lt;Author&gt;前瞻网&lt;/Author&gt;&lt;Year&gt;2013&lt;/Year&gt;&lt;Details&gt;&lt;_accessed&gt;60502185&lt;/_accessed&gt;&lt;_created&gt;60501145&lt;/_created&gt;&lt;_modified&gt;60502185&lt;/_modified&gt;&lt;_translated_author&gt;Qian, Zhanwang&lt;/_translated_author&gt;&lt;/Details&gt;&lt;Extra&gt;&lt;DBUID&gt;{0DA6E8B8-3A61-49AD-9027-1BB1B3F94C4B}&lt;/DBUID&gt;&lt;/Extra&gt;&lt;/Item&gt;&lt;/References&gt;&lt;/Group&gt;&lt;/Citation&gt;_x000a_"/>
    <w:docVar w:name="NE.Ref{1C1E65DE-3217-42EE-B61D-5D3A20063346}" w:val=" ADDIN NE.Ref.{1C1E65DE-3217-42EE-B61D-5D3A20063346}&lt;Citation&gt;&lt;Group&gt;&lt;References&gt;&lt;Item&gt;&lt;ID&gt;3&lt;/ID&gt;&lt;UID&gt;{415C0B6A-71B5-4651-B803-42EB584B8276}&lt;/UID&gt;&lt;Title&gt;大气可吸入颗粒物一次源排放清单编制技术指南（试行）&lt;/Title&gt;&lt;Template&gt;Standard&lt;/Template&gt;&lt;Star&gt;0&lt;/Star&gt;&lt;Tag&gt;0&lt;/Tag&gt;&lt;Author&gt;环境保护部&lt;/Author&gt;&lt;Year&gt;2014&lt;/Year&gt;&lt;Details&gt;&lt;_accessed&gt;60544403&lt;/_accessed&gt;&lt;_created&gt;60463628&lt;/_created&gt;&lt;_modified&gt;60464816&lt;/_modified&gt;&lt;_translated_author&gt;Huan, Jingbaohubu&lt;/_translated_author&gt;&lt;/Details&gt;&lt;Extra&gt;&lt;DBUID&gt;{0DA6E8B8-3A61-49AD-9027-1BB1B3F94C4B}&lt;/DBUID&gt;&lt;/Extra&gt;&lt;/Item&gt;&lt;/References&gt;&lt;/Group&gt;&lt;Group&gt;&lt;References&gt;&lt;Item&gt;&lt;ID&gt;4&lt;/ID&gt;&lt;UID&gt;{E57F084E-0472-493F-A584-41A59FE7A954}&lt;/UID&gt;&lt;Title&gt;大气细颗粒物一次源排放清单编制技术指南（试行）&lt;/Title&gt;&lt;Template&gt;Standard&lt;/Template&gt;&lt;Star&gt;0&lt;/Star&gt;&lt;Tag&gt;0&lt;/Tag&gt;&lt;Author&gt;环境保护部&lt;/Author&gt;&lt;Year&gt;2014&lt;/Year&gt;&lt;Details&gt;&lt;_created&gt;60463628&lt;/_created&gt;&lt;_modified&gt;60465005&lt;/_modified&gt;&lt;_translated_author&gt;Huan, Jingbaohubu&lt;/_translated_author&gt;&lt;/Details&gt;&lt;Extra&gt;&lt;DBUID&gt;{0DA6E8B8-3A61-49AD-9027-1BB1B3F94C4B}&lt;/DBUID&gt;&lt;/Extra&gt;&lt;/Item&gt;&lt;/References&gt;&lt;/Group&gt;&lt;/Citation&gt;_x000a_"/>
    <w:docVar w:name="NE.Ref{1C99CA0D-BA77-48B0-871F-E00E75CEEC80}" w:val=" ADDIN NE.Ref.{1C99CA0D-BA77-48B0-871F-E00E75CEEC80}&lt;Citation&gt;&lt;Group&gt;&lt;References&gt;&lt;Item&gt;&lt;ID&gt;98&lt;/ID&gt;&lt;UID&gt;{14696FE3-5437-4045-A687-0E76CCC1DD5F}&lt;/UID&gt;&lt;Title&gt;“十二五”主要污染物总量减排核算细则&lt;/Title&gt;&lt;Template&gt;Generic&lt;/Template&gt;&lt;Star&gt;0&lt;/Star&gt;&lt;Tag&gt;0&lt;/Tag&gt;&lt;Author&gt;广东省环境保护厅&lt;/Author&gt;&lt;Year&gt;2012&lt;/Year&gt;&lt;Details&gt;&lt;_accessed&gt;60514044&lt;/_accessed&gt;&lt;_created&gt;60514044&lt;/_created&gt;&lt;_modified&gt;60514044&lt;/_modified&gt;&lt;_place_published&gt;广州&lt;/_place_published&gt;&lt;_translated_author&gt;Guang, Dongshenghuanjingbaohuting&lt;/_translated_author&gt;&lt;/Details&gt;&lt;Extra&gt;&lt;DBUID&gt;{0DA6E8B8-3A61-49AD-9027-1BB1B3F94C4B}&lt;/DBUID&gt;&lt;/Extra&gt;&lt;/Item&gt;&lt;/References&gt;&lt;/Group&gt;&lt;/Citation&gt;_x000a_"/>
    <w:docVar w:name="NE.Ref{1CBC438A-657F-46F1-A7FB-F26E671617DF}" w:val=" ADDIN NE.Ref.{1CBC438A-657F-46F1-A7FB-F26E671617DF}&lt;Citation&gt;&lt;Group&gt;&lt;References&gt;&lt;Item&gt;&lt;ID&gt;364&lt;/ID&gt;&lt;UID&gt;{6FD5B18F-0925-41BC-8672-EB4E43E086E5}&lt;/UID&gt;&lt;Title&gt;大气可吸入颗粒物一次源排放清单编制技术指南（试行）&lt;/Title&gt;&lt;Template&gt;Standard&lt;/Template&gt;&lt;Star&gt;0&lt;/Star&gt;&lt;Tag&gt;0&lt;/Tag&gt;&lt;Author&gt;环境保护部&lt;/Author&gt;&lt;Year&gt;2014&lt;/Year&gt;&lt;Details&gt;&lt;_accessed&gt;60463507&lt;/_accessed&gt;&lt;_created&gt;60463507&lt;/_created&gt;&lt;_modified&gt;60463507&lt;/_modified&gt;&lt;_translated_author&gt;Huan, Jingbaohubu&lt;/_translated_author&gt;&lt;/Details&gt;&lt;Extra&gt;&lt;DBUID&gt;{0C8895AB-960A-4B76-A0DA-38D8A76C4C8B}&lt;/DBUID&gt;&lt;/Extra&gt;&lt;/Item&gt;&lt;/References&gt;&lt;/Group&gt;&lt;Group&gt;&lt;References&gt;&lt;Item&gt;&lt;ID&gt;363&lt;/ID&gt;&lt;UID&gt;{65E16E74-F240-4FB8-8662-7B4BE7323502}&lt;/UID&gt;&lt;Title&gt;大气细颗粒物(PM2.5)源排放清单编制技术指南（试行）&lt;/Title&gt;&lt;Template&gt;Standard&lt;/Template&gt;&lt;Star&gt;0&lt;/Star&gt;&lt;Tag&gt;0&lt;/Tag&gt;&lt;Author&gt;环境保护部&lt;/Author&gt;&lt;Year&gt;2014&lt;/Year&gt;&lt;Details&gt;&lt;_accessed&gt;60463499&lt;/_accessed&gt;&lt;_created&gt;60463498&lt;/_created&gt;&lt;_modified&gt;60463499&lt;/_modified&gt;&lt;_translated_author&gt;Huan, Jingbaohubu&lt;/_translated_author&gt;&lt;/Details&gt;&lt;Extra&gt;&lt;DBUID&gt;{0C8895AB-960A-4B76-A0DA-38D8A76C4C8B}&lt;/DBUID&gt;&lt;/Extra&gt;&lt;/Item&gt;&lt;/References&gt;&lt;/Group&gt;&lt;/Citation&gt;_x000a_"/>
    <w:docVar w:name="NE.Ref{202726F7-398C-4A34-B506-F3FB242B5915}" w:val=" ADDIN NE.Ref.{202726F7-398C-4A34-B506-F3FB242B5915}&lt;Citation&gt;&lt;Group&gt;&lt;References&gt;&lt;Item&gt;&lt;ID&gt;1&lt;/ID&gt;&lt;UID&gt;{6B18977D-9777-462E-95F6-D25F3A60E833}&lt;/UID&gt;&lt;Title&gt;“十二五”重点区域大气污染联防联控VOCs排放清单和治理技术手册&lt;/Title&gt;&lt;Template&gt;Standard&lt;/Template&gt;&lt;Star&gt;0&lt;/Star&gt;&lt;Tag&gt;0&lt;/Tag&gt;&lt;Author&gt;环境保护部&lt;/Author&gt;&lt;Year&gt;2010&lt;/Year&gt;&lt;Details&gt;&lt;_accessed&gt;60463742&lt;/_accessed&gt;&lt;_created&gt;60463628&lt;/_created&gt;&lt;_modified&gt;60464815&lt;/_modified&gt;&lt;_translated_author&gt;Huan, Jingbaohubu&lt;/_translated_author&gt;&lt;/Details&gt;&lt;Extra&gt;&lt;DBUID&gt;{0DA6E8B8-3A61-49AD-9027-1BB1B3F94C4B}&lt;/DBUID&gt;&lt;/Extra&gt;&lt;/Item&gt;&lt;/References&gt;&lt;/Group&gt;&lt;/Citation&gt;_x000a_"/>
    <w:docVar w:name="NE.Ref{207DBFDC-A5FD-454B-BFF3-D8723ECB9095}" w:val=" ADDIN NE.Ref.{207DBFDC-A5FD-454B-BFF3-D8723ECB9095}&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20AED9FE-0621-45CB-89EA-1058AFF7B5BC}" w:val=" ADDIN NE.Ref.{20AED9FE-0621-45CB-89EA-1058AFF7B5BC}&lt;Citation&gt;&lt;Group&gt;&lt;References&gt;&lt;Item&gt;&lt;ID&gt;134&lt;/ID&gt;&lt;UID&gt;{DF74DC0F-A141-442B-90A7-E8D76A560C78}&lt;/UID&gt;&lt;Title&gt;潮州统计年鉴2015&lt;/Title&gt;&lt;Template&gt;Book&lt;/Template&gt;&lt;Star&gt;0&lt;/Star&gt;&lt;Tag&gt;0&lt;/Tag&gt;&lt;Author&gt;潮州市统计局; 国家统计局潮州调查队&lt;/Author&gt;&lt;Year&gt;2015&lt;/Year&gt;&lt;Details&gt;&lt;_accessed&gt;61293121&lt;/_accessed&gt;&lt;_created&gt;61293121&lt;/_created&gt;&lt;_modified&gt;61293121&lt;/_modified&gt;&lt;_place_published&gt;潮州&lt;/_place_published&gt;&lt;_translated_author&gt;Chao, Zhoushitongjiju;Guo, Jiatongjijuchaozhoudiaochadui&lt;/_translated_author&gt;&lt;/Details&gt;&lt;Extra&gt;&lt;DBUID&gt;{0DA6E8B8-3A61-49AD-9027-1BB1B3F94C4B}&lt;/DBUID&gt;&lt;/Extra&gt;&lt;/Item&gt;&lt;/References&gt;&lt;/Group&gt;&lt;/Citation&gt;_x000a_"/>
    <w:docVar w:name="NE.Ref{22324DCD-C102-4C57-B532-62A44B180B4F}" w:val=" ADDIN NE.Ref.{22324DCD-C102-4C57-B532-62A44B180B4F}&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22965165-4205-4FEA-BE83-53A969F6BB2F}" w:val=" ADDIN NE.Ref.{22965165-4205-4FEA-BE83-53A969F6BB2F}&lt;Citation&gt;&lt;Group&gt;&lt;References&gt;&lt;Item&gt;&lt;ID&gt;24&lt;/ID&gt;&lt;UID&gt;{712E144D-4141-4758-B65D-F59FB51BBB79}&lt;/UID&gt;&lt;Title&gt;Emission Inventory Guidebook 2013, 1.A.3.c Railways, Table 3-2&lt;/Title&gt;&lt;Template&gt;Standard&lt;/Template&gt;&lt;Star&gt;0&lt;/Star&gt;&lt;Tag&gt;0&lt;/Tag&gt;&lt;Author&gt;EEA; EMEP&lt;/Author&gt;&lt;Year&gt;2013&lt;/Year&gt;&lt;Details&gt;&lt;_accessed&gt;60463728&lt;/_accessed&gt;&lt;_created&gt;60463725&lt;/_created&gt;&lt;_modified&gt;60464816&lt;/_modified&gt;&lt;/Details&gt;&lt;Extra&gt;&lt;DBUID&gt;{0DA6E8B8-3A61-49AD-9027-1BB1B3F94C4B}&lt;/DBUID&gt;&lt;/Extra&gt;&lt;/Item&gt;&lt;/References&gt;&lt;/Group&gt;&lt;/Citation&gt;_x000a_"/>
    <w:docVar w:name="NE.Ref{23123F28-ACD4-4B6B-AD0E-96F88DC97BEE}" w:val=" ADDIN NE.Ref.{23123F28-ACD4-4B6B-AD0E-96F88DC97BEE}&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23CF59D3-5278-4A8A-B50C-36BDFD569979}" w:val=" ADDIN NE.Ref.{23CF59D3-5278-4A8A-B50C-36BDFD569979}&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23D78F4B-24D5-4A58-BE66-21DC87C17BEC}" w:val=" ADDIN NE.Ref.{23D78F4B-24D5-4A58-BE66-21DC87C17BEC}&lt;Citation&gt;&lt;Group&gt;&lt;References&gt;&lt;Item&gt;&lt;ID&gt;67&lt;/ID&gt;&lt;UID&gt;{5325716F-ACDA-46BD-8F6F-C9E24CCAAB84}&lt;/UID&gt;&lt;Title&gt;珠江三角洲光化学烟雾污染预报预警系统研究&lt;/Title&gt;&lt;Template&gt;Report&lt;/Template&gt;&lt;Star&gt;0&lt;/Star&gt;&lt;Tag&gt;0&lt;/Tag&gt;&lt;Author&gt;中国气象局广州热带海洋气象研究所&lt;/Author&gt;&lt;Year&gt;2009&lt;/Year&gt;&lt;Details&gt;&lt;_accessed&gt;60464805&lt;/_accessed&gt;&lt;_created&gt;60464805&lt;/_created&gt;&lt;_modified&gt;60464805&lt;/_modified&gt;&lt;_place_published&gt;广州&lt;/_place_published&gt;&lt;_translated_author&gt;Zhong, Guoqixiangjuguangzhouredaihaiyangqixiangyanjiusuo&lt;/_translated_author&gt;&lt;/Details&gt;&lt;Extra&gt;&lt;DBUID&gt;{0DA6E8B8-3A61-49AD-9027-1BB1B3F94C4B}&lt;/DBUID&gt;&lt;/Extra&gt;&lt;/Item&gt;&lt;/References&gt;&lt;/Group&gt;&lt;/Citation&gt;_x000a_"/>
    <w:docVar w:name="NE.Ref{23FECE34-36AB-4333-92F3-45B728F5358E}" w:val=" ADDIN NE.Ref.{23FECE34-36AB-4333-92F3-45B728F5358E}&lt;Citation&gt;&lt;Group&gt;&lt;References&gt;&lt;Item&gt;&lt;ID&gt;7&lt;/ID&gt;&lt;UID&gt;{BD9BF6D2-F5BD-4E52-A587-6BB13834F2D1}&lt;/UID&gt;&lt;Title&gt;空气污染物排放量推估手册&lt;/Title&gt;&lt;Template&gt;Standard&lt;/Template&gt;&lt;Star&gt;0&lt;/Star&gt;&lt;Tag&gt;0&lt;/Tag&gt;&lt;Author&gt;台湾环保署&lt;/Author&gt;&lt;Year&gt;2006&lt;/Year&gt;&lt;Details&gt;&lt;_created&gt;60463628&lt;/_created&gt;&lt;_modified&gt;60464816&lt;/_modified&gt;&lt;_translated_author&gt;Tai, Wanhuanbaoshu&lt;/_translated_author&gt;&lt;/Details&gt;&lt;Extra&gt;&lt;DBUID&gt;{0DA6E8B8-3A61-49AD-9027-1BB1B3F94C4B}&lt;/DBUID&gt;&lt;/Extra&gt;&lt;/Item&gt;&lt;/References&gt;&lt;/Group&gt;&lt;/Citation&gt;_x000a_"/>
    <w:docVar w:name="NE.Ref{25244729-C513-4290-9B02-6D37A167727D}" w:val=" ADDIN NE.Ref.{25244729-C513-4290-9B02-6D37A167727D}&lt;Citation&gt;&lt;Group&gt;&lt;References&gt;&lt;Item&gt;&lt;ID&gt;9&lt;/ID&gt;&lt;UID&gt;{9E324EA5-3AF7-4ECE-B023-DAF922E68099}&lt;/UID&gt;&lt;Title&gt;天津市大气污染源排放清单的建立&lt;/Title&gt;&lt;Template&gt;Journal Article&lt;/Template&gt;&lt;Star&gt;0&lt;/Star&gt;&lt;Tag&gt;0&lt;/Tag&gt;&lt;Author&gt;赵斌; 马建中&lt;/Author&gt;&lt;Year&gt;2008&lt;/Year&gt;&lt;Details&gt;&lt;_accessed&gt;60464686&lt;/_accessed&gt;&lt;_author_adr&gt;中国气象科学研究院,北京100081&lt;/_author_adr&gt;&lt;_created&gt;60463628&lt;/_created&gt;&lt;_db_provider&gt;重庆维普&lt;/_db_provider&gt;&lt;_isbn&gt;0253-2468&lt;/_isbn&gt;&lt;_issue&gt;2&lt;/_issue&gt;&lt;_journal&gt;环境科学学报&lt;/_journal&gt;&lt;_keywords&gt;排放源清单; 排放因子; 空气污染; 天津; emission inventory; emission factor; air pollution; Tianjin&lt;/_keywords&gt;&lt;_language&gt;Chinese&lt;/_language&gt;&lt;_modified&gt;60613150&lt;/_modified&gt;&lt;_pages&gt;368-375&lt;/_pages&gt;&lt;_translated_author&gt;ZHAO, Bin; MA, Jianzhong Chinese Academy Of; Beijing&lt;/_translated_author&gt;&lt;_translated_title&gt;Development of an air pollutant emission inventory for Tianjin&lt;/_translated_title&gt;&lt;_volume&gt;28&lt;/_volume&gt;&lt;_collection_scope&gt;中国科技核心期刊;中文核心期刊;CSCD;&lt;/_collection_scope&gt;&lt;/Details&gt;&lt;Extra&gt;&lt;DBUID&gt;{0DA6E8B8-3A61-49AD-9027-1BB1B3F94C4B}&lt;/DBUID&gt;&lt;/Extra&gt;&lt;/Item&gt;&lt;/References&gt;&lt;/Group&gt;&lt;/Citation&gt;_x000a_"/>
    <w:docVar w:name="NE.Ref{2532CEFE-544E-462C-B9CE-B9DAFA18451B}" w:val=" ADDIN NE.Ref.{2532CEFE-544E-462C-B9CE-B9DAFA18451B}&lt;Citation&gt;&lt;Group&gt;&lt;References&gt;&lt;Item&gt;&lt;ID&gt;7&lt;/ID&gt;&lt;UID&gt;{BD9BF6D2-F5BD-4E52-A587-6BB13834F2D1}&lt;/UID&gt;&lt;Title&gt;空气污染物排放量推估手册&lt;/Title&gt;&lt;Template&gt;Standard&lt;/Template&gt;&lt;Star&gt;0&lt;/Star&gt;&lt;Tag&gt;0&lt;/Tag&gt;&lt;Author&gt;台湾环保署&lt;/Author&gt;&lt;Year&gt;2006&lt;/Year&gt;&lt;Details&gt;&lt;_created&gt;60463628&lt;/_created&gt;&lt;_modified&gt;60464816&lt;/_modified&gt;&lt;_translated_author&gt;Tai, Wanhuanbaoshu&lt;/_translated_author&gt;&lt;/Details&gt;&lt;Extra&gt;&lt;DBUID&gt;{0DA6E8B8-3A61-49AD-9027-1BB1B3F94C4B}&lt;/DBUID&gt;&lt;/Extra&gt;&lt;/Item&gt;&lt;/References&gt;&lt;/Group&gt;&lt;/Citation&gt;_x000a_"/>
    <w:docVar w:name="NE.Ref{254EDD71-7B04-4169-8E55-1156F4E9A979}" w:val=" ADDIN NE.Ref.{254EDD71-7B04-4169-8E55-1156F4E9A979}&lt;Citation&gt;&lt;Group&gt;&lt;References&gt;&lt;Item&gt;&lt;ID&gt;7&lt;/ID&gt;&lt;UID&gt;{BD9BF6D2-F5BD-4E52-A587-6BB13834F2D1}&lt;/UID&gt;&lt;Title&gt;空气污染物排放量推估手册&lt;/Title&gt;&lt;Template&gt;Standard&lt;/Template&gt;&lt;Star&gt;0&lt;/Star&gt;&lt;Tag&gt;0&lt;/Tag&gt;&lt;Author&gt;台湾环保署&lt;/Author&gt;&lt;Year&gt;2006&lt;/Year&gt;&lt;Details&gt;&lt;_created&gt;60463628&lt;/_created&gt;&lt;_modified&gt;60464816&lt;/_modified&gt;&lt;_translated_author&gt;Tai, Wanhuanbaoshu&lt;/_translated_author&gt;&lt;/Details&gt;&lt;Extra&gt;&lt;DBUID&gt;{0DA6E8B8-3A61-49AD-9027-1BB1B3F94C4B}&lt;/DBUID&gt;&lt;/Extra&gt;&lt;/Item&gt;&lt;/References&gt;&lt;/Group&gt;&lt;/Citation&gt;_x000a_"/>
    <w:docVar w:name="NE.Ref{2654EB49-A1FB-4E26-9894-544B6EB2687D}" w:val=" ADDIN NE.Ref.{2654EB49-A1FB-4E26-9894-544B6EB2687D}&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2783D281-2D6B-442A-A31F-66F98BD42422}" w:val=" ADDIN NE.Ref.{2783D281-2D6B-442A-A31F-66F98BD42422}&lt;Citation&gt;&lt;Group&gt;&lt;References&gt;&lt;Item&gt;&lt;ID&gt;9&lt;/ID&gt;&lt;UID&gt;{9E324EA5-3AF7-4ECE-B023-DAF922E68099}&lt;/UID&gt;&lt;Title&gt;天津市大气污染源排放清单的建立&lt;/Title&gt;&lt;Template&gt;Journal Article&lt;/Template&gt;&lt;Star&gt;0&lt;/Star&gt;&lt;Tag&gt;0&lt;/Tag&gt;&lt;Author&gt;赵斌; 马建中&lt;/Author&gt;&lt;Year&gt;2008&lt;/Year&gt;&lt;Details&gt;&lt;_accessed&gt;60464686&lt;/_accessed&gt;&lt;_author_adr&gt;中国气象科学研究院,北京100081&lt;/_author_adr&gt;&lt;_created&gt;60463628&lt;/_created&gt;&lt;_db_provider&gt;重庆维普&lt;/_db_provider&gt;&lt;_isbn&gt;0253-2468&lt;/_isbn&gt;&lt;_issue&gt;2&lt;/_issue&gt;&lt;_journal&gt;环境科学学报&lt;/_journal&gt;&lt;_keywords&gt;排放源清单; 排放因子; 空气污染; 天津; emission inventory; emission factor; air pollution; Tianjin&lt;/_keywords&gt;&lt;_language&gt;Chinese&lt;/_language&gt;&lt;_modified&gt;60613150&lt;/_modified&gt;&lt;_pages&gt;368-375&lt;/_pages&gt;&lt;_translated_author&gt;ZHAO, Bin; MA, Jianzhong Chinese Academy Of; Beijing&lt;/_translated_author&gt;&lt;_translated_title&gt;Development of an air pollutant emission inventory for Tianjin&lt;/_translated_title&gt;&lt;_volume&gt;28&lt;/_volume&gt;&lt;_collection_scope&gt;中国科技核心期刊;中文核心期刊;CSCD;&lt;/_collection_scope&gt;&lt;/Details&gt;&lt;Extra&gt;&lt;DBUID&gt;{0DA6E8B8-3A61-49AD-9027-1BB1B3F94C4B}&lt;/DBUID&gt;&lt;/Extra&gt;&lt;/Item&gt;&lt;/References&gt;&lt;/Group&gt;&lt;/Citation&gt;_x000a_"/>
    <w:docVar w:name="NE.Ref{27F706C3-FFED-4A9F-9B64-BD6C38849656}" w:val=" ADDIN NE.Ref.{27F706C3-FFED-4A9F-9B64-BD6C38849656}&lt;Citation&gt;&lt;Group&gt;&lt;References&gt;&lt;Item&gt;&lt;ID&gt;3&lt;/ID&gt;&lt;UID&gt;{415C0B6A-71B5-4651-B803-42EB584B8276}&lt;/UID&gt;&lt;Title&gt;大气可吸入颗粒物一次源排放清单编制技术指南（试行）&lt;/Title&gt;&lt;Template&gt;Edited Book&lt;/Template&gt;&lt;Star&gt;0&lt;/Star&gt;&lt;Tag&gt;0&lt;/Tag&gt;&lt;Author&gt;环境保护部&lt;/Author&gt;&lt;Year&gt;2014&lt;/Year&gt;&lt;Details&gt;&lt;_created&gt;60463628&lt;/_created&gt;&lt;_modified&gt;60463742&lt;/_modified&gt;&lt;/Details&gt;&lt;Extra&gt;&lt;DBUID&gt;{0DA6E8B8-3A61-49AD-9027-1BB1B3F94C4B}&lt;/DBUID&gt;&lt;/Extra&gt;&lt;/Item&gt;&lt;/References&gt;&lt;/Group&gt;&lt;/Citation&gt;_x000a_"/>
    <w:docVar w:name="NE.Ref{28658700-D777-4390-B521-29CD9458057C}" w:val=" ADDIN NE.Ref.{28658700-D777-4390-B521-29CD9458057C}&lt;Citation&gt;&lt;Group&gt;&lt;References&gt;&lt;Item&gt;&lt;ID&gt;12&lt;/ID&gt;&lt;UID&gt;{F668E36C-93A6-4093-8D4D-CA2D4BF79341}&lt;/UID&gt;&lt;Title&gt;中国生物质燃烧排放SO_2、NO_x量的估算&lt;/Title&gt;&lt;Template&gt;Journal Article&lt;/Template&gt;&lt;Star&gt;0&lt;/Star&gt;&lt;Tag&gt;0&lt;/Tag&gt;&lt;Author&gt;田贺忠; 郝吉明; 陆永琪; 周中平&lt;/Author&gt;&lt;Year&gt;2002&lt;/Year&gt;&lt;Details&gt;&lt;_author_aff&gt;清华大学环境科学与工程系;清华大学环境科学与工程系;清华大学环境科学与工程系;清华大学环境科学与工程系 北京100084_x000d__x000a__x000d__x000a__x000d__x000a__x000d__x000a__x000d__x000a__x000d__x000a__x000d__x000a__x000d__x000a__x000d__x000a_;北京100084_x000d__x000a__x000d__x000a__x000d__x000a__x000d__x000a__x000d__x000a__x000d__x000a__x000d__x000a__x000d__x000a__x000d__x000a_;北京100084_x000d__x000a__x000d__x000a__x000d__x000a__x000d__x000a__x000d__x000a__x000d__x000a__x000d__x000a__x000d__x000a__x000d__x000a_;北京100084&lt;/_author_aff&gt;&lt;_created&gt;60463628&lt;/_created&gt;&lt;_date&gt;2002-03-26&lt;/_date&gt;&lt;_db_provider&gt;CNKI: 期刊&lt;/_db_provider&gt;&lt;_issue&gt;02&lt;/_issue&gt;&lt;_journal&gt;环境科学学报&lt;/_journal&gt;&lt;_keywords&gt;生物质燃料;二氧化硫;氮氧化物;排放清单;中国&lt;/_keywords&gt;&lt;_modified&gt;60463628&lt;/_modified&gt;&lt;_pages&gt;204-208&lt;/_pages&gt;&lt;_url&gt;http://www.cnki.net/KCMS/detail/detail.aspx?FileName=HJXX200202014&amp;amp;DbName=CJFQ2002&lt;/_url&gt;&lt;_translated_author&gt;Tian, Hezhong;Hao, Jiming;Lu, Yongqi;Zhou, Zhongping&lt;/_translated_author&gt;&lt;/Details&gt;&lt;Extra&gt;&lt;DBUID&gt;{0DA6E8B8-3A61-49AD-9027-1BB1B3F94C4B}&lt;/DBUID&gt;&lt;/Extra&gt;&lt;/Item&gt;&lt;/References&gt;&lt;/Group&gt;&lt;/Citation&gt;_x000a_"/>
    <w:docVar w:name="NE.Ref{29606E77-E3AF-450A-A8EE-72BED720E6F6}" w:val=" ADDIN NE.Ref.{29606E77-E3AF-450A-A8EE-72BED720E6F6}&lt;Citation&gt;&lt;Group&gt;&lt;References&gt;&lt;Item&gt;&lt;ID&gt;5&lt;/ID&gt;&lt;UID&gt;{8A149BFB-154D-4002-B24F-A6F8E4764C60}&lt;/UID&gt;&lt;Title&gt;广东省工业源VOC排放系数研究报告&lt;/Title&gt;&lt;Template&gt;Report&lt;/Template&gt;&lt;Star&gt;0&lt;/Star&gt;&lt;Tag&gt;0&lt;/Tag&gt;&lt;Author&gt;广东省环境保护厅&lt;/Author&gt;&lt;Year&gt;2013&lt;/Year&gt;&lt;Details&gt;&lt;_created&gt;60463628&lt;/_created&gt;&lt;_modified&gt;60567113&lt;/_modified&gt;&lt;_place_published&gt;广州&lt;/_place_published&gt;&lt;_translated_author&gt;Guang, Dongshenghuanjingbaohuting&lt;/_translated_author&gt;&lt;/Details&gt;&lt;Extra&gt;&lt;DBUID&gt;{0DA6E8B8-3A61-49AD-9027-1BB1B3F94C4B}&lt;/DBUID&gt;&lt;/Extra&gt;&lt;/Item&gt;&lt;/References&gt;&lt;/Group&gt;&lt;/Citation&gt;_x000a_"/>
    <w:docVar w:name="NE.Ref{2A7A3243-D8E3-44AD-B938-75E316692784}" w:val=" ADDIN NE.Ref.{2A7A3243-D8E3-44AD-B938-75E316692784}&lt;Citation&gt;&lt;Group&gt;&lt;References&gt;&lt;Item&gt;&lt;ID&gt;61&lt;/ID&gt;&lt;UID&gt;{59DA4F2A-8DA6-4E21-8C8A-275797EE11DE}&lt;/UID&gt;&lt;Title&gt;Estimates of global terrestrial isoprene emissions using MEGAN (Model of Emissions of Gases and Aerosols from Nature)&lt;/Title&gt;&lt;Template&gt;Journal Article&lt;/Template&gt;&lt;Star&gt;0&lt;/Star&gt;&lt;Tag&gt;0&lt;/Tag&gt;&lt;Author&gt;Guenther, A; Karl, T; Harley, P; Wiedinmyer, C; Palmer, P I; Geron, C&lt;/Author&gt;&lt;Year&gt;2006&lt;/Year&gt;&lt;Details&gt;&lt;_alternate_title&gt;Atmospheric Chemistry and Physics&lt;/_alternate_title&gt;&lt;_created&gt;60464793&lt;/_created&gt;&lt;_date&gt;2006-01-01&lt;/_date&gt;&lt;_date_display&gt;2006&lt;/_date_display&gt;&lt;_doi&gt;10.5194/acp-6-3181-2006&lt;/_doi&gt;&lt;_isbn&gt;ISSN 1680-7316&lt;/_isbn&gt;&lt;_issue&gt;11&lt;/_issue&gt;&lt;_journal&gt;Atmospheric Chemistry and Physics&lt;/_journal&gt;&lt;_modified&gt;60464807&lt;/_modified&gt;&lt;_pages&gt;3181-3210&lt;/_pages&gt;&lt;_url&gt;http://dx.doi.org/10.5194/acp-6-3181-2006&lt;/_url&gt;&lt;_volume&gt;6&lt;/_volume&gt;&lt;_impact_factor&gt;   5.114&lt;/_impact_factor&gt;&lt;_collection_scope&gt;SCI;SCIE;&lt;/_collection_scope&gt;&lt;/Details&gt;&lt;Extra&gt;&lt;DBUID&gt;{0DA6E8B8-3A61-49AD-9027-1BB1B3F94C4B}&lt;/DBUID&gt;&lt;/Extra&gt;&lt;/Item&gt;&lt;/References&gt;&lt;/Group&gt;&lt;/Citation&gt;_x000a_"/>
    <w:docVar w:name="NE.Ref{2B88CA2F-E0F9-45E3-93DD-732A2EEA926F}" w:val=" ADDIN NE.Ref.{2B88CA2F-E0F9-45E3-93DD-732A2EEA926F}&lt;Citation&gt;&lt;Group&gt;&lt;References&gt;&lt;Item&gt;&lt;ID&gt;49&lt;/ID&gt;&lt;UID&gt;{29509465-BBC6-454C-929F-DE58878305E6}&lt;/UID&gt;&lt;Title&gt;Elemental characterization of particulate matter emitted from biomass burning: Wind tunnel derived source profiles for herbaceous and wood fuels&lt;/Title&gt;&lt;Template&gt;Journal Article&lt;/Template&gt;&lt;Star&gt;0&lt;/Star&gt;&lt;Tag&gt;0&lt;/Tag&gt;&lt;Author&gt;Turn, S Q; Jenkins, B M; Chow, J C; Pritchett, L C; Campbell, D; Cahill, T; Whalen, S A&lt;/Author&gt;&lt;Year&gt;1997&lt;/Year&gt;&lt;Details&gt;&lt;_alternate_title&gt;Journal of Geophysical Research: Atmospheres&lt;/_alternate_title&gt;&lt;_created&gt;60464761&lt;/_created&gt;&lt;_date&gt;1997-01-01&lt;/_date&gt;&lt;_date_display&gt;1997&lt;/_date_display&gt;&lt;_doi&gt;10.1029/96JD02979&lt;/_doi&gt;&lt;_isbn&gt;2156-2202&lt;/_isbn&gt;&lt;_issue&gt;D3&lt;/_issue&gt;&lt;_journal&gt;Journal of Geophysical Research: Atmospheres&lt;/_journal&gt;&lt;_keywords&gt;0399 General or miscellaneous&lt;/_keywords&gt;&lt;_modified&gt;60464833&lt;/_modified&gt;&lt;_pages&gt;3683-3699&lt;/_pages&gt;&lt;_url&gt;http://dx.doi.org/10.1029/96JD02979&lt;/_url&gt;&lt;_volume&gt;102&lt;/_volume&gt;&lt;/Details&gt;&lt;Extra&gt;&lt;DBUID&gt;{0DA6E8B8-3A61-49AD-9027-1BB1B3F94C4B}&lt;/DBUID&gt;&lt;/Extra&gt;&lt;/Item&gt;&lt;/References&gt;&lt;/Group&gt;&lt;/Citation&gt;_x000a_"/>
    <w:docVar w:name="NE.Ref{2BCCA8DE-9224-4872-915B-84D790C68FFD}" w:val=" ADDIN NE.Ref.{2BCCA8DE-9224-4872-915B-84D790C68FFD}&lt;Citation&gt;&lt;Group&gt;&lt;References&gt;&lt;Item&gt;&lt;ID&gt;132&lt;/ID&gt;&lt;UID&gt;{B2159BFD-C3C8-4B12-8D2F-4BA2094F9046}&lt;/UID&gt;&lt;Title&gt;The Port Of Los Angeles Inventory of Air Emissions For Calendar Year 2012&lt;/Title&gt;&lt;Template&gt;Report&lt;/Template&gt;&lt;Star&gt;0&lt;/Star&gt;&lt;Tag&gt;0&lt;/Tag&gt;&lt;Author&gt;Starcrest Consulting Group, LLC&lt;/Author&gt;&lt;Year&gt;2012&lt;/Year&gt;&lt;Details&gt;&lt;_accessed&gt;61279860&lt;/_accessed&gt;&lt;_created&gt;61279860&lt;/_created&gt;&lt;_modified&gt;61279860&lt;/_modified&gt;&lt;/Details&gt;&lt;Extra&gt;&lt;DBUID&gt;{0DA6E8B8-3A61-49AD-9027-1BB1B3F94C4B}&lt;/DBUID&gt;&lt;/Extra&gt;&lt;/Item&gt;&lt;/References&gt;&lt;/Group&gt;&lt;/Citation&gt;_x000a_"/>
    <w:docVar w:name="NE.Ref{2DD636C8-AE29-4354-8607-54CB0A92035E}" w:val=" ADDIN NE.Ref.{2DD636C8-AE29-4354-8607-54CB0A92035E}&lt;Citation&gt;&lt;Group&gt;&lt;References&gt;&lt;Item&gt;&lt;ID&gt;110&lt;/ID&gt;&lt;UID&gt;{E9C508F6-551A-4946-AEAC-60F6CFC5B1EB}&lt;/UID&gt;&lt;Title&gt;广东省高分辨率人为源氨排放清单建立及控制成效研究&lt;/Title&gt;&lt;Template&gt;Thesis&lt;/Template&gt;&lt;Star&gt;0&lt;/Star&gt;&lt;Tag&gt;0&lt;/Tag&gt;&lt;Author&gt;沈兴玲&lt;/Author&gt;&lt;Year&gt;2014&lt;/Year&gt;&lt;Details&gt;&lt;_accessed&gt;60549748&lt;/_accessed&gt;&lt;_created&gt;60549748&lt;/_created&gt;&lt;_db_provider&gt;CNKI: 硕士&lt;/_db_provider&gt;&lt;_db_updated&gt;CNKI - Reference&lt;/_db_updated&gt;&lt;_keywords&gt;广东省;人为源氨;排放清单;时空分配;控制对策&lt;/_keywords&gt;&lt;_modified&gt;60549790&lt;/_modified&gt;&lt;_pages&gt;99&lt;/_pages&gt;&lt;_publisher&gt;华南理工大学&lt;/_publisher&gt;&lt;_tertiary_author&gt;杨琛;郑君瑜&lt;/_tertiary_author&gt;&lt;_url&gt;http://www.cnki.net/KCMS/detail/detail.aspx?FileName=1014064420.nh&amp;amp;DbName=CMFDTEMP&lt;/_url&gt;&lt;_volume&gt;硕士&lt;/_volume&gt;&lt;_translated_author&gt;Shen, Xingling&lt;/_translated_author&gt;&lt;_translated_tertiary_author&gt;Yang, Chen;Zheng, Junyu&lt;/_translated_tertiary_author&gt;&lt;/Details&gt;&lt;Extra&gt;&lt;DBUID&gt;{0DA6E8B8-3A61-49AD-9027-1BB1B3F94C4B}&lt;/DBUID&gt;&lt;/Extra&gt;&lt;/Item&gt;&lt;/References&gt;&lt;/Group&gt;&lt;/Citation&gt;_x000a_"/>
    <w:docVar w:name="NE.Ref{2E16F129-ED3F-4841-AF31-C53E92514321}" w:val=" ADDIN NE.Ref.{2E16F129-ED3F-4841-AF31-C53E92514321}&lt;Citation&gt;&lt;Group&gt;&lt;References&gt;&lt;Item&gt;&lt;ID&gt;61&lt;/ID&gt;&lt;UID&gt;{59DA4F2A-8DA6-4E21-8C8A-275797EE11DE}&lt;/UID&gt;&lt;Title&gt;Estimates of global terrestrial isoprene emissions using MEGAN (Model of Emissions of Gases and Aerosols from Nature)&lt;/Title&gt;&lt;Template&gt;Journal Article&lt;/Template&gt;&lt;Star&gt;0&lt;/Star&gt;&lt;Tag&gt;0&lt;/Tag&gt;&lt;Author&gt;Guenther, A; Karl, T; Harley, P; Wiedinmyer, C; Palmer, P I; Geron, C&lt;/Author&gt;&lt;Year&gt;2006&lt;/Year&gt;&lt;Details&gt;&lt;_alternate_title&gt;Atmospheric Chemistry and Physics&lt;/_alternate_title&gt;&lt;_created&gt;60464793&lt;/_created&gt;&lt;_date&gt;2006-01-01&lt;/_date&gt;&lt;_date_display&gt;2006&lt;/_date_display&gt;&lt;_doi&gt;10.5194/acp-6-3181-2006&lt;/_doi&gt;&lt;_isbn&gt;ISSN 1680-7316&lt;/_isbn&gt;&lt;_issue&gt;11&lt;/_issue&gt;&lt;_journal&gt;Atmospheric Chemistry and Physics&lt;/_journal&gt;&lt;_modified&gt;60464807&lt;/_modified&gt;&lt;_pages&gt;3181-3210&lt;/_pages&gt;&lt;_url&gt;http://dx.doi.org/10.5194/acp-6-3181-2006&lt;/_url&gt;&lt;_volume&gt;6&lt;/_volume&gt;&lt;_impact_factor&gt;   5.114&lt;/_impact_factor&gt;&lt;_collection_scope&gt;SCI;SCIE;&lt;/_collection_scope&gt;&lt;/Details&gt;&lt;Extra&gt;&lt;DBUID&gt;{0DA6E8B8-3A61-49AD-9027-1BB1B3F94C4B}&lt;/DBUID&gt;&lt;/Extra&gt;&lt;/Item&gt;&lt;/References&gt;&lt;/Group&gt;&lt;/Citation&gt;_x000a_"/>
    <w:docVar w:name="NE.Ref{2EC2B8C4-89F4-494B-8920-D3F7777240D7}" w:val=" ADDIN NE.Ref.{2EC2B8C4-89F4-494B-8920-D3F7777240D7}&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2ED674DD-A5C0-40AF-97EC-0B1E708B14A6}" w:val=" ADDIN NE.Ref.{2ED674DD-A5C0-40AF-97EC-0B1E708B14A6}&lt;Citation&gt;&lt;Group&gt;&lt;References&gt;&lt;Item&gt;&lt;ID&gt;9&lt;/ID&gt;&lt;UID&gt;{9E324EA5-3AF7-4ECE-B023-DAF922E68099}&lt;/UID&gt;&lt;Title&gt;天津市大气污染源排放清单的建立&lt;/Title&gt;&lt;Template&gt;Journal Article&lt;/Template&gt;&lt;Star&gt;0&lt;/Star&gt;&lt;Tag&gt;0&lt;/Tag&gt;&lt;Author&gt;赵斌; 马建中&lt;/Author&gt;&lt;Year&gt;2008&lt;/Year&gt;&lt;Details&gt;&lt;_accessed&gt;60464686&lt;/_accessed&gt;&lt;_author_adr&gt;中国气象科学研究院,北京100081&lt;/_author_adr&gt;&lt;_created&gt;60463628&lt;/_created&gt;&lt;_db_provider&gt;重庆维普&lt;/_db_provider&gt;&lt;_isbn&gt;0253-2468&lt;/_isbn&gt;&lt;_issue&gt;2&lt;/_issue&gt;&lt;_journal&gt;环境科学学报&lt;/_journal&gt;&lt;_keywords&gt;排放源清单; 排放因子; 空气污染; 天津; emission inventory; emission factor; air pollution; Tianjin&lt;/_keywords&gt;&lt;_language&gt;Chinese&lt;/_language&gt;&lt;_modified&gt;60613150&lt;/_modified&gt;&lt;_pages&gt;368-375&lt;/_pages&gt;&lt;_translated_author&gt;ZHAO, Bin; MA, Jianzhong Chinese Academy Of; Beijing&lt;/_translated_author&gt;&lt;_translated_title&gt;Development of an air pollutant emission inventory for Tianjin&lt;/_translated_title&gt;&lt;_volume&gt;28&lt;/_volume&gt;&lt;_collection_scope&gt;中国科技核心期刊;中文核心期刊;CSCD;&lt;/_collection_scope&gt;&lt;/Details&gt;&lt;Extra&gt;&lt;DBUID&gt;{0DA6E8B8-3A61-49AD-9027-1BB1B3F94C4B}&lt;/DBUID&gt;&lt;/Extra&gt;&lt;/Item&gt;&lt;/References&gt;&lt;/Group&gt;&lt;/Citation&gt;_x000a_"/>
    <w:docVar w:name="NE.Ref{2F3CCBF0-0D69-49EB-8297-F36C41830767}" w:val=" ADDIN NE.Ref.{2F3CCBF0-0D69-49EB-8297-F36C41830767}&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2F621F08-175B-40C6-A868-2FFEEF1E4294}" w:val=" ADDIN NE.Ref.{2F621F08-175B-40C6-A868-2FFEEF1E4294}&lt;Citation&gt;&lt;Group&gt;&lt;References&gt;&lt;Item&gt;&lt;ID&gt;1&lt;/ID&gt;&lt;UID&gt;{6B18977D-9777-462E-95F6-D25F3A60E833}&lt;/UID&gt;&lt;Title&gt;“十二五”重点区域大气污染联防联控VOCs排放清单和治理技术手册&lt;/Title&gt;&lt;Template&gt;Standard&lt;/Template&gt;&lt;Star&gt;0&lt;/Star&gt;&lt;Tag&gt;0&lt;/Tag&gt;&lt;Author&gt;环境保护部&lt;/Author&gt;&lt;Year&gt;2010&lt;/Year&gt;&lt;Details&gt;&lt;_accessed&gt;60463742&lt;/_accessed&gt;&lt;_created&gt;60463628&lt;/_created&gt;&lt;_modified&gt;60464815&lt;/_modified&gt;&lt;_translated_author&gt;Huan, Jingbaohubu&lt;/_translated_author&gt;&lt;/Details&gt;&lt;Extra&gt;&lt;DBUID&gt;{0DA6E8B8-3A61-49AD-9027-1BB1B3F94C4B}&lt;/DBUID&gt;&lt;/Extra&gt;&lt;/Item&gt;&lt;/References&gt;&lt;/Group&gt;&lt;/Citation&gt;_x000a_"/>
    <w:docVar w:name="NE.Ref{2F768175-7372-4C1D-A625-01AB2706B9E8}" w:val=" ADDIN NE.Ref.{2F768175-7372-4C1D-A625-01AB2706B9E8}&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2FB51A44-9D18-46C7-AC32-D7ED81492207}" w:val=" ADDIN NE.Ref.{2FB51A44-9D18-46C7-AC32-D7ED81492207}&lt;Citation&gt;&lt;Group&gt;&lt;References&gt;&lt;Item&gt;&lt;ID&gt;25&lt;/ID&gt;&lt;UID&gt;{ECA6114B-06D3-472D-8E3B-4925073F2E9F}&lt;/UID&gt;&lt;Title&gt;防治城市扬尘污染技术规范（HJ/T 393-2007）&lt;/Title&gt;&lt;Template&gt;Standard&lt;/Template&gt;&lt;Star&gt;0&lt;/Star&gt;&lt;Tag&gt;0&lt;/Tag&gt;&lt;Author&gt;环境保护部&lt;/Author&gt;&lt;Year&gt;2007&lt;/Year&gt;&lt;Details&gt;&lt;_accessed&gt;60463745&lt;/_accessed&gt;&lt;_created&gt;60463726&lt;/_created&gt;&lt;_modified&gt;60464816&lt;/_modified&gt;&lt;_translated_author&gt;Huan, Jingbaohubu&lt;/_translated_author&gt;&lt;/Details&gt;&lt;Extra&gt;&lt;DBUID&gt;{0DA6E8B8-3A61-49AD-9027-1BB1B3F94C4B}&lt;/DBUID&gt;&lt;/Extra&gt;&lt;/Item&gt;&lt;/References&gt;&lt;/Group&gt;&lt;/Citation&gt;_x000a_"/>
    <w:docVar w:name="NE.Ref{3011C59C-32B7-4112-90B9-F61FFC28DB83}" w:val=" ADDIN NE.Ref.{3011C59C-32B7-4112-90B9-F61FFC28DB83}&lt;Citation&gt;&lt;Group&gt;&lt;References&gt;&lt;Item&gt;&lt;ID&gt;7&lt;/ID&gt;&lt;UID&gt;{BD9BF6D2-F5BD-4E52-A587-6BB13834F2D1}&lt;/UID&gt;&lt;Title&gt;空气污染物排放量推估手册&lt;/Title&gt;&lt;Template&gt;Standard&lt;/Template&gt;&lt;Star&gt;0&lt;/Star&gt;&lt;Tag&gt;0&lt;/Tag&gt;&lt;Author&gt;台湾环保署&lt;/Author&gt;&lt;Year&gt;2006&lt;/Year&gt;&lt;Details&gt;&lt;_created&gt;60463628&lt;/_created&gt;&lt;_modified&gt;60464816&lt;/_modified&gt;&lt;_translated_author&gt;Tai, Wanhuanbaoshu&lt;/_translated_author&gt;&lt;/Details&gt;&lt;Extra&gt;&lt;DBUID&gt;{0DA6E8B8-3A61-49AD-9027-1BB1B3F94C4B}&lt;/DBUID&gt;&lt;/Extra&gt;&lt;/Item&gt;&lt;/References&gt;&lt;/Group&gt;&lt;/Citation&gt;_x000a_"/>
    <w:docVar w:name="NE.Ref{30CE3EBF-606A-465A-98F5-C9DE60A187F5}" w:val=" ADDIN NE.Ref.{30CE3EBF-606A-465A-98F5-C9DE60A187F5}&lt;Citation&gt;&lt;Group&gt;&lt;References&gt;&lt;Item&gt;&lt;ID&gt;4&lt;/ID&gt;&lt;UID&gt;{E57F084E-0472-493F-A584-41A59FE7A954}&lt;/UID&gt;&lt;Title&gt;大气细颗粒物一次源排放清单编制技术指南（试行）&lt;/Title&gt;&lt;Template&gt;Standard&lt;/Template&gt;&lt;Star&gt;0&lt;/Star&gt;&lt;Tag&gt;0&lt;/Tag&gt;&lt;Author&gt;环境保护部&lt;/Author&gt;&lt;Year&gt;2014&lt;/Year&gt;&lt;Details&gt;&lt;_created&gt;60463628&lt;/_created&gt;&lt;_modified&gt;60465005&lt;/_modified&gt;&lt;_translated_author&gt;Huan, Jingbaohubu&lt;/_translated_author&gt;&lt;/Details&gt;&lt;Extra&gt;&lt;DBUID&gt;{0DA6E8B8-3A61-49AD-9027-1BB1B3F94C4B}&lt;/DBUID&gt;&lt;/Extra&gt;&lt;/Item&gt;&lt;/References&gt;&lt;/Group&gt;&lt;/Citation&gt;_x000a_"/>
    <w:docVar w:name="NE.Ref{30F2F483-78CF-4CC7-86FF-6E1386AB5B49}" w:val=" ADDIN NE.Ref.{30F2F483-78CF-4CC7-86FF-6E1386AB5B49}&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3229D7F0-A82D-4FC5-A05A-F8351CA6E693}" w:val=" ADDIN NE.Ref.{3229D7F0-A82D-4FC5-A05A-F8351CA6E693}&lt;Citation&gt;&lt;Group&gt;&lt;References&gt;&lt;Item&gt;&lt;ID&gt;3&lt;/ID&gt;&lt;UID&gt;{415C0B6A-71B5-4651-B803-42EB584B8276}&lt;/UID&gt;&lt;Title&gt;大气可吸入颗粒物一次源排放清单编制技术指南（试行）&lt;/Title&gt;&lt;Template&gt;Standard&lt;/Template&gt;&lt;Star&gt;0&lt;/Star&gt;&lt;Tag&gt;0&lt;/Tag&gt;&lt;Author&gt;环境保护部&lt;/Author&gt;&lt;Year&gt;2014&lt;/Year&gt;&lt;Details&gt;&lt;_accessed&gt;60544403&lt;/_accessed&gt;&lt;_created&gt;60463628&lt;/_created&gt;&lt;_modified&gt;60464816&lt;/_modified&gt;&lt;_translated_author&gt;Huan, Jingbaohubu&lt;/_translated_author&gt;&lt;/Details&gt;&lt;Extra&gt;&lt;DBUID&gt;{0DA6E8B8-3A61-49AD-9027-1BB1B3F94C4B}&lt;/DBUID&gt;&lt;/Extra&gt;&lt;/Item&gt;&lt;/References&gt;&lt;/Group&gt;&lt;Group&gt;&lt;References&gt;&lt;Item&gt;&lt;ID&gt;4&lt;/ID&gt;&lt;UID&gt;{E57F084E-0472-493F-A584-41A59FE7A954}&lt;/UID&gt;&lt;Title&gt;大气细颗粒物一次源排放清单编制技术指南（试行）&lt;/Title&gt;&lt;Template&gt;Standard&lt;/Template&gt;&lt;Star&gt;0&lt;/Star&gt;&lt;Tag&gt;0&lt;/Tag&gt;&lt;Author&gt;环境保护部&lt;/Author&gt;&lt;Year&gt;2014&lt;/Year&gt;&lt;Details&gt;&lt;_created&gt;60463628&lt;/_created&gt;&lt;_modified&gt;60465005&lt;/_modified&gt;&lt;_translated_author&gt;Huan, Jingbaohubu&lt;/_translated_author&gt;&lt;/Details&gt;&lt;Extra&gt;&lt;DBUID&gt;{0DA6E8B8-3A61-49AD-9027-1BB1B3F94C4B}&lt;/DBUID&gt;&lt;/Extra&gt;&lt;/Item&gt;&lt;/References&gt;&lt;/Group&gt;&lt;/Citation&gt;_x000a_"/>
    <w:docVar w:name="NE.Ref{32BA5966-9AF6-40A3-98C4-63379B5E087C}" w:val=" ADDIN NE.Ref.{32BA5966-9AF6-40A3-98C4-63379B5E087C}&lt;Citation&gt;&lt;Group&gt;&lt;References&gt;&lt;Item&gt;&lt;ID&gt;28&lt;/ID&gt;&lt;UID&gt;{6F2D9302-FDAD-4171-BDA1-B4B5B67E9C12}&lt;/UID&gt;&lt;Title&gt;北京铺装道路交通扬尘排放规律研究&lt;/Title&gt;&lt;Template&gt;Journal Article&lt;/Template&gt;&lt;Star&gt;0&lt;/Star&gt;&lt;Tag&gt;0&lt;/Tag&gt;&lt;Author&gt;樊守彬; 田刚; 李钢; 邵霞&lt;/Author&gt;&lt;Year&gt;2007&lt;/Year&gt;&lt;Details&gt;&lt;_accessed&gt;60463746&lt;/_accessed&gt;&lt;_author_aff&gt;北京市环境保护科学研究院; 北京市环境保护科学研究院 北京100037; 北京100037&lt;/_author_aff&gt;&lt;_cate&gt;X513&lt;/_cate&gt;&lt;_cited_count&gt;10&lt;/_cited_count&gt;&lt;_created&gt;60463746&lt;/_created&gt;&lt;_funding&gt;北京市科技计划项目(H030630540430);国家科技基础性工作和社会公益研究专项(2003DEB5J059)&lt;/_funding&gt;&lt;_issue&gt;10&lt;/_issue&gt;&lt;_journal&gt;环境科学&lt;/_journal&gt;&lt;_keywords&gt;交通扬尘; 尘负荷; 排放因子; 铺装道路&lt;/_keywords&gt;&lt;_modified&gt;60463746&lt;/_modified&gt;&lt;_ref_count&gt;27&lt;/_ref_count&gt;&lt;_translated_author&gt;FAN, Shou-bin; TIAN, Gang; LI, Gang; SHAO, Xia&lt;/_translated_author&gt;&lt;_url&gt;http://www.cnki.net/KCMS/detail/detail.aspx?filename=hjkz200710043&amp;amp;dbcode=CJFQ&amp;amp;dbname=CJFD2007&lt;/_url&gt;&lt;/Details&gt;&lt;Extra&gt;&lt;DBUID&gt;{0DA6E8B8-3A61-49AD-9027-1BB1B3F94C4B}&lt;/DBUID&gt;&lt;/Extra&gt;&lt;/Item&gt;&lt;/References&gt;&lt;/Group&gt;&lt;/Citation&gt;_x000a_"/>
    <w:docVar w:name="NE.Ref{33E5DBEC-F18A-4955-8528-BD07A12B98B0}" w:val=" ADDIN NE.Ref.{33E5DBEC-F18A-4955-8528-BD07A12B98B0}&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35F8BFB3-FB0C-4B87-A9A5-CD40886814CC}" w:val=" ADDIN NE.Ref.{35F8BFB3-FB0C-4B87-A9A5-CD40886814CC}&lt;Citation&gt;&lt;Group&gt;&lt;References&gt;&lt;Item&gt;&lt;ID&gt;112&lt;/ID&gt;&lt;UID&gt;{BE586DD2-D71E-456B-BFB9-30DEAB8E8C17}&lt;/UID&gt;&lt;Title&gt;Estimating ammonia emissions from anthropogenic  nonagricultural source&lt;/Title&gt;&lt;Template&gt;Report&lt;/Template&gt;&lt;Star&gt;0&lt;/Star&gt;&lt;Tag&gt;0&lt;/Tag&gt;&lt;Author&gt;Roe, Stephen M; Spivey, Melissa D; Lindquist, Holly C; Thesing, Kirstin B&lt;/Author&gt;&lt;Year&gt;2004&lt;/Year&gt;&lt;Details&gt;&lt;_accessed&gt;60549806&lt;/_accessed&gt;&lt;_created&gt;60549806&lt;/_created&gt;&lt;_modified&gt;60549806&lt;/_modified&gt;&lt;_place_published&gt;U.S.&lt;/_place_published&gt;&lt;_volume&gt; Emission Inventory Improvement Program&lt;/_volume&gt;&lt;/Details&gt;&lt;Extra&gt;&lt;DBUID&gt;{0DA6E8B8-3A61-49AD-9027-1BB1B3F94C4B}&lt;/DBUID&gt;&lt;/Extra&gt;&lt;/Item&gt;&lt;/References&gt;&lt;/Group&gt;&lt;/Citation&gt;_x000a_"/>
    <w:docVar w:name="NE.Ref{3647C0AF-81A1-461F-ADE4-134A251987D1}" w:val=" ADDIN NE.Ref.{3647C0AF-81A1-461F-ADE4-134A251987D1}&lt;Citation&gt;&lt;Group&gt;&lt;References&gt;&lt;Item&gt;&lt;ID&gt;26&lt;/ID&gt;&lt;UID&gt;{57F4B2E6-8AAA-458E-9E0E-86ED0018EC6C}&lt;/UID&gt;&lt;Title&gt;中国大陆CO人为源排放清单&lt;/Title&gt;&lt;Template&gt;Journal Article&lt;/Template&gt;&lt;Star&gt;0&lt;/Star&gt;&lt;Tag&gt;0&lt;/Tag&gt;&lt;Author&gt;王丽涛; 张强; 郝吉明; 贺克斌&lt;/Author&gt;&lt;Year&gt;2005&lt;/Year&gt;&lt;Details&gt;&lt;_language&gt;Chinese&lt;/_language&gt;&lt;_created&gt;60463493&lt;/_created&gt;&lt;_modified&gt;60463516&lt;/_modified&gt;&lt;_url&gt;http://www.cnki.net/KCMS/detail/detail.aspx?FileName=HJXX200512002&amp;amp;DbName=CJFQ2005&lt;/_url&gt;&lt;_journal&gt;环境科学学报&lt;/_journal&gt;&lt;_issue&gt;12&lt;/_issue&gt;&lt;_pages&gt;8-13&lt;/_pages&gt;&lt;_date&gt;55742400&lt;/_date&gt;&lt;_keywords&gt;CO;排放清单;人为源;中国大陆&lt;/_keywords&gt;&lt;_author_aff&gt;清华大学环境科学与工程系;清华大学环境科学与工程系;清华大学环境科学与工程系;清华大学环境科学与工程系 北京100084_x000d__x000a__x000d__x000a__x000d__x000a__x000d__x000a__x000d__x000a__x000d__x000a__x000d__x000a__x000d__x000a_;北京100084_x000d__x000a__x000d__x000a__x000d__x000a__x000d__x000a__x000d__x000a__x000d__x000a__x000d__x000a__x000d__x000a_;北京100084_x000d__x000a__x000d__x000a__x000d__x000a__x000d__x000a__x000d__x000a__x000d__x000a__x000d__x000a__x000d__x000a_;北京100084&lt;/_author_aff&gt;&lt;_db_provider&gt;CNKI: 期刊&lt;/_db_provider&gt;&lt;_accessed&gt;60463494&lt;/_accessed&gt;&lt;_db_updated&gt;CNKI - Reference&lt;/_db_updated&gt;&lt;_translated_author&gt;Wang, Litao;Zhang, Qiang;Hao, Jiming;He, Kebin&lt;/_translated_author&gt;&lt;/Details&gt;&lt;Extra&gt;&lt;DBUID&gt;{0C8895AB-960A-4B76-A0DA-38D8A76C4C8B}&lt;/DBUID&gt;&lt;/Extra&gt;&lt;/Item&gt;&lt;/References&gt;&lt;/Group&gt;&lt;/Citation&gt;_x000a_"/>
    <w:docVar w:name="NE.Ref{36BF1064-B937-4E63-A9BE-718E494D6923}" w:val=" ADDIN NE.Ref.{36BF1064-B937-4E63-A9BE-718E494D6923}&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382F0BE7-09CD-4638-8834-ED5C1976C7D9}" w:val=" ADDIN NE.Ref.{382F0BE7-09CD-4638-8834-ED5C1976C7D9}&lt;Citation&gt;&lt;Group&gt;&lt;References&gt;&lt;Item&gt;&lt;ID&gt;19&lt;/ID&gt;&lt;UID&gt;{8C5A4BC6-5D0A-413D-A4E2-4C2AC3B0290C}&lt;/UID&gt;&lt;Title&gt;Daily variation of traffic emissions in Athens, Greece&lt;/Title&gt;&lt;Template&gt;Journal Article&lt;/Template&gt;&lt;Star&gt;0&lt;/Star&gt;&lt;Tag&gt;0&lt;/Tag&gt;&lt;Author&gt;Kassomenos, Pavlos; Karakitsios, Spyros; Pilidis, George&lt;/Author&gt;&lt;Year&gt;2009&lt;/Year&gt;&lt;Details&gt;&lt;_accessed&gt;60464704&lt;/_accessed&gt;&lt;_created&gt;60463669&lt;/_created&gt;&lt;_doi&gt;10.1504/IJEP.2009.021835&lt;/_doi&gt;&lt;_issue&gt;36&lt;/_issue&gt;&lt;_journal&gt;INTERNATIONAL JOURNAL OF ENVIRONMENT AND POLLUTION&lt;/_journal&gt;&lt;_modified&gt;60464714&lt;/_modified&gt;&lt;_pages&gt;324-335&lt;/_pages&gt;&lt;/Details&gt;&lt;Extra&gt;&lt;DBUID&gt;{0DA6E8B8-3A61-49AD-9027-1BB1B3F94C4B}&lt;/DBUID&gt;&lt;/Extra&gt;&lt;/Item&gt;&lt;/References&gt;&lt;/Group&gt;&lt;Group&gt;&lt;References&gt;&lt;Item&gt;&lt;ID&gt;44&lt;/ID&gt;&lt;UID&gt;{D3AA3297-1253-493F-92CC-3F8809848386}&lt;/UID&gt;&lt;Title&gt;Daily variation of traffic emissions in Athens, Greece&lt;/Title&gt;&lt;Template&gt;Journal Article&lt;/Template&gt;&lt;Star&gt;0&lt;/Star&gt;&lt;Tag&gt;0&lt;/Tag&gt;&lt;Author&gt;Kassomenos, Pavlos; Karakitsios, Spyros; Pilidis, George&lt;/Author&gt;&lt;Year&gt;2009&lt;/Year&gt;&lt;Details&gt;&lt;_created&gt;60464721&lt;/_created&gt;&lt;_date&gt;2009-01-01&lt;/_date&gt;&lt;_date_display&gt;2009/01/01/&lt;/_date_display&gt;&lt;_doi&gt;10.1504/IJEP.2009.021835&lt;/_doi&gt;&lt;_issue&gt;1&lt;/_issue&gt;&lt;_journal&gt;International Journal of Environment and Pollution&lt;/_journal&gt;&lt;_modified&gt;60464722&lt;/_modified&gt;&lt;_pages&gt;324-335&lt;/_pages&gt;&lt;_url&gt;http://dx.doi.org/10.1504/IJEP.2009.021835&lt;/_url&gt;&lt;_volume&gt;36&lt;/_volume&gt;&lt;/Details&gt;&lt;Extra&gt;&lt;DBUID&gt;{0DA6E8B8-3A61-49AD-9027-1BB1B3F94C4B}&lt;/DBUID&gt;&lt;/Extra&gt;&lt;/Item&gt;&lt;/References&gt;&lt;/Group&gt;&lt;/Citation&gt;_x000a_"/>
    <w:docVar w:name="NE.Ref{38558DB4-BA43-4EA1-BF92-2AB4F69AD8DC}" w:val=" ADDIN NE.Ref.{38558DB4-BA43-4EA1-BF92-2AB4F69AD8DC}&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392046BE-3782-42A4-9D83-E585BE489E21}" w:val=" ADDIN NE.Ref.{392046BE-3782-42A4-9D83-E585BE489E21}&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3998ED3F-C74C-48BD-94CF-4D1AC03CE693}" w:val=" ADDIN NE.Ref.{3998ED3F-C74C-48BD-94CF-4D1AC03CE693}&lt;Citation&gt;&lt;Group&gt;&lt;References&gt;&lt;Item&gt;&lt;ID&gt;3&lt;/ID&gt;&lt;UID&gt;{415C0B6A-71B5-4651-B803-42EB584B8276}&lt;/UID&gt;&lt;Title&gt;大气可吸入颗粒物一次源排放清单编制技术指南（试行）&lt;/Title&gt;&lt;Template&gt;Standard&lt;/Template&gt;&lt;Star&gt;0&lt;/Star&gt;&lt;Tag&gt;0&lt;/Tag&gt;&lt;Author&gt;环境保护部&lt;/Author&gt;&lt;Year&gt;2014&lt;/Year&gt;&lt;Details&gt;&lt;_accessed&gt;60544403&lt;/_accessed&gt;&lt;_created&gt;60463628&lt;/_created&gt;&lt;_modified&gt;60464816&lt;/_modified&gt;&lt;_translated_author&gt;Huan, Jingbaohubu&lt;/_translated_author&gt;&lt;/Details&gt;&lt;Extra&gt;&lt;DBUID&gt;{0DA6E8B8-3A61-49AD-9027-1BB1B3F94C4B}&lt;/DBUID&gt;&lt;/Extra&gt;&lt;/Item&gt;&lt;/References&gt;&lt;/Group&gt;&lt;Group&gt;&lt;References&gt;&lt;Item&gt;&lt;ID&gt;4&lt;/ID&gt;&lt;UID&gt;{E57F084E-0472-493F-A584-41A59FE7A954}&lt;/UID&gt;&lt;Title&gt;大气细颗粒物一次源排放清单编制技术指南（试行）&lt;/Title&gt;&lt;Template&gt;Standard&lt;/Template&gt;&lt;Star&gt;0&lt;/Star&gt;&lt;Tag&gt;0&lt;/Tag&gt;&lt;Author&gt;环境保护部&lt;/Author&gt;&lt;Year&gt;2014&lt;/Year&gt;&lt;Details&gt;&lt;_created&gt;60463628&lt;/_created&gt;&lt;_modified&gt;60465005&lt;/_modified&gt;&lt;_translated_author&gt;Huan, Jingbaohubu&lt;/_translated_author&gt;&lt;/Details&gt;&lt;Extra&gt;&lt;DBUID&gt;{0DA6E8B8-3A61-49AD-9027-1BB1B3F94C4B}&lt;/DBUID&gt;&lt;/Extra&gt;&lt;/Item&gt;&lt;/References&gt;&lt;/Group&gt;&lt;/Citation&gt;_x000a_"/>
    <w:docVar w:name="NE.Ref{39A03EA9-3DFB-412A-B921-D475E84A3157}" w:val=" ADDIN NE.Ref.{39A03EA9-3DFB-412A-B921-D475E84A3157}&lt;Citation&gt;&lt;Group&gt;&lt;References&gt;&lt;Item&gt;&lt;ID&gt;7&lt;/ID&gt;&lt;UID&gt;{BD9BF6D2-F5BD-4E52-A587-6BB13834F2D1}&lt;/UID&gt;&lt;Title&gt;空气污染物排放量推估手册&lt;/Title&gt;&lt;Template&gt;Standard&lt;/Template&gt;&lt;Star&gt;0&lt;/Star&gt;&lt;Tag&gt;0&lt;/Tag&gt;&lt;Author&gt;台湾环保署&lt;/Author&gt;&lt;Year&gt;2006&lt;/Year&gt;&lt;Details&gt;&lt;_created&gt;60463628&lt;/_created&gt;&lt;_modified&gt;60464816&lt;/_modified&gt;&lt;_translated_author&gt;Tai, Wanhuanbaoshu&lt;/_translated_author&gt;&lt;/Details&gt;&lt;Extra&gt;&lt;DBUID&gt;{0DA6E8B8-3A61-49AD-9027-1BB1B3F94C4B}&lt;/DBUID&gt;&lt;/Extra&gt;&lt;/Item&gt;&lt;/References&gt;&lt;/Group&gt;&lt;/Citation&gt;_x000a_"/>
    <w:docVar w:name="NE.Ref{3A623D28-F9C1-4FA2-9703-A82D37EBB538}" w:val=" ADDIN NE.Ref.{3A623D28-F9C1-4FA2-9703-A82D37EBB538}&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3A6EDB7F-DC58-439A-89C7-132BFD682C53}" w:val=" ADDIN NE.Ref.{3A6EDB7F-DC58-439A-89C7-132BFD682C53}&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3A97A0C9-0AE8-4F3D-87E3-B4B5374DF310}" w:val=" ADDIN NE.Ref.{3A97A0C9-0AE8-4F3D-87E3-B4B5374DF310}&lt;Citation&gt;&lt;Group&gt;&lt;References&gt;&lt;Item&gt;&lt;ID&gt;1&lt;/ID&gt;&lt;UID&gt;{6B18977D-9777-462E-95F6-D25F3A60E833}&lt;/UID&gt;&lt;Title&gt;“十二五”重点区域大气污染联防联控VOCs排放清单和治理技术手册&lt;/Title&gt;&lt;Template&gt;Standard&lt;/Template&gt;&lt;Star&gt;0&lt;/Star&gt;&lt;Tag&gt;0&lt;/Tag&gt;&lt;Author&gt;环境保护部&lt;/Author&gt;&lt;Year&gt;2010&lt;/Year&gt;&lt;Details&gt;&lt;_accessed&gt;60463742&lt;/_accessed&gt;&lt;_created&gt;60463628&lt;/_created&gt;&lt;_modified&gt;60464815&lt;/_modified&gt;&lt;_translated_author&gt;Huan, Jingbaohubu&lt;/_translated_author&gt;&lt;/Details&gt;&lt;Extra&gt;&lt;DBUID&gt;{0DA6E8B8-3A61-49AD-9027-1BB1B3F94C4B}&lt;/DBUID&gt;&lt;/Extra&gt;&lt;/Item&gt;&lt;/References&gt;&lt;/Group&gt;&lt;/Citation&gt;_x000a_"/>
    <w:docVar w:name="NE.Ref{3B5DE909-208F-4F55-B506-1C641515A926}" w:val=" ADDIN NE.Ref.{3B5DE909-208F-4F55-B506-1C641515A926}&lt;Citation&gt;&lt;Group&gt;&lt;References&gt;&lt;Item&gt;&lt;ID&gt;4&lt;/ID&gt;&lt;UID&gt;{E57F084E-0472-493F-A584-41A59FE7A954}&lt;/UID&gt;&lt;Title&gt;大气细颗粒物一次源排放清单编制技术指南（试行）&lt;/Title&gt;&lt;Template&gt;Standard&lt;/Template&gt;&lt;Star&gt;0&lt;/Star&gt;&lt;Tag&gt;0&lt;/Tag&gt;&lt;Author&gt;环境保护部&lt;/Author&gt;&lt;Year&gt;2014&lt;/Year&gt;&lt;Details&gt;&lt;_created&gt;60463628&lt;/_created&gt;&lt;_modified&gt;60465005&lt;/_modified&gt;&lt;_translated_author&gt;Huan, Jingbaohubu&lt;/_translated_author&gt;&lt;/Details&gt;&lt;Extra&gt;&lt;DBUID&gt;{0DA6E8B8-3A61-49AD-9027-1BB1B3F94C4B}&lt;/DBUID&gt;&lt;/Extra&gt;&lt;/Item&gt;&lt;/References&gt;&lt;/Group&gt;&lt;/Citation&gt;_x000a_"/>
    <w:docVar w:name="NE.Ref{3C951C63-14A0-446E-B6C2-0C342C291DF8}" w:val=" ADDIN NE.Ref.{3C951C63-14A0-446E-B6C2-0C342C291DF8}&lt;Citation&gt;&lt;Group&gt;&lt;References&gt;&lt;Item&gt;&lt;ID&gt;74&lt;/ID&gt;&lt;UID&gt;{AF97B13C-1D53-40D0-B016-B3FCC74DA953}&lt;/UID&gt;&lt;Title&gt;中国能源统计年鉴2013&lt;/Title&gt;&lt;Template&gt;Book&lt;/Template&gt;&lt;Star&gt;0&lt;/Star&gt;&lt;Tag&gt;0&lt;/Tag&gt;&lt;Author&gt;国家统计局能源统计司&lt;/Author&gt;&lt;Year&gt;2013&lt;/Year&gt;&lt;Details&gt;&lt;_accessed&gt;61305097&lt;/_accessed&gt;&lt;_created&gt;60465122&lt;/_created&gt;&lt;_isbn&gt;978-7-5037-7022-7&lt;/_isbn&gt;&lt;_modified&gt;60465124&lt;/_modified&gt;&lt;_place_published&gt;北京&lt;/_place_published&gt;&lt;_publisher&gt;中国统计出版社&lt;/_publisher&gt;&lt;_translated_author&gt;Guo, Jiatongjijunengyuantongjisi&lt;/_translated_author&gt;&lt;/Details&gt;&lt;Extra&gt;&lt;DBUID&gt;{0DA6E8B8-3A61-49AD-9027-1BB1B3F94C4B}&lt;/DBUID&gt;&lt;/Extra&gt;&lt;/Item&gt;&lt;/References&gt;&lt;/Group&gt;&lt;/Citation&gt;_x000a_"/>
    <w:docVar w:name="NE.Ref{3E120064-DFF3-407B-8806-AD153F4061C0}" w:val=" ADDIN NE.Ref.{3E120064-DFF3-407B-8806-AD153F4061C0}&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3E57481C-2765-431C-9D80-3F56A2013AB8}" w:val=" ADDIN NE.Ref.{3E57481C-2765-431C-9D80-3F56A2013AB8}&lt;Citation&gt;&lt;Group&gt;&lt;References&gt;&lt;Item&gt;&lt;ID&gt;7&lt;/ID&gt;&lt;UID&gt;{BD9BF6D2-F5BD-4E52-A587-6BB13834F2D1}&lt;/UID&gt;&lt;Title&gt;空气污染物排放量推估手册&lt;/Title&gt;&lt;Template&gt;Standard&lt;/Template&gt;&lt;Star&gt;0&lt;/Star&gt;&lt;Tag&gt;0&lt;/Tag&gt;&lt;Author&gt;台湾环保署&lt;/Author&gt;&lt;Year&gt;2006&lt;/Year&gt;&lt;Details&gt;&lt;_created&gt;60463628&lt;/_created&gt;&lt;_modified&gt;60464816&lt;/_modified&gt;&lt;_translated_author&gt;Tai, Wanhuanbaoshu&lt;/_translated_author&gt;&lt;/Details&gt;&lt;Extra&gt;&lt;DBUID&gt;{0DA6E8B8-3A61-49AD-9027-1BB1B3F94C4B}&lt;/DBUID&gt;&lt;/Extra&gt;&lt;/Item&gt;&lt;/References&gt;&lt;/Group&gt;&lt;/Citation&gt;_x000a_"/>
    <w:docVar w:name="NE.Ref{3E72B2E6-7932-44FB-9366-278845A64D34}" w:val=" ADDIN NE.Ref.{3E72B2E6-7932-44FB-9366-278845A64D34}&lt;Citation&gt;&lt;Group&gt;&lt;References&gt;&lt;Item&gt;&lt;ID&gt;138&lt;/ID&gt;&lt;UID&gt;{9FFF55B8-7600-4965-850D-9F593B05872A}&lt;/UID&gt;&lt;Title&gt;广东农村统计年鉴2015&lt;/Title&gt;&lt;Template&gt;Book&lt;/Template&gt;&lt;Star&gt;0&lt;/Star&gt;&lt;Tag&gt;0&lt;/Tag&gt;&lt;Author&gt;广东农村统计年鉴编辑委员会&lt;/Author&gt;&lt;Year&gt;2015&lt;/Year&gt;&lt;Details&gt;&lt;_accessed&gt;61305088&lt;/_accessed&gt;&lt;_created&gt;60466451&lt;/_created&gt;&lt;_isbn&gt;978-7-5037-7289-4&lt;/_isbn&gt;&lt;_modified&gt;61305088&lt;/_modified&gt;&lt;_place_published&gt;北京&lt;/_place_published&gt;&lt;_publisher&gt;中国统计出版社&lt;/_publisher&gt;&lt;_translated_author&gt;Guang, Dongnongcuntongjinianjianbianjiweiyuanhui&lt;/_translated_author&gt;&lt;/Details&gt;&lt;Extra&gt;&lt;DBUID&gt;{0DA6E8B8-3A61-49AD-9027-1BB1B3F94C4B}&lt;/DBUID&gt;&lt;/Extra&gt;&lt;/Item&gt;&lt;/References&gt;&lt;/Group&gt;&lt;/Citation&gt;_x000a_"/>
    <w:docVar w:name="NE.Ref{3ED30DE6-9228-4B19-9F53-372399A8BB04}" w:val=" ADDIN NE.Ref.{3ED30DE6-9228-4B19-9F53-372399A8BB04}&lt;Citation&gt;&lt;Group&gt;&lt;References&gt;&lt;Item&gt;&lt;ID&gt;64&lt;/ID&gt;&lt;UID&gt;{E536CA3B-180F-4EDE-860A-F106BA327740}&lt;/UID&gt;&lt;Title&gt;A biogenic hydrocarbon emission inventory for the U.S.A. using a simple forest canopy model&lt;/Title&gt;&lt;Template&gt;Journal Article&lt;/Template&gt;&lt;Star&gt;0&lt;/Star&gt;&lt;Tag&gt;0&lt;/Tag&gt;&lt;Author&gt;Lamb, B; Gay, D; Westberg, H; Pierce, T&lt;/Author&gt;&lt;Year&gt;1993&lt;/Year&gt;&lt;Details&gt;&lt;_alternate_title&gt;Atmospheric Environment. Part A. General Topics&lt;/_alternate_title&gt;&lt;_created&gt;60464799&lt;/_created&gt;&lt;_date&gt;1993-08-01&lt;/_date&gt;&lt;_date_display&gt;1993/8//&lt;/_date_display&gt;&lt;_doi&gt;10.1016/0960-1686(93)90230-V&lt;/_doi&gt;&lt;_isbn&gt;0960-1686&lt;/_isbn&gt;&lt;_issue&gt;11&lt;/_issue&gt;&lt;_journal&gt;Atmospheric Environment. Part A. General Topics&lt;/_journal&gt;&lt;_keywords&gt;Biogenic hydrocarbons; emission inventory; isoprene; α-pinene; forest canopy&lt;/_keywords&gt;&lt;_modified&gt;60464865&lt;/_modified&gt;&lt;_pages&gt;1673-1690&lt;/_pages&gt;&lt;_url&gt;http://www.sciencedirect.com/science/article/pii/096016869390230V&lt;/_url&gt;&lt;_volume&gt;27&lt;/_volume&gt;&lt;/Details&gt;&lt;Extra&gt;&lt;DBUID&gt;{0DA6E8B8-3A61-49AD-9027-1BB1B3F94C4B}&lt;/DBUID&gt;&lt;/Extra&gt;&lt;/Item&gt;&lt;/References&gt;&lt;/Group&gt;&lt;/Citation&gt;_x000a_"/>
    <w:docVar w:name="NE.Ref{40372A76-8FE6-4C7A-A41E-FB92588CEFDD}" w:val=" ADDIN NE.Ref.{40372A76-8FE6-4C7A-A41E-FB92588CEFDD}&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407643C2-705C-4DAD-96EA-960211E61A68}" w:val=" ADDIN NE.Ref.{407643C2-705C-4DAD-96EA-960211E61A68}&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4094A895-D634-4167-BD05-E41B8E346413}" w:val=" ADDIN NE.Ref.{4094A895-D634-4167-BD05-E41B8E346413}&lt;Citation&gt;&lt;Group&gt;&lt;References&gt;&lt;Item&gt;&lt;ID&gt;81&lt;/ID&gt;&lt;UID&gt;{3391FD6A-8F5B-4ABB-BA82-45F5B9BEF324}&lt;/UID&gt;&lt;Title&gt;2012年12月广东轻革产量合计&lt;/Title&gt;&lt;Template&gt;Web Page&lt;/Template&gt;&lt;Star&gt;0&lt;/Star&gt;&lt;Tag&gt;0&lt;/Tag&gt;&lt;Author&gt;中国行业研究网&lt;/Author&gt;&lt;Year&gt;2012&lt;/Year&gt;&lt;Details&gt;&lt;_url&gt;http://www.chinairn.com/&lt;/_url&gt;&lt;_accessed&gt;60501157&lt;/_accessed&gt;&lt;_created&gt;60501156&lt;/_created&gt;&lt;_modified&gt;60501157&lt;/_modified&gt;&lt;_translated_author&gt;Zhong, Guoxingyeyanjiuwang&lt;/_translated_author&gt;&lt;/Details&gt;&lt;Extra&gt;&lt;DBUID&gt;{0DA6E8B8-3A61-49AD-9027-1BB1B3F94C4B}&lt;/DBUID&gt;&lt;/Extra&gt;&lt;/Item&gt;&lt;/References&gt;&lt;/Group&gt;&lt;/Citation&gt;_x000a_"/>
    <w:docVar w:name="NE.Ref{41AD149F-4944-478E-9BF5-F297A4722F8D}" w:val=" ADDIN NE.Ref.{41AD149F-4944-478E-9BF5-F297A4722F8D}&lt;Citation&gt;&lt;Group&gt;&lt;References&gt;&lt;Item&gt;&lt;ID&gt;69&lt;/ID&gt;&lt;UID&gt;{F0C1EA1B-F60C-4DB1-81C7-1130EE097D50}&lt;/UID&gt;&lt;Title&gt;《广东省重点行业挥发性有机物综合整治实施方案》编制说明&lt;/Title&gt;&lt;Template&gt;Report&lt;/Template&gt;&lt;Star&gt;0&lt;/Star&gt;&lt;Tag&gt;0&lt;/Tag&gt;&lt;Author&gt;广东省环境科学研究院&lt;/Author&gt;&lt;Year&gt;2014&lt;/Year&gt;&lt;Details&gt;&lt;_accessed&gt;60465051&lt;/_accessed&gt;&lt;_created&gt;60465050&lt;/_created&gt;&lt;_modified&gt;60465051&lt;/_modified&gt;&lt;_place_published&gt;广州&lt;/_place_published&gt;&lt;_translated_author&gt;Guang, Dongshenghuanjingkexueyanjiuyuan&lt;/_translated_author&gt;&lt;/Details&gt;&lt;Extra&gt;&lt;DBUID&gt;{0DA6E8B8-3A61-49AD-9027-1BB1B3F94C4B}&lt;/DBUID&gt;&lt;/Extra&gt;&lt;/Item&gt;&lt;/References&gt;&lt;/Group&gt;&lt;/Citation&gt;_x000a_"/>
    <w:docVar w:name="NE.Ref{41DC832E-613C-47B4-894E-7A39B286EDEF}" w:val=" ADDIN NE.Ref.{41DC832E-613C-47B4-894E-7A39B286EDEF}&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41F569AC-D572-4149-954D-51F3261E0EB1}" w:val=" ADDIN NE.Ref.{41F569AC-D572-4149-954D-51F3261E0EB1}&lt;Citation&gt;&lt;Group&gt;&lt;References&gt;&lt;Item&gt;&lt;ID&gt;3&lt;/ID&gt;&lt;UID&gt;{415C0B6A-71B5-4651-B803-42EB584B8276}&lt;/UID&gt;&lt;Title&gt;大气可吸入颗粒物一次源排放清单编制技术指南（试行）&lt;/Title&gt;&lt;Template&gt;Standard&lt;/Template&gt;&lt;Star&gt;0&lt;/Star&gt;&lt;Tag&gt;0&lt;/Tag&gt;&lt;Author&gt;环境保护部&lt;/Author&gt;&lt;Year&gt;2014&lt;/Year&gt;&lt;Details&gt;&lt;_accessed&gt;60544403&lt;/_accessed&gt;&lt;_created&gt;60463628&lt;/_created&gt;&lt;_modified&gt;60464816&lt;/_modified&gt;&lt;_translated_author&gt;Huan, Jingbaohubu&lt;/_translated_author&gt;&lt;/Details&gt;&lt;Extra&gt;&lt;DBUID&gt;{0DA6E8B8-3A61-49AD-9027-1BB1B3F94C4B}&lt;/DBUID&gt;&lt;/Extra&gt;&lt;/Item&gt;&lt;/References&gt;&lt;/Group&gt;&lt;Group&gt;&lt;References&gt;&lt;Item&gt;&lt;ID&gt;4&lt;/ID&gt;&lt;UID&gt;{E57F084E-0472-493F-A584-41A59FE7A954}&lt;/UID&gt;&lt;Title&gt;大气细颗粒物一次源排放清单编制技术指南（试行）&lt;/Title&gt;&lt;Template&gt;Standard&lt;/Template&gt;&lt;Star&gt;0&lt;/Star&gt;&lt;Tag&gt;0&lt;/Tag&gt;&lt;Author&gt;环境保护部&lt;/Author&gt;&lt;Year&gt;2014&lt;/Year&gt;&lt;Details&gt;&lt;_created&gt;60463628&lt;/_created&gt;&lt;_modified&gt;60465005&lt;/_modified&gt;&lt;_translated_author&gt;Huan, Jingbaohubu&lt;/_translated_author&gt;&lt;/Details&gt;&lt;Extra&gt;&lt;DBUID&gt;{0DA6E8B8-3A61-49AD-9027-1BB1B3F94C4B}&lt;/DBUID&gt;&lt;/Extra&gt;&lt;/Item&gt;&lt;/References&gt;&lt;/Group&gt;&lt;/Citation&gt;_x000a_"/>
    <w:docVar w:name="NE.Ref{425521B9-1753-478D-B996-D7217B779489}" w:val=" ADDIN NE.Ref.{425521B9-1753-478D-B996-D7217B779489}&lt;Citation&gt;&lt;Group&gt;&lt;References&gt;&lt;Item&gt;&lt;ID&gt;7&lt;/ID&gt;&lt;UID&gt;{BD9BF6D2-F5BD-4E52-A587-6BB13834F2D1}&lt;/UID&gt;&lt;Title&gt;空气污染物排放量推估手册&lt;/Title&gt;&lt;Template&gt;Standard&lt;/Template&gt;&lt;Star&gt;0&lt;/Star&gt;&lt;Tag&gt;0&lt;/Tag&gt;&lt;Author&gt;台湾环保署&lt;/Author&gt;&lt;Year&gt;2006&lt;/Year&gt;&lt;Details&gt;&lt;_created&gt;60463628&lt;/_created&gt;&lt;_modified&gt;60464816&lt;/_modified&gt;&lt;_translated_author&gt;Tai, Wanhuanbaoshu&lt;/_translated_author&gt;&lt;/Details&gt;&lt;Extra&gt;&lt;DBUID&gt;{0DA6E8B8-3A61-49AD-9027-1BB1B3F94C4B}&lt;/DBUID&gt;&lt;/Extra&gt;&lt;/Item&gt;&lt;/References&gt;&lt;/Group&gt;&lt;/Citation&gt;_x000a_"/>
    <w:docVar w:name="NE.Ref{42FBA609-D124-4D5F-A9E9-47F6B6B9D623}" w:val=" ADDIN NE.Ref.{42FBA609-D124-4D5F-A9E9-47F6B6B9D623}&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439CDEB5-F2DF-4F44-94AF-04E3443D3214}" w:val=" ADDIN NE.Ref.{439CDEB5-F2DF-4F44-94AF-04E3443D3214}&lt;Citation&gt;&lt;Group&gt;&lt;References&gt;&lt;Item&gt;&lt;ID&gt;138&lt;/ID&gt;&lt;UID&gt;{9FFF55B8-7600-4965-850D-9F593B05872A}&lt;/UID&gt;&lt;Title&gt;广东农村统计年鉴2015&lt;/Title&gt;&lt;Template&gt;Book&lt;/Template&gt;&lt;Star&gt;0&lt;/Star&gt;&lt;Tag&gt;0&lt;/Tag&gt;&lt;Author&gt;广东农村统计年鉴编辑委员会&lt;/Author&gt;&lt;Year&gt;2015&lt;/Year&gt;&lt;Details&gt;&lt;_accessed&gt;61305088&lt;/_accessed&gt;&lt;_created&gt;60466451&lt;/_created&gt;&lt;_isbn&gt;978-7-5037-7289-4&lt;/_isbn&gt;&lt;_modified&gt;61305088&lt;/_modified&gt;&lt;_place_published&gt;北京&lt;/_place_published&gt;&lt;_publisher&gt;中国统计出版社&lt;/_publisher&gt;&lt;_translated_author&gt;Guang, Dongnongcuntongjinianjianbianjiweiyuanhui&lt;/_translated_author&gt;&lt;/Details&gt;&lt;Extra&gt;&lt;DBUID&gt;{0DA6E8B8-3A61-49AD-9027-1BB1B3F94C4B}&lt;/DBUID&gt;&lt;/Extra&gt;&lt;/Item&gt;&lt;/References&gt;&lt;/Group&gt;&lt;/Citation&gt;_x000a_"/>
    <w:docVar w:name="NE.Ref{43B6DB62-D70B-485E-9062-EDEEA828A613}" w:val=" ADDIN NE.Ref.{43B6DB62-D70B-485E-9062-EDEEA828A613}&lt;Citation&gt;&lt;Group&gt;&lt;References&gt;&lt;Item&gt;&lt;ID&gt;7&lt;/ID&gt;&lt;UID&gt;{BD9BF6D2-F5BD-4E52-A587-6BB13834F2D1}&lt;/UID&gt;&lt;Title&gt;空气污染物排放量推估手册&lt;/Title&gt;&lt;Template&gt;Standard&lt;/Template&gt;&lt;Star&gt;0&lt;/Star&gt;&lt;Tag&gt;0&lt;/Tag&gt;&lt;Author&gt;台湾环保署&lt;/Author&gt;&lt;Year&gt;2006&lt;/Year&gt;&lt;Details&gt;&lt;_created&gt;60463628&lt;/_created&gt;&lt;_modified&gt;60464816&lt;/_modified&gt;&lt;_translated_author&gt;Tai, Wanhuanbaoshu&lt;/_translated_author&gt;&lt;/Details&gt;&lt;Extra&gt;&lt;DBUID&gt;{0DA6E8B8-3A61-49AD-9027-1BB1B3F94C4B}&lt;/DBUID&gt;&lt;/Extra&gt;&lt;/Item&gt;&lt;/References&gt;&lt;/Group&gt;&lt;/Citation&gt;_x000a_"/>
    <w:docVar w:name="NE.Ref{44F8338D-FE2A-4ED2-9712-4A4A533B4B85}" w:val=" ADDIN NE.Ref.{44F8338D-FE2A-4ED2-9712-4A4A533B4B85}&lt;Citation&gt;&lt;Group&gt;&lt;References&gt;&lt;Item&gt;&lt;ID&gt;18&lt;/ID&gt;&lt;UID&gt;{72B39F2C-6F99-4C01-9DB6-F01C94F573CF}&lt;/UID&gt;&lt;Title&gt;应用COPERTⅢ模型计算中国机动车排放因子&lt;/Title&gt;&lt;Template&gt;Journal Article&lt;/Template&gt;&lt;Star&gt;0&lt;/Star&gt;&lt;Tag&gt;0&lt;/Tag&gt;&lt;Author&gt;谢绍东; 宋翔宇; 申新华&lt;/Author&gt;&lt;Year&gt;2006&lt;/Year&gt;&lt;Details&gt;&lt;_accessed&gt;60463644&lt;/_accessed&gt;&lt;_author_aff&gt;北京大学环境学院环境模拟与污染控制国家联合重点实验室; 北京大学环境学院环境模拟与污染控制国家联合重点实验室 北京100871; 北京100871&lt;/_author_aff&gt;&lt;_cate&gt;X734.2&lt;/_cate&gt;&lt;_cited_count&gt;13&lt;/_cited_count&gt;&lt;_created&gt;60463644&lt;/_created&gt;&lt;_funding&gt;国家重点基础研究发展计划(973)项目(2002CB211600);国家社会公益研究专项(2002DIB50130)&lt;/_funding&gt;&lt;_issue&gt;03&lt;/_issue&gt;&lt;_journal&gt;环境科学&lt;/_journal&gt;&lt;_keywords&gt;排放因子; 机动车; COPERTⅢ; CO; NOx; NMVOC; PM&lt;/_keywords&gt;&lt;_modified&gt;60463644&lt;/_modified&gt;&lt;_ref_count&gt;97&lt;/_ref_count&gt;&lt;_translated_author&gt;XIE, Shao-dong; SONG, Xiang-yu; SHEN, Xin-hua&lt;/_translated_author&gt;&lt;_url&gt;http://www.cnki.net/KCMS/detail/detail.aspx?filename=hjkz200603002&amp;amp;dbcode=CJFQ&amp;amp;dbname=CJFD2006&lt;/_url&gt;&lt;/Details&gt;&lt;Extra&gt;&lt;DBUID&gt;{0DA6E8B8-3A61-49AD-9027-1BB1B3F94C4B}&lt;/DBUID&gt;&lt;/Extra&gt;&lt;/Item&gt;&lt;/References&gt;&lt;/Group&gt;&lt;/Citation&gt;_x000a_"/>
    <w:docVar w:name="NE.Ref{460DEFBB-E247-4B56-85B5-DADA9B57E5F3}" w:val=" ADDIN NE.Ref.{460DEFBB-E247-4B56-85B5-DADA9B57E5F3}&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46C1B504-9EAA-4D2A-B03B-4383AA91C1B8}" w:val=" ADDIN NE.Ref.{46C1B504-9EAA-4D2A-B03B-4383AA91C1B8}&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46DEF358-E39C-407C-A2CB-0B50E9304299}" w:val=" ADDIN NE.Ref.{46DEF358-E39C-407C-A2CB-0B50E9304299}&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479E6187-1360-4871-BED7-97893E97DE3E}" w:val=" ADDIN NE.Ref.{479E6187-1360-4871-BED7-97893E97DE3E}&lt;Citation&gt;&lt;Group&gt;&lt;References&gt;&lt;Item&gt;&lt;ID&gt;98&lt;/ID&gt;&lt;UID&gt;{14696FE3-5437-4045-A687-0E76CCC1DD5F}&lt;/UID&gt;&lt;Title&gt;“十二五”主要污染物总量减排核算细则&lt;/Title&gt;&lt;Template&gt;Generic&lt;/Template&gt;&lt;Star&gt;0&lt;/Star&gt;&lt;Tag&gt;0&lt;/Tag&gt;&lt;Author&gt;广东省环境保护厅&lt;/Author&gt;&lt;Year&gt;2012&lt;/Year&gt;&lt;Details&gt;&lt;_accessed&gt;60514044&lt;/_accessed&gt;&lt;_created&gt;60514044&lt;/_created&gt;&lt;_modified&gt;60514044&lt;/_modified&gt;&lt;_place_published&gt;广州&lt;/_place_published&gt;&lt;_translated_author&gt;Guang, Dongshenghuanjingbaohuting&lt;/_translated_author&gt;&lt;/Details&gt;&lt;Extra&gt;&lt;DBUID&gt;{0DA6E8B8-3A61-49AD-9027-1BB1B3F94C4B}&lt;/DBUID&gt;&lt;/Extra&gt;&lt;/Item&gt;&lt;/References&gt;&lt;/Group&gt;&lt;/Citation&gt;_x000a_"/>
    <w:docVar w:name="NE.Ref{4901DA13-49C5-4A73-97E0-C66ABF61C8EC}" w:val=" ADDIN NE.Ref.{4901DA13-49C5-4A73-97E0-C66ABF61C8EC}&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49941A94-FE0B-4A06-8A38-A54A2766DECE}" w:val=" ADDIN NE.Ref.{49941A94-FE0B-4A06-8A38-A54A2766DECE}&lt;Citation&gt;&lt;Group&gt;&lt;References&gt;&lt;Item&gt;&lt;ID&gt;1&lt;/ID&gt;&lt;UID&gt;{6B18977D-9777-462E-95F6-D25F3A60E833}&lt;/UID&gt;&lt;Title&gt;“十二五”重点区域大气污染联防联控VOC排放清单和治理技术手册&lt;/Title&gt;&lt;Template&gt;Standard&lt;/Template&gt;&lt;Star&gt;0&lt;/Star&gt;&lt;Tag&gt;0&lt;/Tag&gt;&lt;Author&gt;环境保护部&lt;/Author&gt;&lt;Year&gt;2010&lt;/Year&gt;&lt;Details&gt;&lt;_accessed&gt;60463742&lt;/_accessed&gt;&lt;_created&gt;60463628&lt;/_created&gt;&lt;_modified&gt;60567113&lt;/_modified&gt;&lt;_translated_author&gt;Huan, Jingbaohubu&lt;/_translated_author&gt;&lt;/Details&gt;&lt;Extra&gt;&lt;DBUID&gt;{0DA6E8B8-3A61-49AD-9027-1BB1B3F94C4B}&lt;/DBUID&gt;&lt;/Extra&gt;&lt;/Item&gt;&lt;/References&gt;&lt;/Group&gt;&lt;/Citation&gt;_x000a_"/>
    <w:docVar w:name="NE.Ref{49EBE2CD-65FA-4300-92BE-3E9A0C8F3C46}" w:val=" ADDIN NE.Ref.{49EBE2CD-65FA-4300-92BE-3E9A0C8F3C46}&lt;Citation&gt;&lt;Group&gt;&lt;References&gt;&lt;Item&gt;&lt;ID&gt;75&lt;/ID&gt;&lt;UID&gt;{7DD10B3F-A17C-45F0-8587-8B75BF69DBC5}&lt;/UID&gt;&lt;Title&gt;广东农村统计年鉴2013&lt;/Title&gt;&lt;Template&gt;Book&lt;/Template&gt;&lt;Star&gt;0&lt;/Star&gt;&lt;Tag&gt;0&lt;/Tag&gt;&lt;Author&gt;广东农村统计年鉴编辑委员会&lt;/Author&gt;&lt;Year&gt;2013&lt;/Year&gt;&lt;Details&gt;&lt;_accessed&gt;60502165&lt;/_accessed&gt;&lt;_created&gt;60466451&lt;/_created&gt;&lt;_isbn&gt;978-7-5037-7289-4&lt;/_isbn&gt;&lt;_modified&gt;60505295&lt;/_modified&gt;&lt;_place_published&gt;北京&lt;/_place_published&gt;&lt;_publisher&gt;中国统计出版社&lt;/_publisher&gt;&lt;_translated_author&gt;Guang, Dongnongcuntongjinianjianbianjiweiyuanhui&lt;/_translated_author&gt;&lt;/Details&gt;&lt;Extra&gt;&lt;DBUID&gt;{0DA6E8B8-3A61-49AD-9027-1BB1B3F94C4B}&lt;/DBUID&gt;&lt;/Extra&gt;&lt;/Item&gt;&lt;/References&gt;&lt;/Group&gt;&lt;/Citation&gt;_x000a_"/>
    <w:docVar w:name="NE.Ref{4B027C38-8B3F-42AB-AE0C-1136C8126F65}" w:val=" ADDIN NE.Ref.{4B027C38-8B3F-42AB-AE0C-1136C8126F65}&lt;Citation&gt;&lt;Group&gt;&lt;References&gt;&lt;Item&gt;&lt;ID&gt;70&lt;/ID&gt;&lt;UID&gt;{DE7158D8-E393-446D-84DF-F0E05E9A042B}&lt;/UID&gt;&lt;Title&gt;广东省2012年公路水路交通统计分析报告&lt;/Title&gt;&lt;Template&gt;Report&lt;/Template&gt;&lt;Star&gt;0&lt;/Star&gt;&lt;Tag&gt;0&lt;/Tag&gt;&lt;Author&gt;广东省交通厅&lt;/Author&gt;&lt;Year&gt;2012&lt;/Year&gt;&lt;Details&gt;&lt;_accessed&gt;60465075&lt;/_accessed&gt;&lt;_created&gt;60465075&lt;/_created&gt;&lt;_modified&gt;60465075&lt;/_modified&gt;&lt;_translated_author&gt;Guang, Dongshengjiaotongting&lt;/_translated_author&gt;&lt;/Details&gt;&lt;Extra&gt;&lt;DBUID&gt;{0DA6E8B8-3A61-49AD-9027-1BB1B3F94C4B}&lt;/DBUID&gt;&lt;/Extra&gt;&lt;/Item&gt;&lt;/References&gt;&lt;/Group&gt;&lt;/Citation&gt;_x000a_"/>
    <w:docVar w:name="NE.Ref{4B11C336-DAED-4E4B-9FF8-10C4845A7940}" w:val=" ADDIN NE.Ref.{4B11C336-DAED-4E4B-9FF8-10C4845A7940}&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4BA1F14A-74C4-4369-BFC4-BC1343AC87BA}" w:val=" ADDIN NE.Ref.{4BA1F14A-74C4-4369-BFC4-BC1343AC87BA}&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4C3D19B2-ACB6-4A18-B47A-326A1F44EA40}" w:val=" ADDIN NE.Ref.{4C3D19B2-ACB6-4A18-B47A-326A1F44EA40}&lt;Citation&gt;&lt;Group&gt;&lt;References&gt;&lt;Item&gt;&lt;ID&gt;52&lt;/ID&gt;&lt;UID&gt;{DBBAD738-1404-4FCF-B52B-686AF1408233}&lt;/UID&gt;&lt;Title&gt;中国生物质燃烧大气污染物排放清单&lt;/Title&gt;&lt;Template&gt;Journal Article&lt;/Template&gt;&lt;Star&gt;0&lt;/Star&gt;&lt;Tag&gt;0&lt;/Tag&gt;&lt;Author&gt;田贺忠; 赵丹; 王艳&lt;/Author&gt;&lt;Year&gt;2011&lt;/Year&gt;&lt;Details&gt;&lt;_author_aff&gt;北京师范大学环境学院&lt;/_author_aff&gt;&lt;_cate&gt;X511&lt;/_cate&gt;&lt;_cited_count&gt;38&lt;/_cited_count&gt;&lt;_created&gt;60464771&lt;/_created&gt;&lt;_funding&gt;国家自然科学基金(No. 20677005, 40975061);  环保公益性行业科研专项(No. 20090924)~~&lt;/_funding&gt;&lt;_issue&gt;02&lt;/_issue&gt;&lt;_journal&gt;环境科学学报&lt;/_journal&gt;&lt;_keywords&gt;生物质; 燃烧; 大气污染物; 排放清单; 中国&lt;/_keywords&gt;&lt;_modified&gt;60464842&lt;/_modified&gt;&lt;_ref_count&gt;26&lt;/_ref_count&gt;&lt;_url&gt;http://www.cnki.net/KCMS/detail/detail.aspx?QueryID=0&amp;amp;CurRec=1&amp;amp;dbcode=CJFQ&amp;amp;dbname=CJFD2011&amp;amp;filename=HJXX201102017&amp;amp;urlid=&amp;amp;yx=&amp;amp;v=MDQ2NzgvQUxTZlRkckc0SDlETXJZOUVZNFI4ZVgxTHV4WVM3RGgxVDNxVHJXTTFGckNVUkw2ZVplZG5GeW5sVXI=&lt;/_url&gt;&lt;_translated_author&gt;Tian, Hezhong;Zhao, Dan;Wang, Yan&lt;/_translated_author&gt;&lt;/Details&gt;&lt;Extra&gt;&lt;DBUID&gt;{0DA6E8B8-3A61-49AD-9027-1BB1B3F94C4B}&lt;/DBUID&gt;&lt;/Extra&gt;&lt;/Item&gt;&lt;/References&gt;&lt;/Group&gt;&lt;/Citation&gt;_x000a_"/>
    <w:docVar w:name="NE.Ref{4E96C097-9DB3-46EA-ABB9-8A106448A5FB}" w:val=" ADDIN NE.Ref.{4E96C097-9DB3-46EA-ABB9-8A106448A5FB}&lt;Citation&gt;&lt;Group&gt;&lt;References&gt;&lt;Item&gt;&lt;ID&gt;63&lt;/ID&gt;&lt;UID&gt;{6929BEBA-911B-406D-A04A-AF4B04146C96}&lt;/UID&gt;&lt;Title&gt;中国VOC和NOx陆地生态源及其对对流层臭氧影响的数值模拟&lt;/Title&gt;&lt;Template&gt;Thesis&lt;/Template&gt;&lt;Star&gt;0&lt;/Star&gt;&lt;Tag&gt;0&lt;/Tag&gt;&lt;Author&gt;王勤耕&lt;/Author&gt;&lt;Year&gt;2001&lt;/Year&gt;&lt;Details&gt;&lt;_accessed&gt;60464798&lt;/_accessed&gt;&lt;_created&gt;60464798&lt;/_created&gt;&lt;_modified&gt;60464798&lt;/_modified&gt;&lt;_publisher&gt;中国科学院大气物理研究所&lt;/_publisher&gt;&lt;_volume&gt;博士&lt;/_volume&gt;&lt;_translated_author&gt;Wang, Qingeng&lt;/_translated_author&gt;&lt;/Details&gt;&lt;Extra&gt;&lt;DBUID&gt;{0DA6E8B8-3A61-49AD-9027-1BB1B3F94C4B}&lt;/DBUID&gt;&lt;/Extra&gt;&lt;/Item&gt;&lt;/References&gt;&lt;/Group&gt;&lt;/Citation&gt;_x000a_"/>
    <w:docVar w:name="NE.Ref{4F131319-81AF-4BEF-90C9-0F10BB427797}" w:val=" ADDIN NE.Ref.{4F131319-81AF-4BEF-90C9-0F10BB427797}&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4F7A39B8-E83C-49B2-B4A5-694148BEBE2D}" w:val=" ADDIN NE.Ref.{4F7A39B8-E83C-49B2-B4A5-694148BEBE2D}&lt;Citation&gt;&lt;Group&gt;&lt;References&gt;&lt;Item&gt;&lt;ID&gt;1&lt;/ID&gt;&lt;UID&gt;{6B18977D-9777-462E-95F6-D25F3A60E833}&lt;/UID&gt;&lt;Title&gt;“十二五”重点区域大气污染联防联控VOCs排放清单和治理技术手册&lt;/Title&gt;&lt;Template&gt;Standard&lt;/Template&gt;&lt;Star&gt;0&lt;/Star&gt;&lt;Tag&gt;0&lt;/Tag&gt;&lt;Author&gt;环境保护部&lt;/Author&gt;&lt;Year&gt;2010&lt;/Year&gt;&lt;Details&gt;&lt;_accessed&gt;60463742&lt;/_accessed&gt;&lt;_created&gt;60463628&lt;/_created&gt;&lt;_modified&gt;60464815&lt;/_modified&gt;&lt;_translated_author&gt;Huan, Jingbaohubu&lt;/_translated_author&gt;&lt;/Details&gt;&lt;Extra&gt;&lt;DBUID&gt;{0DA6E8B8-3A61-49AD-9027-1BB1B3F94C4B}&lt;/DBUID&gt;&lt;/Extra&gt;&lt;/Item&gt;&lt;/References&gt;&lt;/Group&gt;&lt;/Citation&gt;_x000a_"/>
    <w:docVar w:name="NE.Ref{4FD6EC91-D053-4024-8BAA-DA13E3F9CDF0}" w:val=" ADDIN NE.Ref.{4FD6EC91-D053-4024-8BAA-DA13E3F9CDF0}&lt;Citation&gt;&lt;Group&gt;&lt;References&gt;&lt;Item&gt;&lt;ID&gt;1&lt;/ID&gt;&lt;UID&gt;{6B18977D-9777-462E-95F6-D25F3A60E833}&lt;/UID&gt;&lt;Title&gt;“十二五”重点区域大气污染联防联控VOC排放清单和治理技术手册&lt;/Title&gt;&lt;Template&gt;Standard&lt;/Template&gt;&lt;Star&gt;0&lt;/Star&gt;&lt;Tag&gt;0&lt;/Tag&gt;&lt;Author&gt;环境保护部&lt;/Author&gt;&lt;Year&gt;2010&lt;/Year&gt;&lt;Details&gt;&lt;_accessed&gt;60463742&lt;/_accessed&gt;&lt;_created&gt;60463628&lt;/_created&gt;&lt;_modified&gt;60567113&lt;/_modified&gt;&lt;_translated_author&gt;Huan, Jingbaohubu&lt;/_translated_author&gt;&lt;/Details&gt;&lt;Extra&gt;&lt;DBUID&gt;{0DA6E8B8-3A61-49AD-9027-1BB1B3F94C4B}&lt;/DBUID&gt;&lt;/Extra&gt;&lt;/Item&gt;&lt;/References&gt;&lt;/Group&gt;&lt;/Citation&gt;_x000a_"/>
    <w:docVar w:name="NE.Ref{50283555-9EE4-4656-A0C0-BBB2AC5DF05F}" w:val=" ADDIN NE.Ref.{50283555-9EE4-4656-A0C0-BBB2AC5DF05F}&lt;Citation&gt;&lt;Group&gt;&lt;References&gt;&lt;Item&gt;&lt;ID&gt;1&lt;/ID&gt;&lt;UID&gt;{6B18977D-9777-462E-95F6-D25F3A60E833}&lt;/UID&gt;&lt;Title&gt;“十二五”重点区域大气污染联防联控VOC排放清单和治理技术手册&lt;/Title&gt;&lt;Template&gt;Standard&lt;/Template&gt;&lt;Star&gt;0&lt;/Star&gt;&lt;Tag&gt;0&lt;/Tag&gt;&lt;Author&gt;环境保护部&lt;/Author&gt;&lt;Year&gt;2010&lt;/Year&gt;&lt;Details&gt;&lt;_accessed&gt;60463742&lt;/_accessed&gt;&lt;_created&gt;60463628&lt;/_created&gt;&lt;_modified&gt;60567113&lt;/_modified&gt;&lt;_translated_author&gt;Huan, Jingbaohubu&lt;/_translated_author&gt;&lt;/Details&gt;&lt;Extra&gt;&lt;DBUID&gt;{0DA6E8B8-3A61-49AD-9027-1BB1B3F94C4B}&lt;/DBUID&gt;&lt;/Extra&gt;&lt;/Item&gt;&lt;/References&gt;&lt;/Group&gt;&lt;/Citation&gt;_x000a_"/>
    <w:docVar w:name="NE.Ref{5030BBB5-6D88-4500-94DC-7130332A4974}" w:val=" ADDIN NE.Ref.{5030BBB5-6D88-4500-94DC-7130332A4974}&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50AD7147-2EF4-444E-BD03-EE94164291B4}" w:val=" ADDIN NE.Ref.{50AD7147-2EF4-444E-BD03-EE94164291B4}&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5107DA7D-0F8C-411E-9A9C-82681E2FFBC4}" w:val=" ADDIN NE.Ref.{5107DA7D-0F8C-411E-9A9C-82681E2FFBC4}&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51A3518A-7CE3-483E-819C-2E96BA92A7FD}" w:val=" ADDIN NE.Ref.{51A3518A-7CE3-483E-819C-2E96BA92A7FD}&lt;Citation&gt;&lt;Group&gt;&lt;References&gt;&lt;Item&gt;&lt;ID&gt;61&lt;/ID&gt;&lt;UID&gt;{59DA4F2A-8DA6-4E21-8C8A-275797EE11DE}&lt;/UID&gt;&lt;Title&gt;Estimates of global terrestrial isoprene emissions using MEGAN (Model of Emissions of Gases and Aerosols from Nature)&lt;/Title&gt;&lt;Template&gt;Journal Article&lt;/Template&gt;&lt;Star&gt;0&lt;/Star&gt;&lt;Tag&gt;0&lt;/Tag&gt;&lt;Author&gt;Guenther, A; Karl, T; Harley, P; Wiedinmyer, C; Palmer, P I; Geron, C&lt;/Author&gt;&lt;Year&gt;2006&lt;/Year&gt;&lt;Details&gt;&lt;_alternate_title&gt;Atmospheric Chemistry and Physics&lt;/_alternate_title&gt;&lt;_created&gt;60464793&lt;/_created&gt;&lt;_date&gt;2006-01-01&lt;/_date&gt;&lt;_date_display&gt;2006&lt;/_date_display&gt;&lt;_doi&gt;10.5194/acp-6-3181-2006&lt;/_doi&gt;&lt;_isbn&gt;ISSN 1680-7316&lt;/_isbn&gt;&lt;_issue&gt;11&lt;/_issue&gt;&lt;_journal&gt;Atmospheric Chemistry and Physics&lt;/_journal&gt;&lt;_modified&gt;60464807&lt;/_modified&gt;&lt;_pages&gt;3181-3210&lt;/_pages&gt;&lt;_url&gt;http://dx.doi.org/10.5194/acp-6-3181-2006&lt;/_url&gt;&lt;_volume&gt;6&lt;/_volume&gt;&lt;_impact_factor&gt;   5.114&lt;/_impact_factor&gt;&lt;_collection_scope&gt;SCI;SCIE;&lt;/_collection_scope&gt;&lt;/Details&gt;&lt;Extra&gt;&lt;DBUID&gt;{0DA6E8B8-3A61-49AD-9027-1BB1B3F94C4B}&lt;/DBUID&gt;&lt;/Extra&gt;&lt;/Item&gt;&lt;/References&gt;&lt;/Group&gt;&lt;/Citation&gt;_x000a_"/>
    <w:docVar w:name="NE.Ref{51FAEB1D-BCD4-419F-B726-E13CB1471A70}" w:val=" ADDIN NE.Ref.{51FAEB1D-BCD4-419F-B726-E13CB1471A70}&lt;Citation&gt;&lt;Group&gt;&lt;References&gt;&lt;Item&gt;&lt;ID&gt;365&lt;/ID&gt;&lt;UID&gt;{55054E48-EAD3-4934-91B5-DA4E272DE897}&lt;/UID&gt;&lt;Title&gt;大气挥发性有机物源排放清单编制技术指南(试行)&lt;/Title&gt;&lt;Template&gt;Standard&lt;/Template&gt;&lt;Star&gt;0&lt;/Star&gt;&lt;Tag&gt;0&lt;/Tag&gt;&lt;Author&gt;环境保护部&lt;/Author&gt;&lt;Year&gt;2014&lt;/Year&gt;&lt;Details&gt;&lt;_accessed&gt;60463514&lt;/_accessed&gt;&lt;_created&gt;60463514&lt;/_created&gt;&lt;_modified&gt;60463514&lt;/_modified&gt;&lt;_translated_author&gt;Huan, Jingbaohubu&lt;/_translated_author&gt;&lt;/Details&gt;&lt;Extra&gt;&lt;DBUID&gt;{0C8895AB-960A-4B76-A0DA-38D8A76C4C8B}&lt;/DBUID&gt;&lt;/Extra&gt;&lt;/Item&gt;&lt;/References&gt;&lt;/Group&gt;&lt;/Citation&gt;_x000a_"/>
    <w:docVar w:name="NE.Ref{531E294B-41DC-49CA-A350-1774AB7AE8C8}" w:val=" ADDIN NE.Ref.{531E294B-41DC-49CA-A350-1774AB7AE8C8}&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543C638F-6C60-453C-9DCE-80D4EA52E0FF}" w:val=" ADDIN NE.Ref.{543C638F-6C60-453C-9DCE-80D4EA52E0FF}&lt;Citation&gt;&lt;Group&gt;&lt;References&gt;&lt;Item&gt;&lt;ID&gt;9&lt;/ID&gt;&lt;UID&gt;{9E324EA5-3AF7-4ECE-B023-DAF922E68099}&lt;/UID&gt;&lt;Title&gt;天津市大气污染源排放清单的建立&lt;/Title&gt;&lt;Template&gt;Journal Article&lt;/Template&gt;&lt;Star&gt;0&lt;/Star&gt;&lt;Tag&gt;0&lt;/Tag&gt;&lt;Author&gt;赵斌; 马建中&lt;/Author&gt;&lt;Year&gt;2008&lt;/Year&gt;&lt;Details&gt;&lt;_accessed&gt;60464686&lt;/_accessed&gt;&lt;_author_adr&gt;中国气象科学研究院,北京100081&lt;/_author_adr&gt;&lt;_created&gt;60463628&lt;/_created&gt;&lt;_db_provider&gt;重庆维普&lt;/_db_provider&gt;&lt;_isbn&gt;0253-2468&lt;/_isbn&gt;&lt;_issue&gt;2&lt;/_issue&gt;&lt;_journal&gt;环境科学学报&lt;/_journal&gt;&lt;_keywords&gt;排放源清单; 排放因子; 空气污染; 天津; emission inventory; emission factor; air pollution; Tianjin&lt;/_keywords&gt;&lt;_language&gt;Chinese&lt;/_language&gt;&lt;_modified&gt;60613150&lt;/_modified&gt;&lt;_pages&gt;368-375&lt;/_pages&gt;&lt;_translated_author&gt;ZHAO, Bin; MA, Jianzhong Chinese Academy Of; Beijing&lt;/_translated_author&gt;&lt;_translated_title&gt;Development of an air pollutant emission inventory for Tianjin&lt;/_translated_title&gt;&lt;_volume&gt;28&lt;/_volume&gt;&lt;_collection_scope&gt;中国科技核心期刊;中文核心期刊;CSCD;&lt;/_collection_scope&gt;&lt;/Details&gt;&lt;Extra&gt;&lt;DBUID&gt;{0DA6E8B8-3A61-49AD-9027-1BB1B3F94C4B}&lt;/DBUID&gt;&lt;/Extra&gt;&lt;/Item&gt;&lt;/References&gt;&lt;/Group&gt;&lt;/Citation&gt;_x000a_"/>
    <w:docVar w:name="NE.Ref{55D5D557-2BF2-41B6-8D9F-E83BF32098C9}" w:val=" ADDIN NE.Ref.{55D5D557-2BF2-41B6-8D9F-E83BF32098C9}&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5666173C-C44C-48E3-8E3E-A166DF8F2D3A}" w:val=" ADDIN NE.Ref.{5666173C-C44C-48E3-8E3E-A166DF8F2D3A}&lt;Citation&gt;&lt;Group&gt;&lt;References&gt;&lt;Item&gt;&lt;ID&gt;32&lt;/ID&gt;&lt;UID&gt;{2CE0A59C-9ADC-4FA1-AA22-36E718F363FC}&lt;/UID&gt;&lt;Title&gt;煤炭装卸、堆放起尘规律及煤尘扩散规律的研究&lt;/Title&gt;&lt;Template&gt;Journal Article&lt;/Template&gt;&lt;Star&gt;0&lt;/Star&gt;&lt;Tag&gt;0&lt;/Tag&gt;&lt;Author&gt;王宝章; 齐鸣; 徐铀; 全贵均; 马乾初; 施立人; 丁日方&lt;/Author&gt;&lt;Year&gt;1986&lt;/Year&gt;&lt;Details&gt;&lt;_accessed&gt;60463756&lt;/_accessed&gt;&lt;_author_aff&gt;交通部水运研究所; 武汉水运工程学院; 武汉水运工程学院&lt;/_author_aff&gt;&lt;_created&gt;60463755&lt;/_created&gt;&lt;_journal&gt;交通环保&lt;/_journal&gt;&lt;_keywords&gt;混合煤; 起动风速; 经验公式; 煤堆; 装卸工艺; 降尘量; 粒径分布; 煤颗粒; 地形模型; 山西大同&lt;/_keywords&gt;&lt;_modified&gt;60463756&lt;/_modified&gt;&lt;_ref_count&gt;8&lt;/_ref_count&gt;&lt;_url&gt;http://www.cnki.net/KCMS/detail/detail.aspx?filename=jthb1986z1000&amp;amp;dbcode=CJFQ&amp;amp;dbname=CJFD8589&lt;/_url&gt;&lt;_translated_author&gt;Wang, Baozhang;Qi, Ming;Xu, You;Quan, Guijun;Ma, Qianchu;Shi, Liren;Ding, Rifang&lt;/_translated_author&gt;&lt;/Details&gt;&lt;Extra&gt;&lt;DBUID&gt;{0DA6E8B8-3A61-49AD-9027-1BB1B3F94C4B}&lt;/DBUID&gt;&lt;/Extra&gt;&lt;/Item&gt;&lt;/References&gt;&lt;/Group&gt;&lt;/Citation&gt;_x000a_"/>
    <w:docVar w:name="NE.Ref{5671D5BD-F492-4C6E-9F42-0392816BA5F5}" w:val=" ADDIN NE.Ref.{5671D5BD-F492-4C6E-9F42-0392816BA5F5}&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568BEAB4-D35D-43E8-9B24-39F455C65BEB}" w:val=" ADDIN NE.Ref.{568BEAB4-D35D-43E8-9B24-39F455C65BEB}&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56EB49FB-BB15-4C90-907D-C098AB19205C}" w:val=" ADDIN NE.Ref.{56EB49FB-BB15-4C90-907D-C098AB19205C}&lt;Citation&gt;&lt;Group&gt;&lt;References&gt;&lt;Item&gt;&lt;ID&gt;7&lt;/ID&gt;&lt;UID&gt;{BD9BF6D2-F5BD-4E52-A587-6BB13834F2D1}&lt;/UID&gt;&lt;Title&gt;空气污染物排放量推估手册&lt;/Title&gt;&lt;Template&gt;Standard&lt;/Template&gt;&lt;Star&gt;0&lt;/Star&gt;&lt;Tag&gt;0&lt;/Tag&gt;&lt;Author&gt;台湾环保署&lt;/Author&gt;&lt;Year&gt;2006&lt;/Year&gt;&lt;Details&gt;&lt;_created&gt;60463628&lt;/_created&gt;&lt;_modified&gt;60464816&lt;/_modified&gt;&lt;_translated_author&gt;Tai, Wanhuanbaoshu&lt;/_translated_author&gt;&lt;/Details&gt;&lt;Extra&gt;&lt;DBUID&gt;{0DA6E8B8-3A61-49AD-9027-1BB1B3F94C4B}&lt;/DBUID&gt;&lt;/Extra&gt;&lt;/Item&gt;&lt;/References&gt;&lt;/Group&gt;&lt;/Citation&gt;_x000a_"/>
    <w:docVar w:name="NE.Ref{56EB7365-C3D5-4862-ADE2-304AC01FF9BB}" w:val=" ADDIN NE.Ref.{56EB7365-C3D5-4862-ADE2-304AC01FF9BB}&lt;Citation&gt;&lt;Group&gt;&lt;References&gt;&lt;Item&gt;&lt;ID&gt;40&lt;/ID&gt;&lt;UID&gt;{EFEA3AF8-3FB8-499A-97EA-E41E3D4FB58E}&lt;/UID&gt;&lt;Title&gt;Particulate and Trace Gas Emissions from Open Burning of Wheat Straw and Corn Stover in China&lt;/Title&gt;&lt;Template&gt;Journal Article&lt;/Template&gt;&lt;Star&gt;0&lt;/Star&gt;&lt;Tag&gt;0&lt;/Tag&gt;&lt;Author&gt;LI, XINGHUA; WANG, SHUXIAO; DUAN, LEI&lt;/Author&gt;&lt;Year&gt;2007&lt;/Year&gt;&lt;Details&gt;&lt;_accessed&gt;60464700&lt;/_accessed&gt;&lt;_author_adr&gt;Department of Environmental Science and Engineering,Tsinghua University,Beijing 100084,P.R.China&lt;/_author_adr&gt;&lt;_created&gt;60464697&lt;/_created&gt;&lt;_db_provider&gt;北京万方数据股份有限公司&lt;/_db_provider&gt;&lt;_doi&gt;10.1021/es0705137&lt;/_doi&gt;&lt;_isbn&gt;0013-936X&lt;/_isbn&gt;&lt;_issue&gt;17&lt;/_issue&gt;&lt;_journal&gt;Environmental Science &amp;amp; Technology&lt;/_journal&gt;&lt;_language&gt;eng&lt;/_language&gt;&lt;_modified&gt;60464700&lt;/_modified&gt;&lt;_pages&gt;6052-6058&lt;/_pages&gt;&lt;_url&gt;http://d.g.wanfangdata.com.cn/NSTLQK_NSTL_QKJJ028916023.aspx&lt;/_url&gt;&lt;_volume&gt;41&lt;/_volume&gt;&lt;_impact_factor&gt;   5.393&lt;/_impact_factor&gt;&lt;_collection_scope&gt;SCI;SCIE;&lt;/_collection_scope&gt;&lt;/Details&gt;&lt;Extra&gt;&lt;DBUID&gt;{0DA6E8B8-3A61-49AD-9027-1BB1B3F94C4B}&lt;/DBUID&gt;&lt;/Extra&gt;&lt;/Item&gt;&lt;/References&gt;&lt;/Group&gt;&lt;/Citation&gt;_x000a_"/>
    <w:docVar w:name="NE.Ref{575565B8-ECF6-4CC6-9543-C8973D660265}" w:val=" ADDIN NE.Ref.{575565B8-ECF6-4CC6-9543-C8973D660265}&lt;Citation&gt;&lt;Group&gt;&lt;References&gt;&lt;Item&gt;&lt;ID&gt;111&lt;/ID&gt;&lt;UID&gt;{830FA52A-B2F4-4271-AC52-05E1EEFB02C6}&lt;/UID&gt;&lt;Title&gt;广东省人为源氨排放清单及减排潜力研究&lt;/Title&gt;&lt;Template&gt;Journal Article&lt;/Template&gt;&lt;Star&gt;0&lt;/Star&gt;&lt;Tag&gt;0&lt;/Tag&gt;&lt;Author&gt;沈兴玲; 尹沙沙; 郑君瑜; 卢清; 钟流举&lt;/Author&gt;&lt;Year&gt;2014&lt;/Year&gt;&lt;Details&gt;&lt;_author_aff&gt;华南理工大学环境与能源学院; 广东省环境监测中心&lt;/_author_aff&gt;&lt;_cate&gt;X51&lt;/_cate&gt;&lt;_cited_count&gt;37&lt;/_cited_count&gt;&lt;_created&gt;60549774&lt;/_created&gt;&lt;_doi&gt;10.13671/j.hjkxxb.2014.01.024&lt;/_doi&gt;&lt;_funding&gt;国家自然科学基金-广东省联合基金项目(No.U1033001);国家自然科学基金项目(No.41175085);环保公益性行业科研专项(No.201109008)~~&lt;/_funding&gt;&lt;_issue&gt;01&lt;/_issue&gt;&lt;_journal&gt;环境科学学报&lt;/_journal&gt;&lt;_keywords&gt;人为氨源; 排放清单; 畜禽; 广东省; 减排潜力&lt;/_keywords&gt;&lt;_modified&gt;60551092&lt;/_modified&gt;&lt;_url&gt;http://www.cnki.net/KCMS/detail/detail.aspx?filename=hjxx201401006&amp;amp;dbcode=CJFQ&amp;amp;dbname=CJFDLAST2014&lt;/_url&gt;&lt;_collection_scope&gt;中国科技核心期刊;中文核心期刊;CSCD;&lt;/_collection_scope&gt;&lt;_translated_author&gt;Shen, Xingling;Yin, Shasha;Zheng, Junyu;Lu, Qing;Zhong, Liuju&lt;/_translated_author&gt;&lt;/Details&gt;&lt;Extra&gt;&lt;DBUID&gt;{0DA6E8B8-3A61-49AD-9027-1BB1B3F94C4B}&lt;/DBUID&gt;&lt;/Extra&gt;&lt;/Item&gt;&lt;/References&gt;&lt;/Group&gt;&lt;/Citation&gt;_x000a_"/>
    <w:docVar w:name="NE.Ref{58FCD126-2626-4A9F-BABF-4FBFEE58A91D}" w:val=" ADDIN NE.Ref.{58FCD126-2626-4A9F-BABF-4FBFEE58A91D}&lt;Citation&gt;&lt;Group&gt;&lt;References&gt;&lt;Item&gt;&lt;ID&gt;7&lt;/ID&gt;&lt;UID&gt;{BD9BF6D2-F5BD-4E52-A587-6BB13834F2D1}&lt;/UID&gt;&lt;Title&gt;空气污染物排放量推估手册&lt;/Title&gt;&lt;Template&gt;Standard&lt;/Template&gt;&lt;Star&gt;0&lt;/Star&gt;&lt;Tag&gt;0&lt;/Tag&gt;&lt;Author&gt;台湾环保署&lt;/Author&gt;&lt;Year&gt;2006&lt;/Year&gt;&lt;Details&gt;&lt;_created&gt;60463628&lt;/_created&gt;&lt;_modified&gt;60464816&lt;/_modified&gt;&lt;_translated_author&gt;Tai, Wanhuanbaoshu&lt;/_translated_author&gt;&lt;/Details&gt;&lt;Extra&gt;&lt;DBUID&gt;{0DA6E8B8-3A61-49AD-9027-1BB1B3F94C4B}&lt;/DBUID&gt;&lt;/Extra&gt;&lt;/Item&gt;&lt;/References&gt;&lt;/Group&gt;&lt;/Citation&gt;_x000a_"/>
    <w:docVar w:name="NE.Ref{59AE6ED5-0253-4174-8270-EBB4B1153163}" w:val=" ADDIN NE.Ref.{59AE6ED5-0253-4174-8270-EBB4B1153163}&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5AD50F0F-022C-448A-82FD-309A96ADC29F}" w:val=" ADDIN NE.Ref.{5AD50F0F-022C-448A-82FD-309A96ADC29F}&lt;Citation&gt;&lt;Group&gt;&lt;References&gt;&lt;Item&gt;&lt;ID&gt;1&lt;/ID&gt;&lt;UID&gt;{6B18977D-9777-462E-95F6-D25F3A60E833}&lt;/UID&gt;&lt;Title&gt;“十二五”重点区域大气污染联防联控VOCs排放清单和治理技术手册&lt;/Title&gt;&lt;Template&gt;Standard&lt;/Template&gt;&lt;Star&gt;0&lt;/Star&gt;&lt;Tag&gt;0&lt;/Tag&gt;&lt;Author&gt;环境保护部&lt;/Author&gt;&lt;Year&gt;2010&lt;/Year&gt;&lt;Details&gt;&lt;_accessed&gt;60463742&lt;/_accessed&gt;&lt;_created&gt;60463628&lt;/_created&gt;&lt;_modified&gt;60464815&lt;/_modified&gt;&lt;_translated_author&gt;Huan, Jingbaohubu&lt;/_translated_author&gt;&lt;/Details&gt;&lt;Extra&gt;&lt;DBUID&gt;{0DA6E8B8-3A61-49AD-9027-1BB1B3F94C4B}&lt;/DBUID&gt;&lt;/Extra&gt;&lt;/Item&gt;&lt;/References&gt;&lt;/Group&gt;&lt;/Citation&gt;_x000a_"/>
    <w:docVar w:name="NE.Ref{5BAFBB8E-D12A-41AF-8D91-6622F58C22DC}" w:val=" ADDIN NE.Ref.{5BAFBB8E-D12A-41AF-8D91-6622F58C22DC}&lt;Citation&gt;&lt;Group&gt;&lt;References&gt;&lt;Item&gt;&lt;ID&gt;65&lt;/ID&gt;&lt;UID&gt;{4119D0A5-C655-4EE3-9467-0050172FC1B0}&lt;/UID&gt;&lt;Title&gt;An improved model for estimating emissions of volatile organic compounds from forests in the eastern United States&lt;/Title&gt;&lt;Template&gt;Journal Article&lt;/Template&gt;&lt;Star&gt;0&lt;/Star&gt;&lt;Tag&gt;0&lt;/Tag&gt;&lt;Author&gt;Geron, Christopher D; Guenther, Alex B; Pierce, Thomas E&lt;/Author&gt;&lt;Year&gt;1994&lt;/Year&gt;&lt;Details&gt;&lt;_created&gt;60464802&lt;/_created&gt;&lt;_db_provider&gt;Wiley-Blackwell&lt;/_db_provider&gt;&lt;_doi&gt;10.1029/94JD00246&lt;/_doi&gt;&lt;_issue&gt;D6&lt;/_issue&gt;&lt;_journal&gt;Journal of Geophysical Research: Atmospheres (1984–2012)&lt;/_journal&gt;&lt;_language&gt;English&lt;/_language&gt;&lt;_modified&gt;60464803&lt;/_modified&gt;&lt;_pages&gt;12773–12791&lt;/_pages&gt;&lt;_url&gt;http://onlinelibrary.wiley.com/doi/10.1029/94JD00246/abstract&lt;/_url&gt;&lt;_volume&gt;99&lt;/_volume&gt;&lt;/Details&gt;&lt;Extra&gt;&lt;DBUID&gt;{0DA6E8B8-3A61-49AD-9027-1BB1B3F94C4B}&lt;/DBUID&gt;&lt;/Extra&gt;&lt;/Item&gt;&lt;/References&gt;&lt;/Group&gt;&lt;/Citation&gt;_x000a_"/>
    <w:docVar w:name="NE.Ref{5CF509C9-8D23-4CAF-9F86-9D256C29731F}" w:val=" ADDIN NE.Ref.{5CF509C9-8D23-4CAF-9F86-9D256C29731F}&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5D99CBB6-EE7B-4A41-BDBF-A3EA5A890A25}" w:val=" ADDIN NE.Ref.{5D99CBB6-EE7B-4A41-BDBF-A3EA5A890A25}&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5EC30EC3-E847-4825-A8DF-D6DB9755FBE8}" w:val=" ADDIN NE.Ref.{5EC30EC3-E847-4825-A8DF-D6DB9755FBE8}&lt;Citation&gt;&lt;Group&gt;&lt;References&gt;&lt;Item&gt;&lt;ID&gt;52&lt;/ID&gt;&lt;UID&gt;{DBBAD738-1404-4FCF-B52B-686AF1408233}&lt;/UID&gt;&lt;Title&gt;中国生物质燃烧大气污染物排放清单&lt;/Title&gt;&lt;Template&gt;Journal Article&lt;/Template&gt;&lt;Star&gt;0&lt;/Star&gt;&lt;Tag&gt;0&lt;/Tag&gt;&lt;Author&gt;田贺忠; 赵丹; 王艳&lt;/Author&gt;&lt;Year&gt;2011&lt;/Year&gt;&lt;Details&gt;&lt;_author_aff&gt;北京师范大学环境学院&lt;/_author_aff&gt;&lt;_cate&gt;X511&lt;/_cate&gt;&lt;_cited_count&gt;38&lt;/_cited_count&gt;&lt;_collection_scope&gt;中国科技核心期刊;中文核心期刊;CSCD;&lt;/_collection_scope&gt;&lt;_created&gt;60464771&lt;/_created&gt;&lt;_funding&gt;国家自然科学基金(No. 20677005, 40975061);  环保公益性行业科研专项(No. 20090924)~~&lt;/_funding&gt;&lt;_issue&gt;02&lt;/_issue&gt;&lt;_journal&gt;环境科学学报&lt;/_journal&gt;&lt;_keywords&gt;生物质; 燃烧; 大气污染物; 排放清单; 中国&lt;/_keywords&gt;&lt;_modified&gt;61293118&lt;/_modified&gt;&lt;_ref_count&gt;26&lt;/_ref_count&gt;&lt;_url&gt;http://www.cnki.net/KCMS/detail/detail.aspx?QueryID=0&amp;amp;CurRec=1&amp;amp;dbcode=CJFQ&amp;amp;dbname=CJFD2011&amp;amp;filename=HJXX201102017&amp;amp;urlid=&amp;amp;yx=&amp;amp;v=MDQ2NzgvQUxTZlRkckc0SDlETXJZOUVZNFI4ZVgxTHV4WVM3RGgxVDNxVHJXTTFGckNVUkw2ZVplZG5GeW5sVXI=&lt;/_url&gt;&lt;_translated_author&gt;Tian, Hezhong;Zhao, Dan;Wang, Yan&lt;/_translated_author&gt;&lt;/Details&gt;&lt;Extra&gt;&lt;DBUID&gt;{0DA6E8B8-3A61-49AD-9027-1BB1B3F94C4B}&lt;/DBUID&gt;&lt;/Extra&gt;&lt;/Item&gt;&lt;/References&gt;&lt;/Group&gt;&lt;/Citation&gt;_x000a_"/>
    <w:docVar w:name="NE.Ref{5F01DD2E-1831-43E0-AA9B-E097FD2707C4}" w:val=" ADDIN NE.Ref.{5F01DD2E-1831-43E0-AA9B-E097FD2707C4}&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604CE91C-2435-495C-8E7F-B9A847ECF07F}" w:val=" ADDIN NE.Ref.{604CE91C-2435-495C-8E7F-B9A847ECF07F}&lt;Citation&gt;&lt;Group&gt;&lt;References&gt;&lt;Item&gt;&lt;ID&gt;6&lt;/ID&gt;&lt;UID&gt;{C750CAA6-5CD6-4859-85F2-6F0C87C3B30C}&lt;/UID&gt;&lt;Title&gt;广东省集装箱制造行业VOCs排放标准研究&lt;/Title&gt;&lt;Template&gt;Report&lt;/Template&gt;&lt;Star&gt;0&lt;/Star&gt;&lt;Tag&gt;0&lt;/Tag&gt;&lt;Author&gt;广东省环境科学研究院&lt;/Author&gt;&lt;Year&gt;2014&lt;/Year&gt;&lt;Details&gt;&lt;_created&gt;60463628&lt;/_created&gt;&lt;_modified&gt;60463628&lt;/_modified&gt;&lt;_place_published&gt;广州&lt;/_place_published&gt;&lt;_translated_author&gt;Guang, Dongshenghuanjingkexueyanjiuyuan&lt;/_translated_author&gt;&lt;/Details&gt;&lt;Extra&gt;&lt;DBUID&gt;{0DA6E8B8-3A61-49AD-9027-1BB1B3F94C4B}&lt;/DBUID&gt;&lt;/Extra&gt;&lt;/Item&gt;&lt;/References&gt;&lt;/Group&gt;&lt;/Citation&gt;_x000a_"/>
    <w:docVar w:name="NE.Ref{60AE001A-0087-4E5E-B83F-CE408526243E}" w:val=" ADDIN NE.Ref.{60AE001A-0087-4E5E-B83F-CE408526243E}&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60D4435D-015A-4F23-A015-6714921A0975}" w:val=" ADDIN NE.Ref.{60D4435D-015A-4F23-A015-6714921A0975}&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60DC9E61-FF04-49D0-9BA2-B6CCBE8E4C89}" w:val=" ADDIN NE.Ref.{60DC9E61-FF04-49D0-9BA2-B6CCBE8E4C89}&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61F5F101-73A8-4471-96E0-BD554CB779EE}" w:val=" ADDIN NE.Ref.{61F5F101-73A8-4471-96E0-BD554CB779EE}&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62A37B21-E51B-49CA-B4E0-F6895C415A00}" w:val=" ADDIN NE.Ref.{62A37B21-E51B-49CA-B4E0-F6895C415A00}&lt;Citation&gt;&lt;Group&gt;&lt;References&gt;&lt;Item&gt;&lt;ID&gt;1&lt;/ID&gt;&lt;UID&gt;{6B18977D-9777-462E-95F6-D25F3A60E833}&lt;/UID&gt;&lt;Title&gt;“十二五”重点区域大气污染联防联控VOCs排放清单和治理技术手册&lt;/Title&gt;&lt;Template&gt;Standard&lt;/Template&gt;&lt;Star&gt;0&lt;/Star&gt;&lt;Tag&gt;0&lt;/Tag&gt;&lt;Author&gt;环境保护部&lt;/Author&gt;&lt;Year&gt;2010&lt;/Year&gt;&lt;Details&gt;&lt;_accessed&gt;60463742&lt;/_accessed&gt;&lt;_created&gt;60463628&lt;/_created&gt;&lt;_modified&gt;60464815&lt;/_modified&gt;&lt;_translated_author&gt;Huan, Jingbaohubu&lt;/_translated_author&gt;&lt;/Details&gt;&lt;Extra&gt;&lt;DBUID&gt;{0DA6E8B8-3A61-49AD-9027-1BB1B3F94C4B}&lt;/DBUID&gt;&lt;/Extra&gt;&lt;/Item&gt;&lt;/References&gt;&lt;/Group&gt;&lt;/Citation&gt;_x000a_"/>
    <w:docVar w:name="NE.Ref{63349A30-15E5-4A85-BC4D-D7B67B7164BB}" w:val=" ADDIN NE.Ref.{63349A30-15E5-4A85-BC4D-D7B67B7164BB}&lt;Citation&gt;&lt;Group&gt;&lt;References&gt;&lt;Item&gt;&lt;ID&gt;363&lt;/ID&gt;&lt;UID&gt;{65E16E74-F240-4FB8-8662-7B4BE7323502}&lt;/UID&gt;&lt;Title&gt;大气细颗粒物(PM2.5)源排放清单编制技术指南（试行）&lt;/Title&gt;&lt;Template&gt;Standard&lt;/Template&gt;&lt;Star&gt;0&lt;/Star&gt;&lt;Tag&gt;0&lt;/Tag&gt;&lt;Author&gt;环境保护部&lt;/Author&gt;&lt;Year&gt;2014&lt;/Year&gt;&lt;Details&gt;&lt;_accessed&gt;60463499&lt;/_accessed&gt;&lt;_created&gt;60463498&lt;/_created&gt;&lt;_modified&gt;60463499&lt;/_modified&gt;&lt;_translated_author&gt;Huan, Jingbaohubu&lt;/_translated_author&gt;&lt;/Details&gt;&lt;Extra&gt;&lt;DBUID&gt;{0C8895AB-960A-4B76-A0DA-38D8A76C4C8B}&lt;/DBUID&gt;&lt;/Extra&gt;&lt;/Item&gt;&lt;/References&gt;&lt;/Group&gt;&lt;/Citation&gt;_x000a_"/>
    <w:docVar w:name="NE.Ref{63BF8A0A-D179-4EB9-9EEF-CE0F7C49496D}" w:val=" ADDIN NE.Ref.{63BF8A0A-D179-4EB9-9EEF-CE0F7C49496D}&lt;Citation&gt;&lt;Group&gt;&lt;References&gt;&lt;Item&gt;&lt;ID&gt;84&lt;/ID&gt;&lt;UID&gt;{4D7F9A4C-2E27-4456-B574-12FAD09E9D49}&lt;/UID&gt;&lt;Title&gt;油墨行业调查：2011年国内油墨使用统计数据&lt;/Title&gt;&lt;Template&gt;Web Page&lt;/Template&gt;&lt;Star&gt;0&lt;/Star&gt;&lt;Tag&gt;0&lt;/Tag&gt;&lt;Author&gt;广告买卖网&lt;/Author&gt;&lt;Year&gt;2011&lt;/Year&gt;&lt;Details&gt;&lt;_url&gt;http://www.admaimai.com/contact/detail/2/94222.htm&lt;/_url&gt;&lt;_accessed&gt;60501164&lt;/_accessed&gt;&lt;_created&gt;60501164&lt;/_created&gt;&lt;_modified&gt;60501164&lt;/_modified&gt;&lt;_translated_author&gt;Guang, Gaomaimaiwang&lt;/_translated_author&gt;&lt;/Details&gt;&lt;Extra&gt;&lt;DBUID&gt;{0DA6E8B8-3A61-49AD-9027-1BB1B3F94C4B}&lt;/DBUID&gt;&lt;/Extra&gt;&lt;/Item&gt;&lt;/References&gt;&lt;/Group&gt;&lt;/Citation&gt;_x000a_"/>
    <w:docVar w:name="NE.Ref{645B4B6A-99E3-4B0B-8E84-9EBC6C1885C0}" w:val=" ADDIN NE.Ref.{645B4B6A-99E3-4B0B-8E84-9EBC6C1885C0}&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6564235A-41D6-4595-A9F3-74118EF1895F}" w:val=" ADDIN NE.Ref.{6564235A-41D6-4595-A9F3-74118EF1895F}&lt;Citation&gt;&lt;Group&gt;&lt;References&gt;&lt;Item&gt;&lt;ID&gt;9&lt;/ID&gt;&lt;UID&gt;{9E324EA5-3AF7-4ECE-B023-DAF922E68099}&lt;/UID&gt;&lt;Title&gt;天津市大气污染源排放清单的建立&lt;/Title&gt;&lt;Template&gt;Journal Article&lt;/Template&gt;&lt;Star&gt;0&lt;/Star&gt;&lt;Tag&gt;0&lt;/Tag&gt;&lt;Author&gt;赵斌; 马建中&lt;/Author&gt;&lt;Year&gt;2008&lt;/Year&gt;&lt;Details&gt;&lt;_accessed&gt;60464686&lt;/_accessed&gt;&lt;_author_adr&gt;中国气象科学研究院,北京100081&lt;/_author_adr&gt;&lt;_created&gt;60463628&lt;/_created&gt;&lt;_db_provider&gt;重庆维普&lt;/_db_provider&gt;&lt;_isbn&gt;0253-2468&lt;/_isbn&gt;&lt;_issue&gt;2&lt;/_issue&gt;&lt;_journal&gt;环境科学学报&lt;/_journal&gt;&lt;_keywords&gt;排放源清单; 排放因子; 空气污染; 天津; emission inventory; emission factor; air pollution; Tianjin&lt;/_keywords&gt;&lt;_language&gt;Chinese&lt;/_language&gt;&lt;_modified&gt;60613150&lt;/_modified&gt;&lt;_pages&gt;368-375&lt;/_pages&gt;&lt;_translated_author&gt;ZHAO, Bin; MA, Jianzhong Chinese Academy Of; Beijing&lt;/_translated_author&gt;&lt;_translated_title&gt;Development of an air pollutant emission inventory for Tianjin&lt;/_translated_title&gt;&lt;_volume&gt;28&lt;/_volume&gt;&lt;_collection_scope&gt;中国科技核心期刊;中文核心期刊;CSCD;&lt;/_collection_scope&gt;&lt;/Details&gt;&lt;Extra&gt;&lt;DBUID&gt;{0DA6E8B8-3A61-49AD-9027-1BB1B3F94C4B}&lt;/DBUID&gt;&lt;/Extra&gt;&lt;/Item&gt;&lt;/References&gt;&lt;/Group&gt;&lt;/Citation&gt;_x000a_"/>
    <w:docVar w:name="NE.Ref{661464A8-0EF8-4D1F-BC2E-C2AF69EDCC1E}" w:val=" ADDIN NE.Ref.{661464A8-0EF8-4D1F-BC2E-C2AF69EDCC1E}&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68136195-5950-4A2E-9272-12DDB0DBEE49}" w:val=" ADDIN NE.Ref.{68136195-5950-4A2E-9272-12DDB0DBEE49}&lt;Citation&gt;&lt;Group&gt;&lt;References&gt;&lt;Item&gt;&lt;ID&gt;1&lt;/ID&gt;&lt;UID&gt;{6B18977D-9777-462E-95F6-D25F3A60E833}&lt;/UID&gt;&lt;Title&gt;“十二五”重点区域大气污染联防联控VOCs排放清单和治理技术手册&lt;/Title&gt;&lt;Template&gt;Standard&lt;/Template&gt;&lt;Star&gt;0&lt;/Star&gt;&lt;Tag&gt;0&lt;/Tag&gt;&lt;Author&gt;环境保护部&lt;/Author&gt;&lt;Year&gt;2010&lt;/Year&gt;&lt;Details&gt;&lt;_accessed&gt;60463742&lt;/_accessed&gt;&lt;_created&gt;60463628&lt;/_created&gt;&lt;_modified&gt;60464815&lt;/_modified&gt;&lt;_translated_author&gt;Huan, Jingbaohubu&lt;/_translated_author&gt;&lt;/Details&gt;&lt;Extra&gt;&lt;DBUID&gt;{0DA6E8B8-3A61-49AD-9027-1BB1B3F94C4B}&lt;/DBUID&gt;&lt;/Extra&gt;&lt;/Item&gt;&lt;/References&gt;&lt;/Group&gt;&lt;/Citation&gt;_x000a_"/>
    <w:docVar w:name="NE.Ref{6836FF2B-0483-44F9-9734-8532CC965498}" w:val=" ADDIN NE.Ref.{6836FF2B-0483-44F9-9734-8532CC965498}&lt;Citation&gt;&lt;Group&gt;&lt;References&gt;&lt;Item&gt;&lt;ID&gt;3&lt;/ID&gt;&lt;UID&gt;{415C0B6A-71B5-4651-B803-42EB584B8276}&lt;/UID&gt;&lt;Title&gt;大气可吸入颗粒物一次源排放清单编制技术指南（试行）&lt;/Title&gt;&lt;Template&gt;Standard&lt;/Template&gt;&lt;Star&gt;0&lt;/Star&gt;&lt;Tag&gt;0&lt;/Tag&gt;&lt;Author&gt;环境保护部&lt;/Author&gt;&lt;Year&gt;2014&lt;/Year&gt;&lt;Details&gt;&lt;_accessed&gt;60544403&lt;/_accessed&gt;&lt;_created&gt;60463628&lt;/_created&gt;&lt;_modified&gt;60464816&lt;/_modified&gt;&lt;_translated_author&gt;Huan, Jingbaohubu&lt;/_translated_author&gt;&lt;/Details&gt;&lt;Extra&gt;&lt;DBUID&gt;{0DA6E8B8-3A61-49AD-9027-1BB1B3F94C4B}&lt;/DBUID&gt;&lt;/Extra&gt;&lt;/Item&gt;&lt;/References&gt;&lt;/Group&gt;&lt;Group&gt;&lt;References&gt;&lt;Item&gt;&lt;ID&gt;4&lt;/ID&gt;&lt;UID&gt;{E57F084E-0472-493F-A584-41A59FE7A954}&lt;/UID&gt;&lt;Title&gt;大气细颗粒物一次源排放清单编制技术指南（试行）&lt;/Title&gt;&lt;Template&gt;Standard&lt;/Template&gt;&lt;Star&gt;0&lt;/Star&gt;&lt;Tag&gt;0&lt;/Tag&gt;&lt;Author&gt;环境保护部&lt;/Author&gt;&lt;Year&gt;2014&lt;/Year&gt;&lt;Details&gt;&lt;_created&gt;60463628&lt;/_created&gt;&lt;_modified&gt;60465005&lt;/_modified&gt;&lt;_translated_author&gt;Huan, Jingbaohubu&lt;/_translated_author&gt;&lt;/Details&gt;&lt;Extra&gt;&lt;DBUID&gt;{0DA6E8B8-3A61-49AD-9027-1BB1B3F94C4B}&lt;/DBUID&gt;&lt;/Extra&gt;&lt;/Item&gt;&lt;/References&gt;&lt;/Group&gt;&lt;/Citation&gt;_x000a_"/>
    <w:docVar w:name="NE.Ref{69E5B0A8-79CC-4A80-A95E-F83773E7C379}" w:val=" ADDIN NE.Ref.{69E5B0A8-79CC-4A80-A95E-F83773E7C379}&lt;Citation&gt;&lt;Group&gt;&lt;References&gt;&lt;Item&gt;&lt;ID&gt;134&lt;/ID&gt;&lt;UID&gt;{DF74DC0F-A141-442B-90A7-E8D76A560C78}&lt;/UID&gt;&lt;Title&gt;潮州统计年鉴2015&lt;/Title&gt;&lt;Template&gt;Book&lt;/Template&gt;&lt;Star&gt;0&lt;/Star&gt;&lt;Tag&gt;0&lt;/Tag&gt;&lt;Author&gt;潮州市统计局; 国家统计局潮州调查队&lt;/Author&gt;&lt;Year&gt;2015&lt;/Year&gt;&lt;Details&gt;&lt;_accessed&gt;61293121&lt;/_accessed&gt;&lt;_created&gt;61293121&lt;/_created&gt;&lt;_modified&gt;61293121&lt;/_modified&gt;&lt;_place_published&gt;潮州&lt;/_place_published&gt;&lt;_translated_author&gt;Chao, Zhoushitongjiju;Guo, Jiatongjijuchaozhoudiaochadui&lt;/_translated_author&gt;&lt;/Details&gt;&lt;Extra&gt;&lt;DBUID&gt;{0DA6E8B8-3A61-49AD-9027-1BB1B3F94C4B}&lt;/DBUID&gt;&lt;/Extra&gt;&lt;/Item&gt;&lt;/References&gt;&lt;/Group&gt;&lt;/Citation&gt;_x000a_"/>
    <w:docVar w:name="NE.Ref{6A82B1B7-7A16-4823-8984-CCB35A467E90}" w:val=" ADDIN NE.Ref.{6A82B1B7-7A16-4823-8984-CCB35A467E90}&lt;Citation&gt;&lt;Group&gt;&lt;References&gt;&lt;Item&gt;&lt;ID&gt;139&lt;/ID&gt;&lt;UID&gt;{A7E2BDFE-D691-4C99-BEB8-213EEDA7BB78}&lt;/UID&gt;&lt;Title&gt;中国能源统计年鉴2015&lt;/Title&gt;&lt;Template&gt;Book&lt;/Template&gt;&lt;Star&gt;0&lt;/Star&gt;&lt;Tag&gt;0&lt;/Tag&gt;&lt;Author&gt;国家统计局能源统计司&lt;/Author&gt;&lt;Year&gt;2015&lt;/Year&gt;&lt;Details&gt;&lt;_accessed&gt;61305097&lt;/_accessed&gt;&lt;_created&gt;60465122&lt;/_created&gt;&lt;_isbn&gt;978-7-5037-7022-7&lt;/_isbn&gt;&lt;_modified&gt;61305097&lt;/_modified&gt;&lt;_place_published&gt;北京&lt;/_place_published&gt;&lt;_publisher&gt;中国统计出版社&lt;/_publisher&gt;&lt;_translated_author&gt;Guo, Jiatongjijunengyuantongjisi&lt;/_translated_author&gt;&lt;/Details&gt;&lt;Extra&gt;&lt;DBUID&gt;{0DA6E8B8-3A61-49AD-9027-1BB1B3F94C4B}&lt;/DBUID&gt;&lt;/Extra&gt;&lt;/Item&gt;&lt;/References&gt;&lt;/Group&gt;&lt;/Citation&gt;_x000a_"/>
    <w:docVar w:name="NE.Ref{6C6B8D76-B6F7-4346-B70D-D678EB63F9C3}" w:val=" ADDIN NE.Ref.{6C6B8D76-B6F7-4346-B70D-D678EB63F9C3}&lt;Citation&gt;&lt;Group&gt;&lt;References&gt;&lt;Item&gt;&lt;ID&gt;82&lt;/ID&gt;&lt;UID&gt;{269DF353-C02A-4C5D-8EFD-F40713C5CF51}&lt;/UID&gt;&lt;Title&gt;2013年广东省木质家具产量统计分析&lt;/Title&gt;&lt;Template&gt;Web Page&lt;/Template&gt;&lt;Star&gt;0&lt;/Star&gt;&lt;Tag&gt;0&lt;/Tag&gt;&lt;Author&gt;中商情报网&lt;/Author&gt;&lt;Year&gt;2013&lt;/Year&gt;&lt;Details&gt;&lt;_accessed&gt;60501161&lt;/_accessed&gt;&lt;_created&gt;60501159&lt;/_created&gt;&lt;_modified&gt;60501159&lt;/_modified&gt;&lt;_translated_author&gt;Zhong, Shangqingbaowang&lt;/_translated_author&gt;&lt;/Details&gt;&lt;Extra&gt;&lt;DBUID&gt;{0DA6E8B8-3A61-49AD-9027-1BB1B3F94C4B}&lt;/DBUID&gt;&lt;/Extra&gt;&lt;/Item&gt;&lt;/References&gt;&lt;/Group&gt;&lt;/Citation&gt;_x000a_"/>
    <w:docVar w:name="NE.Ref{6D5F679B-E79A-4AA9-833E-2F457D6BD75A}" w:val=" ADDIN NE.Ref.{6D5F679B-E79A-4AA9-833E-2F457D6BD75A}&lt;Citation&gt;&lt;Group&gt;&lt;References&gt;&lt;Item&gt;&lt;ID&gt;7&lt;/ID&gt;&lt;UID&gt;{BD9BF6D2-F5BD-4E52-A587-6BB13834F2D1}&lt;/UID&gt;&lt;Title&gt;空气污染物排放量推估手册&lt;/Title&gt;&lt;Template&gt;Standard&lt;/Template&gt;&lt;Star&gt;0&lt;/Star&gt;&lt;Tag&gt;0&lt;/Tag&gt;&lt;Author&gt;台湾环保署&lt;/Author&gt;&lt;Year&gt;2006&lt;/Year&gt;&lt;Details&gt;&lt;_created&gt;60463628&lt;/_created&gt;&lt;_modified&gt;60464816&lt;/_modified&gt;&lt;_translated_author&gt;Tai, Wanhuanbaoshu&lt;/_translated_author&gt;&lt;/Details&gt;&lt;Extra&gt;&lt;DBUID&gt;{0DA6E8B8-3A61-49AD-9027-1BB1B3F94C4B}&lt;/DBUID&gt;&lt;/Extra&gt;&lt;/Item&gt;&lt;/References&gt;&lt;/Group&gt;&lt;/Citation&gt;_x000a_"/>
    <w:docVar w:name="NE.Ref{6E5DAF62-D2ED-4C89-B4EE-B346F63EE80A}" w:val=" ADDIN NE.Ref.{6E5DAF62-D2ED-4C89-B4EE-B346F63EE80A}&lt;Citation&gt;&lt;Group&gt;&lt;References&gt;&lt;Item&gt;&lt;ID&gt;9&lt;/ID&gt;&lt;UID&gt;{9E324EA5-3AF7-4ECE-B023-DAF922E68099}&lt;/UID&gt;&lt;Title&gt;天津市大气污染源排放清单的建立&lt;/Title&gt;&lt;Template&gt;Report&lt;/Template&gt;&lt;Star&gt;0&lt;/Star&gt;&lt;Tag&gt;0&lt;/Tag&gt;&lt;Author&gt;赵斌; 马建中&lt;/Author&gt;&lt;Year&gt;2008&lt;/Year&gt;&lt;Details&gt;&lt;_accessed&gt;60464686&lt;/_accessed&gt;&lt;_author_adr&gt;中国气象科学研究院,北京100081&lt;/_author_adr&gt;&lt;_created&gt;60463628&lt;/_created&gt;&lt;_db_provider&gt;重庆维普&lt;/_db_provider&gt;&lt;_isbn&gt;0253-2468&lt;/_isbn&gt;&lt;_issue&gt;2&lt;/_issue&gt;&lt;_journal&gt;环境科学学报&lt;/_journal&gt;&lt;_keywords&gt;排放源清单; 排放因子; 空气污染; 天津; emission inventory; emission factor; air pollution; Tianjin&lt;/_keywords&gt;&lt;_language&gt;Chinese&lt;/_language&gt;&lt;_modified&gt;60464819&lt;/_modified&gt;&lt;_pages&gt;368-375&lt;/_pages&gt;&lt;_translated_author&gt;ZHAO, Bin; MA, Jianzhong Chinese Academy Of; Beijing&lt;/_translated_author&gt;&lt;_translated_title&gt;Development of an air pollutant emission inventory for Tianjin&lt;/_translated_title&gt;&lt;_volume&gt;28&lt;/_volume&gt;&lt;/Details&gt;&lt;Extra&gt;&lt;DBUID&gt;{0DA6E8B8-3A61-49AD-9027-1BB1B3F94C4B}&lt;/DBUID&gt;&lt;/Extra&gt;&lt;/Item&gt;&lt;/References&gt;&lt;/Group&gt;&lt;/Citation&gt;_x000a_"/>
    <w:docVar w:name="NE.Ref{6EF6D14B-1F84-4171-BB1F-B3D6B4D4E051}" w:val=" ADDIN NE.Ref.{6EF6D14B-1F84-4171-BB1F-B3D6B4D4E051}&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6FB499B3-8FE6-4A38-BE2F-A56E8F02D37A}" w:val=" ADDIN NE.Ref.{6FB499B3-8FE6-4A38-BE2F-A56E8F02D37A}&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7014DF6E-9914-4A95-B76C-FCB41CC5B780}" w:val=" ADDIN NE.Ref.{7014DF6E-9914-4A95-B76C-FCB41CC5B780}&lt;Citation&gt;&lt;Group&gt;&lt;References&gt;&lt;Item&gt;&lt;ID&gt;108&lt;/ID&gt;&lt;UID&gt;{B064723A-56A2-4AEC-896A-A665A91AB0C0}&lt;/UID&gt;&lt;Title&gt;大气氨源排放清单编制技术指南（试行）&lt;/Title&gt;&lt;Template&gt;Standard&lt;/Template&gt;&lt;Star&gt;0&lt;/Star&gt;&lt;Tag&gt;0&lt;/Tag&gt;&lt;Author&gt;环境保护部&lt;/Author&gt;&lt;Year&gt;2014&lt;/Year&gt;&lt;Details&gt;&lt;_accessed&gt;60544404&lt;/_accessed&gt;&lt;_created&gt;60463628&lt;/_created&gt;&lt;_modified&gt;60544404&lt;/_modified&gt;&lt;_translated_author&gt;Huan, Jingbaohubu&lt;/_translated_author&gt;&lt;/Details&gt;&lt;Extra&gt;&lt;DBUID&gt;{0DA6E8B8-3A61-49AD-9027-1BB1B3F94C4B}&lt;/DBUID&gt;&lt;/Extra&gt;&lt;/Item&gt;&lt;/References&gt;&lt;/Group&gt;&lt;/Citation&gt;_x000a_"/>
    <w:docVar w:name="NE.Ref{70A2DDF9-4400-423B-8A87-448230D20AD2}" w:val=" ADDIN NE.Ref.{70A2DDF9-4400-423B-8A87-448230D20AD2}&lt;Citation&gt;&lt;Group&gt;&lt;References&gt;&lt;Item&gt;&lt;ID&gt;75&lt;/ID&gt;&lt;UID&gt;{7DD10B3F-A17C-45F0-8587-8B75BF69DBC5}&lt;/UID&gt;&lt;Title&gt;广东农村统计年鉴2013&lt;/Title&gt;&lt;Template&gt;Book&lt;/Template&gt;&lt;Star&gt;0&lt;/Star&gt;&lt;Tag&gt;0&lt;/Tag&gt;&lt;Author&gt;广东农村统计年鉴编辑委员会&lt;/Author&gt;&lt;Year&gt;2013&lt;/Year&gt;&lt;Details&gt;&lt;_accessed&gt;60502165&lt;/_accessed&gt;&lt;_created&gt;60466451&lt;/_created&gt;&lt;_isbn&gt;978-7-5037-7289-4&lt;/_isbn&gt;&lt;_modified&gt;60505295&lt;/_modified&gt;&lt;_place_published&gt;北京&lt;/_place_published&gt;&lt;_publisher&gt;中国统计出版社&lt;/_publisher&gt;&lt;_translated_author&gt;Guang, Dongnongcuntongjinianjianbianjiweiyuanhui&lt;/_translated_author&gt;&lt;/Details&gt;&lt;Extra&gt;&lt;DBUID&gt;{0DA6E8B8-3A61-49AD-9027-1BB1B3F94C4B}&lt;/DBUID&gt;&lt;/Extra&gt;&lt;/Item&gt;&lt;/References&gt;&lt;/Group&gt;&lt;/Citation&gt;_x000a_"/>
    <w:docVar w:name="NE.Ref{712D94A2-44BB-49AF-98B7-B3F806E5F86D}" w:val=" ADDIN NE.Ref.{712D94A2-44BB-49AF-98B7-B3F806E5F86D}&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741261C8-9036-43A3-A311-869E3EFE400D}" w:val=" ADDIN NE.Ref.{741261C8-9036-43A3-A311-869E3EFE400D}&lt;Citation&gt;&lt;Group&gt;&lt;References&gt;&lt;Item&gt;&lt;ID&gt;46&lt;/ID&gt;&lt;UID&gt;{C8D9288B-5C8B-41F7-94E1-6F827E588A70}&lt;/UID&gt;&lt;Title&gt;Source Profiles of Volatile Organic Compounds from Biomass Burning in Yangtze River Delta, China&lt;/Title&gt;&lt;Template&gt;Journal Article&lt;/Template&gt;&lt;Star&gt;0&lt;/Star&gt;&lt;Tag&gt;0&lt;/Tag&gt;&lt;Author&gt;Wang, Hongli; Lou, Shengrong; Huang, Cheng; Qiao, Liping; Tang, Xibin; Chen, Changhong; Zeng, Limin; Wang, Qian; Zhou, Min; Lu, Sihua; Yu, Xuena&lt;/Author&gt;&lt;Year&gt;2014&lt;/Year&gt;&lt;Details&gt;&lt;_accessed&gt;60464747&lt;/_accessed&gt;&lt;_created&gt;60464747&lt;/_created&gt;&lt;_issue&gt;14&lt;/_issue&gt;&lt;_journal&gt;AEROSOL AND AIR QUALITY RESEARCH&lt;/_journal&gt;&lt;_modified&gt;60613491&lt;/_modified&gt;&lt;_pages&gt;818-828&lt;/_pages&gt;&lt;_volume&gt;3&lt;/_volume&gt;&lt;_impact_factor&gt;   2.393&lt;/_impact_factor&gt;&lt;_collection_scope&gt;EI;SCIE;&lt;/_collection_scope&gt;&lt;/Details&gt;&lt;Extra&gt;&lt;DBUID&gt;{0DA6E8B8-3A61-49AD-9027-1BB1B3F94C4B}&lt;/DBUID&gt;&lt;/Extra&gt;&lt;/Item&gt;&lt;/References&gt;&lt;/Group&gt;&lt;/Citation&gt;_x000a_"/>
    <w:docVar w:name="NE.Ref{77AC74A9-8685-4364-9251-41E6FE2A07CA}" w:val=" ADDIN NE.Ref.{77AC74A9-8685-4364-9251-41E6FE2A07CA}&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786BEECF-70FD-44B6-9942-67983E15CFF8}" w:val=" ADDIN NE.Ref.{786BEECF-70FD-44B6-9942-67983E15CFF8}&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798758C4-8BB1-4035-AC6F-6B000D213468}" w:val=" ADDIN NE.Ref.{798758C4-8BB1-4035-AC6F-6B000D213468}&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79C41F33-A95C-44C4-81E1-F76702A97161}" w:val=" ADDIN NE.Ref.{79C41F33-A95C-44C4-81E1-F76702A97161}&lt;Citation&gt;&lt;Group&gt;&lt;References&gt;&lt;Item&gt;&lt;ID&gt;66&lt;/ID&gt;&lt;UID&gt;{19A453C6-CE1A-4008-8C19-0D8AD433BC15}&lt;/UID&gt;&lt;Title&gt;珠江三角洲空气质量管理计划中期回顾研究报告&lt;/Title&gt;&lt;Template&gt;Report&lt;/Template&gt;&lt;Star&gt;0&lt;/Star&gt;&lt;Tag&gt;0&lt;/Tag&gt;&lt;Author&gt;珠江三角洲空气质量管理及监察负责小组&lt;/Author&gt;&lt;Year&gt;2007&lt;/Year&gt;&lt;Details&gt;&lt;_accessed&gt;60464805&lt;/_accessed&gt;&lt;_created&gt;60464805&lt;/_created&gt;&lt;_modified&gt;60464805&lt;/_modified&gt;&lt;_place_published&gt;广州&lt;/_place_published&gt;&lt;_publisher&gt;广东省环境保护监测中心站&lt;/_publisher&gt;&lt;_translated_author&gt;Zhu, Jiangsanjiaozhoukongqizhiliangguanlijijianchafuzexiaozu&lt;/_translated_author&gt;&lt;/Details&gt;&lt;Extra&gt;&lt;DBUID&gt;{0DA6E8B8-3A61-49AD-9027-1BB1B3F94C4B}&lt;/DBUID&gt;&lt;/Extra&gt;&lt;/Item&gt;&lt;/References&gt;&lt;/Group&gt;&lt;/Citation&gt;_x000a_"/>
    <w:docVar w:name="NE.Ref{7AD155F7-6BFD-42EF-9C7B-08A2068918AE}" w:val=" ADDIN NE.Ref.{7AD155F7-6BFD-42EF-9C7B-08A2068918AE}&lt;Citation&gt;&lt;Group&gt;&lt;References&gt;&lt;Item&gt;&lt;ID&gt;3&lt;/ID&gt;&lt;UID&gt;{415C0B6A-71B5-4651-B803-42EB584B8276}&lt;/UID&gt;&lt;Title&gt;大气可吸入颗粒物一次源排放清单编制技术指南（试行）&lt;/Title&gt;&lt;Template&gt;Standard&lt;/Template&gt;&lt;Star&gt;0&lt;/Star&gt;&lt;Tag&gt;0&lt;/Tag&gt;&lt;Author&gt;环境保护部&lt;/Author&gt;&lt;Year&gt;2014&lt;/Year&gt;&lt;Details&gt;&lt;_accessed&gt;60544403&lt;/_accessed&gt;&lt;_created&gt;60463628&lt;/_created&gt;&lt;_modified&gt;60464816&lt;/_modified&gt;&lt;_translated_author&gt;Huan, Jingbaohubu&lt;/_translated_author&gt;&lt;/Details&gt;&lt;Extra&gt;&lt;DBUID&gt;{0DA6E8B8-3A61-49AD-9027-1BB1B3F94C4B}&lt;/DBUID&gt;&lt;/Extra&gt;&lt;/Item&gt;&lt;/References&gt;&lt;/Group&gt;&lt;Group&gt;&lt;References&gt;&lt;Item&gt;&lt;ID&gt;4&lt;/ID&gt;&lt;UID&gt;{E57F084E-0472-493F-A584-41A59FE7A954}&lt;/UID&gt;&lt;Title&gt;大气细颗粒物一次源排放清单编制技术指南（试行）&lt;/Title&gt;&lt;Template&gt;Standard&lt;/Template&gt;&lt;Star&gt;0&lt;/Star&gt;&lt;Tag&gt;0&lt;/Tag&gt;&lt;Author&gt;环境保护部&lt;/Author&gt;&lt;Year&gt;2014&lt;/Year&gt;&lt;Details&gt;&lt;_created&gt;60463628&lt;/_created&gt;&lt;_modified&gt;60465005&lt;/_modified&gt;&lt;_translated_author&gt;Huan, Jingbaohubu&lt;/_translated_author&gt;&lt;/Details&gt;&lt;Extra&gt;&lt;DBUID&gt;{0DA6E8B8-3A61-49AD-9027-1BB1B3F94C4B}&lt;/DBUID&gt;&lt;/Extra&gt;&lt;/Item&gt;&lt;/References&gt;&lt;/Group&gt;&lt;/Citation&gt;_x000a_"/>
    <w:docVar w:name="NE.Ref{7B6B0E97-77D7-4F1B-9BCA-13C9C358919B}" w:val=" ADDIN NE.Ref.{7B6B0E97-77D7-4F1B-9BCA-13C9C358919B}&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7B7466DC-60D1-4410-BE51-D01A9CC38CA3}" w:val=" ADDIN NE.Ref.{7B7466DC-60D1-4410-BE51-D01A9CC38CA3}&lt;Citation&gt;&lt;Group&gt;&lt;References&gt;&lt;Item&gt;&lt;ID&gt;37&lt;/ID&gt;&lt;UID&gt;{A9D71192-30DB-443C-B4D1-1DD91046DCFC}&lt;/UID&gt;&lt;Title&gt;生物质燃烧源大气污染物排放清单编制技术指南（试行）&lt;/Title&gt;&lt;Template&gt;Standard&lt;/Template&gt;&lt;Star&gt;0&lt;/Star&gt;&lt;Tag&gt;0&lt;/Tag&gt;&lt;Author&gt;环境保护部&lt;/Author&gt;&lt;Year&gt;2014&lt;/Year&gt;&lt;Details&gt;&lt;_accessed&gt;60463766&lt;/_accessed&gt;&lt;_created&gt;60463766&lt;/_created&gt;&lt;_modified&gt;60464817&lt;/_modified&gt;&lt;_translated_author&gt;Huan, Jingbaohubu&lt;/_translated_author&gt;&lt;/Details&gt;&lt;Extra&gt;&lt;DBUID&gt;{0DA6E8B8-3A61-49AD-9027-1BB1B3F94C4B}&lt;/DBUID&gt;&lt;/Extra&gt;&lt;/Item&gt;&lt;/References&gt;&lt;/Group&gt;&lt;/Citation&gt;_x000a_"/>
    <w:docVar w:name="NE.Ref{7BFB1245-FEF1-4156-BF83-35AF38BB04E5}" w:val=" ADDIN NE.Ref.{7BFB1245-FEF1-4156-BF83-35AF38BB04E5}&lt;Citation&gt;&lt;Group&gt;&lt;References&gt;&lt;Item&gt;&lt;ID&gt;8&lt;/ID&gt;&lt;UID&gt;{DAE5546E-C958-48C7-AC41-B4DEA2FF5516}&lt;/UID&gt;&lt;Title&gt;深圳市挥发性有机物（VOC）排放重点行业调研报告&lt;/Title&gt;&lt;Template&gt;Report&lt;/Template&gt;&lt;Star&gt;0&lt;/Star&gt;&lt;Tag&gt;0&lt;/Tag&gt;&lt;Author&gt;北京大学&lt;/Author&gt;&lt;Year&gt;2010&lt;/Year&gt;&lt;Details&gt;&lt;_created&gt;60463628&lt;/_created&gt;&lt;_modified&gt;60463628&lt;/_modified&gt;&lt;_place_published&gt;北京&lt;/_place_published&gt;&lt;_translated_author&gt;Bei, Jingdaxue&lt;/_translated_author&gt;&lt;/Details&gt;&lt;Extra&gt;&lt;DBUID&gt;{0DA6E8B8-3A61-49AD-9027-1BB1B3F94C4B}&lt;/DBUID&gt;&lt;/Extra&gt;&lt;/Item&gt;&lt;/References&gt;&lt;/Group&gt;&lt;/Citation&gt;_x000a_"/>
    <w:docVar w:name="NE.Ref{7C717AAF-C054-451A-9982-25CFE97C1403}" w:val=" ADDIN NE.Ref.{7C717AAF-C054-451A-9982-25CFE97C1403}&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7D297358-4926-4282-9B9E-6A8563EB8486}" w:val=" ADDIN NE.Ref.{7D297358-4926-4282-9B9E-6A8563EB8486}&lt;Citation&gt;&lt;Group&gt;&lt;References&gt;&lt;Item&gt;&lt;ID&gt;366&lt;/ID&gt;&lt;UID&gt;{44C3D2EC-4102-4AB1-B753-DE8E095EFE00}&lt;/UID&gt;&lt;Title&gt;“十二五”重点区域大气污染联防联控VOCs排放清单和治理技术手册&lt;/Title&gt;&lt;Template&gt;Standard&lt;/Template&gt;&lt;Star&gt;0&lt;/Star&gt;&lt;Tag&gt;0&lt;/Tag&gt;&lt;Author&gt;环境保护部&lt;/Author&gt;&lt;Year&gt;2010&lt;/Year&gt;&lt;Details&gt;&lt;_accessed&gt;60463575&lt;/_accessed&gt;&lt;_created&gt;60463575&lt;/_created&gt;&lt;_modified&gt;60463575&lt;/_modified&gt;&lt;/Details&gt;&lt;Extra&gt;&lt;DBUID&gt;{0C8895AB-960A-4B76-A0DA-38D8A76C4C8B}&lt;/DBUID&gt;&lt;/Extra&gt;&lt;/Item&gt;&lt;/References&gt;&lt;/Group&gt;&lt;/Citation&gt;_x000a_"/>
    <w:docVar w:name="NE.Ref{7D3B9426-0BC5-4756-AA49-733F02DB0B0B}" w:val=" ADDIN NE.Ref.{7D3B9426-0BC5-4756-AA49-733F02DB0B0B}&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7D5383EC-0729-4DBD-BE1F-291D4B0D5581}" w:val=" ADDIN NE.Ref.{7D5383EC-0729-4DBD-BE1F-291D4B0D5581}&lt;Citation&gt;&lt;Group&gt;&lt;References&gt;&lt;Item&gt;&lt;ID&gt;85&lt;/ID&gt;&lt;UID&gt;{9E1205FB-2893-4BF8-B5B6-35383958DD47}&lt;/UID&gt;&lt;Title&gt;2013年1-12月中国尿素分省市产量数据表&lt;/Title&gt;&lt;Template&gt;Web Page&lt;/Template&gt;&lt;Star&gt;0&lt;/Star&gt;&lt;Tag&gt;0&lt;/Tag&gt;&lt;Author&gt;产业研究报告网&lt;/Author&gt;&lt;Year&gt;2013&lt;/Year&gt;&lt;Details&gt;&lt;_url&gt;http://www.chinairr.org/&lt;/_url&gt;&lt;_accessed&gt;60501168&lt;/_accessed&gt;&lt;_created&gt;60501168&lt;/_created&gt;&lt;_modified&gt;60501168&lt;/_modified&gt;&lt;_translated_author&gt;Chan, Yeyanjiubaogaowang&lt;/_translated_author&gt;&lt;/Details&gt;&lt;Extra&gt;&lt;DBUID&gt;{0DA6E8B8-3A61-49AD-9027-1BB1B3F94C4B}&lt;/DBUID&gt;&lt;/Extra&gt;&lt;/Item&gt;&lt;/References&gt;&lt;/Group&gt;&lt;/Citation&gt;_x000a_"/>
    <w:docVar w:name="NE.Ref{7EF11999-64CE-400E-84A5-B7F21A045893}" w:val=" ADDIN NE.Ref.{7EF11999-64CE-400E-84A5-B7F21A045893}&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7FA939E9-BB00-4AFB-86CD-9016D2BFB82F}" w:val=" ADDIN NE.Ref.{7FA939E9-BB00-4AFB-86CD-9016D2BFB82F}&lt;Citation&gt;&lt;Group&gt;&lt;References&gt;&lt;Item&gt;&lt;ID&gt;93&lt;/ID&gt;&lt;UID&gt;{B9F0479C-8987-454F-B32B-ADE571D4044D}&lt;/UID&gt;&lt;Title&gt;道路机动车大气污染物排放清单编制技术指南（试行）&lt;/Title&gt;&lt;Template&gt;Standard&lt;/Template&gt;&lt;Star&gt;0&lt;/Star&gt;&lt;Tag&gt;0&lt;/Tag&gt;&lt;Author&gt;环境保护部&lt;/Author&gt;&lt;Year&gt;2014&lt;/Year&gt;&lt;Details&gt;&lt;_accessed&gt;60502478&lt;/_accessed&gt;&lt;_created&gt;60463628&lt;/_created&gt;&lt;_modified&gt;60505414&lt;/_modified&gt;&lt;_translated_author&gt;Huan, Jingbaohubu&lt;/_translated_author&gt;&lt;/Details&gt;&lt;Extra&gt;&lt;DBUID&gt;{0DA6E8B8-3A61-49AD-9027-1BB1B3F94C4B}&lt;/DBUID&gt;&lt;/Extra&gt;&lt;/Item&gt;&lt;/References&gt;&lt;/Group&gt;&lt;/Citation&gt;_x000a_"/>
    <w:docVar w:name="NE.Ref{80C777BD-32BE-4EBF-858B-292F503C672C}" w:val=" ADDIN NE.Ref.{80C777BD-32BE-4EBF-858B-292F503C672C}&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814ADB77-0C20-4B5D-9174-7B72C4ABFDCF}" w:val=" ADDIN NE.Ref.{814ADB77-0C20-4B5D-9174-7B72C4ABFDCF}&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816E644E-5F1F-466D-8519-3B99FE8A5E9D}" w:val=" ADDIN NE.Ref.{816E644E-5F1F-466D-8519-3B99FE8A5E9D}&lt;Citation&gt;&lt;Group&gt;&lt;References&gt;&lt;Item&gt;&lt;ID&gt;10&lt;/ID&gt;&lt;UID&gt;{E4A8DBA3-9E55-48EF-B972-FBB5CA0D2D95}&lt;/UID&gt;&lt;Title&gt;中国大陆CO人为源排放清单&lt;/Title&gt;&lt;Template&gt;Journal Article&lt;/Template&gt;&lt;Star&gt;0&lt;/Star&gt;&lt;Tag&gt;0&lt;/Tag&gt;&lt;Author&gt;王丽涛; 张强; 郝吉明; 贺克斌&lt;/Author&gt;&lt;Year&gt;2005&lt;/Year&gt;&lt;Details&gt;&lt;_accessed&gt;60463715&lt;/_accessed&gt;&lt;_author_aff&gt;清华大学环境科学与工程系;清华大学环境科学与工程系;清华大学环境科学与工程系;清华大学环境科学与工程系 北京100084_x000d__x000a__x000d__x000a__x000d__x000a__x000d__x000a__x000d__x000a__x000d__x000a__x000d__x000a__x000d__x000a_;北京100084_x000d__x000a__x000d__x000a__x000d__x000a__x000d__x000a__x000d__x000a__x000d__x000a__x000d__x000a__x000d__x000a_;北京100084_x000d__x000a__x000d__x000a__x000d__x000a__x000d__x000a__x000d__x000a__x000d__x000a__x000d__x000a__x000d__x000a_;北京100084&lt;/_author_aff&gt;&lt;_created&gt;60463628&lt;/_created&gt;&lt;_date&gt;2005-12-26&lt;/_date&gt;&lt;_db_provider&gt;CNKI: 期刊&lt;/_db_provider&gt;&lt;_issue&gt;12&lt;/_issue&gt;&lt;_journal&gt;环境科学学报&lt;/_journal&gt;&lt;_keywords&gt;CO;排放清单;人为源;中国大陆&lt;/_keywords&gt;&lt;_language&gt;Chinese&lt;/_language&gt;&lt;_modified&gt;60463628&lt;/_modified&gt;&lt;_pages&gt;8-13&lt;/_pages&gt;&lt;_url&gt;http://www.cnki.net/KCMS/detail/detail.aspx?FileName=HJXX200512002&amp;amp;DbName=CJFQ2005&lt;/_url&gt;&lt;_collection_scope&gt;中国科技核心期刊;中文核心期刊;CSCD;&lt;/_collection_scope&gt;&lt;_translated_author&gt;Wang, Litao;Zhang, Qiang;Hao, Jiming;He, Kebin&lt;/_translated_author&gt;&lt;/Details&gt;&lt;Extra&gt;&lt;DBUID&gt;{0DA6E8B8-3A61-49AD-9027-1BB1B3F94C4B}&lt;/DBUID&gt;&lt;/Extra&gt;&lt;/Item&gt;&lt;/References&gt;&lt;/Group&gt;&lt;/Citation&gt;_x000a_"/>
    <w:docVar w:name="NE.Ref{831BA85A-E385-4294-94FA-0DD0F5C0938D}" w:val=" ADDIN NE.Ref.{831BA85A-E385-4294-94FA-0DD0F5C0938D}&lt;Citation&gt;&lt;Group&gt;&lt;References&gt;&lt;Item&gt;&lt;ID&gt;75&lt;/ID&gt;&lt;UID&gt;{7DD10B3F-A17C-45F0-8587-8B75BF69DBC5}&lt;/UID&gt;&lt;Title&gt;广东农村统计年鉴2013&lt;/Title&gt;&lt;Template&gt;Book&lt;/Template&gt;&lt;Star&gt;0&lt;/Star&gt;&lt;Tag&gt;0&lt;/Tag&gt;&lt;Author&gt;广东农村统计年鉴编辑委员会&lt;/Author&gt;&lt;Year&gt;2013&lt;/Year&gt;&lt;Details&gt;&lt;_accessed&gt;60502165&lt;/_accessed&gt;&lt;_created&gt;60466451&lt;/_created&gt;&lt;_isbn&gt;978-7-5037-7289-4&lt;/_isbn&gt;&lt;_modified&gt;60505295&lt;/_modified&gt;&lt;_place_published&gt;北京&lt;/_place_published&gt;&lt;_publisher&gt;中国统计出版社&lt;/_publisher&gt;&lt;_translated_author&gt;Guang, Dongnongcuntongjinianjianbianjiweiyuanhui&lt;/_translated_author&gt;&lt;/Details&gt;&lt;Extra&gt;&lt;DBUID&gt;{0DA6E8B8-3A61-49AD-9027-1BB1B3F94C4B}&lt;/DBUID&gt;&lt;/Extra&gt;&lt;/Item&gt;&lt;/References&gt;&lt;/Group&gt;&lt;/Citation&gt;_x000a_"/>
    <w:docVar w:name="NE.Ref{83B342D7-05B6-4813-8CEF-14588C0FB5BC}" w:val=" ADDIN NE.Ref.{83B342D7-05B6-4813-8CEF-14588C0FB5BC}&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844BA84C-FD24-41C5-AB62-3483E594F2BE}" w:val=" ADDIN NE.Ref.{844BA84C-FD24-41C5-AB62-3483E594F2BE}&lt;Citation&gt;&lt;Group&gt;&lt;References&gt;&lt;Item&gt;&lt;ID&gt;86&lt;/ID&gt;&lt;UID&gt;{5FCA7DB0-C0D1-4CF8-9507-33EDE937A836}&lt;/UID&gt;&lt;Title&gt;中国轻工业年鉴2012&lt;/Title&gt;&lt;Template&gt;Book&lt;/Template&gt;&lt;Star&gt;0&lt;/Star&gt;&lt;Tag&gt;0&lt;/Tag&gt;&lt;Author&gt;中国轻工业联合会&lt;/Author&gt;&lt;Year&gt;2012&lt;/Year&gt;&lt;Details&gt;&lt;_created&gt;60501151&lt;/_created&gt;&lt;_modified&gt;60501173&lt;/_modified&gt;&lt;_accessed&gt;60501173&lt;/_accessed&gt;&lt;_publisher&gt;中国轻工业年鉴社&lt;/_publisher&gt;&lt;_translated_author&gt;Zhong, Guoqinggongyelianhehui&lt;/_translated_author&gt;&lt;/Details&gt;&lt;Extra&gt;&lt;DBUID&gt;{0DA6E8B8-3A61-49AD-9027-1BB1B3F94C4B}&lt;/DBUID&gt;&lt;/Extra&gt;&lt;/Item&gt;&lt;/References&gt;&lt;/Group&gt;&lt;/Citation&gt;_x000a_"/>
    <w:docVar w:name="NE.Ref{84675246-4A25-4568-A521-B29E417EF7DC}" w:val=" ADDIN NE.Ref.{84675246-4A25-4568-A521-B29E417EF7DC}&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84E2DA1D-EC4A-4A4F-BF51-CAFF0C84B049}" w:val=" ADDIN NE.Ref.{84E2DA1D-EC4A-4A4F-BF51-CAFF0C84B049}&lt;Citation&gt;&lt;Group&gt;&lt;References&gt;&lt;Item&gt;&lt;ID&gt;14&lt;/ID&gt;&lt;UID&gt;{2CFCAC0C-5B70-4C37-A07D-CE16B81AC781}&lt;/UID&gt;&lt;Title&gt;北京市加油站油气回收治理的减排贡献及发展趋势&lt;/Title&gt;&lt;Template&gt;Journal Article&lt;/Template&gt;&lt;Star&gt;0&lt;/Star&gt;&lt;Tag&gt;0&lt;/Tag&gt;&lt;Author&gt;吴锋棒; 崔凌; 张卫华; 单晓雯&lt;/Author&gt;&lt;Year&gt;2010&lt;/Year&gt;&lt;Details&gt;&lt;_accessed&gt;60463684&lt;/_accessed&gt;&lt;_author_aff&gt;中国石化安全工程研究院; 中国石化北京石油分公司&lt;/_author_aff&gt;&lt;_cate&gt;TE85&lt;/_cate&gt;&lt;_cited_count&gt;7&lt;/_cited_count&gt;&lt;_created&gt;60463629&lt;/_created&gt;&lt;_issue&gt;09&lt;/_issue&gt;&lt;_journal&gt;安全、健康和环境&lt;/_journal&gt;&lt;_keywords&gt;VOC; 排放源; 排放因子; 车载油气回收系统&lt;/_keywords&gt;&lt;_modified&gt;60463629&lt;/_modified&gt;&lt;_ref_count&gt;2&lt;/_ref_count&gt;&lt;_translated_author&gt;Wu, Fengbang; Cui, Ling; Zhang, Weihua; Shan, Xiaowen&lt;/_translated_author&gt;&lt;_url&gt;http://www.cnki.net/KCMS/detail/detail.aspx?filename=safe201009013&amp;amp;dbcode=CJFQ&amp;amp;dbname=CJFD2010&lt;/_url&gt;&lt;/Details&gt;&lt;Extra&gt;&lt;DBUID&gt;{0DA6E8B8-3A61-49AD-9027-1BB1B3F94C4B}&lt;/DBUID&gt;&lt;/Extra&gt;&lt;/Item&gt;&lt;/References&gt;&lt;/Group&gt;&lt;/Citation&gt;_x000a_"/>
    <w:docVar w:name="NE.Ref{8510E07D-5A83-4F1E-94AD-AA80314CB0E7}" w:val=" ADDIN NE.Ref.{8510E07D-5A83-4F1E-94AD-AA80314CB0E7}&lt;Citation&gt;&lt;Group&gt;&lt;References&gt;&lt;Item&gt;&lt;ID&gt;61&lt;/ID&gt;&lt;UID&gt;{59DA4F2A-8DA6-4E21-8C8A-275797EE11DE}&lt;/UID&gt;&lt;Title&gt;Estimates of global terrestrial isoprene emissions using MEGAN (Model of Emissions of Gases and Aerosols from Nature)&lt;/Title&gt;&lt;Template&gt;Journal Article&lt;/Template&gt;&lt;Star&gt;0&lt;/Star&gt;&lt;Tag&gt;0&lt;/Tag&gt;&lt;Author&gt;Guenther, A; Karl, T; Harley, P; Wiedinmyer, C; Palmer, P I; Geron, C&lt;/Author&gt;&lt;Year&gt;2006&lt;/Year&gt;&lt;Details&gt;&lt;_alternate_title&gt;Atmospheric Chemistry and Physics&lt;/_alternate_title&gt;&lt;_created&gt;60464793&lt;/_created&gt;&lt;_date&gt;2006-01-01&lt;/_date&gt;&lt;_date_display&gt;2006&lt;/_date_display&gt;&lt;_doi&gt;10.5194/acp-6-3181-2006&lt;/_doi&gt;&lt;_isbn&gt;ISSN 1680-7316&lt;/_isbn&gt;&lt;_issue&gt;11&lt;/_issue&gt;&lt;_journal&gt;Atmospheric Chemistry and Physics&lt;/_journal&gt;&lt;_modified&gt;60464807&lt;/_modified&gt;&lt;_pages&gt;3181-3210&lt;/_pages&gt;&lt;_url&gt;http://dx.doi.org/10.5194/acp-6-3181-2006&lt;/_url&gt;&lt;_volume&gt;6&lt;/_volume&gt;&lt;_impact_factor&gt;   5.114&lt;/_impact_factor&gt;&lt;_collection_scope&gt;SCI;SCIE;&lt;/_collection_scope&gt;&lt;/Details&gt;&lt;Extra&gt;&lt;DBUID&gt;{0DA6E8B8-3A61-49AD-9027-1BB1B3F94C4B}&lt;/DBUID&gt;&lt;/Extra&gt;&lt;/Item&gt;&lt;/References&gt;&lt;/Group&gt;&lt;/Citation&gt;_x000a_"/>
    <w:docVar w:name="NE.Ref{851D3364-B743-4B32-BE53-B6AD0D17F3B2}" w:val=" ADDIN NE.Ref.{851D3364-B743-4B32-BE53-B6AD0D17F3B2}&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852AFF9A-176B-4D85-ABF4-D1E1D9699B19}" w:val=" ADDIN NE.Ref.{852AFF9A-176B-4D85-ABF4-D1E1D9699B19}&lt;Citation&gt;&lt;Group&gt;&lt;References&gt;&lt;Item&gt;&lt;ID&gt;16&lt;/ID&gt;&lt;UID&gt;{9668BF7B-2520-4A80-BFE8-D1AE0A6FBE2B}&lt;/UID&gt;&lt;Title&gt;中国加油站VOC排放污染现状及控制&lt;/Title&gt;&lt;Template&gt;Journal Article&lt;/Template&gt;&lt;Star&gt;0&lt;/Star&gt;&lt;Tag&gt;0&lt;/Tag&gt;&lt;Author&gt;沈旻嘉; 郝吉明; 王丽涛&lt;/Author&gt;&lt;Year&gt;2006&lt;/Year&gt;&lt;Details&gt;&lt;_accessed&gt;60463630&lt;/_accessed&gt;&lt;_author_aff&gt;清华大学环境科学与工程系; 清华大学环境科学与工程系 北京100084; 北京100084&lt;/_author_aff&gt;&lt;_cate&gt;X51&lt;/_cate&gt;&lt;_cited_count&gt;3&lt;/_cited_count&gt;&lt;_created&gt;60463630&lt;/_created&gt;&lt;_issue&gt;08&lt;/_issue&gt;&lt;_journal&gt;环境科学&lt;/_journal&gt;&lt;_keywords&gt;加油站; 挥发性有机物; 排放清单; 油气回收装置&lt;/_keywords&gt;&lt;_modified&gt;60613168&lt;/_modified&gt;&lt;_pages&gt;1473-1479&lt;/_pages&gt;&lt;_ref_count&gt;63&lt;/_ref_count&gt;&lt;_translated_author&gt;SHEN, Min-jia; HAO, Ji-ming; WANG, Li-tao&lt;/_translated_author&gt;&lt;_url&gt;http://www.cnki.net/KCMS/detail/detail.aspx?filename=hjkz200608000&amp;amp;dbcode=CJFQ&amp;amp;dbname=CJFD2006&lt;/_url&gt;&lt;_collection_scope&gt;中国科技核心期刊;中文核心期刊;CSCD;&lt;/_collection_scope&gt;&lt;/Details&gt;&lt;Extra&gt;&lt;DBUID&gt;{0DA6E8B8-3A61-49AD-9027-1BB1B3F94C4B}&lt;/DBUID&gt;&lt;/Extra&gt;&lt;/Item&gt;&lt;/References&gt;&lt;/Group&gt;&lt;/Citation&gt;_x000a_"/>
    <w:docVar w:name="NE.Ref{852B417C-F5CC-4EE8-9D30-E519ACB58D0D}" w:val=" ADDIN NE.Ref.{852B417C-F5CC-4EE8-9D30-E519ACB58D0D}&lt;Citation&gt;&lt;Group&gt;&lt;References&gt;&lt;Item&gt;&lt;ID&gt;76&lt;/ID&gt;&lt;UID&gt;{16F56F12-8832-4682-9BC3-75E953E27B3A}&lt;/UID&gt;&lt;Title&gt;Emission factor documentation for AP-42, Section 13.2-1: Paved Roads&lt;/Title&gt;&lt;Template&gt;Report&lt;/Template&gt;&lt;Star&gt;0&lt;/Star&gt;&lt;Tag&gt;0&lt;/Tag&gt;&lt;Author&gt;USEPA&lt;/Author&gt;&lt;Year&gt;2011&lt;/Year&gt;&lt;Details&gt;&lt;_accessed&gt;60466531&lt;/_accessed&gt;&lt;_created&gt;60466531&lt;/_created&gt;&lt;_modified&gt;60466531&lt;/_modified&gt;&lt;_place_published&gt;Kansas City&lt;/_place_published&gt;&lt;_publisher&gt;Midwest Research Institute&lt;/_publisher&gt;&lt;/Details&gt;&lt;Extra&gt;&lt;DBUID&gt;{0DA6E8B8-3A61-49AD-9027-1BB1B3F94C4B}&lt;/DBUID&gt;&lt;/Extra&gt;&lt;/Item&gt;&lt;/References&gt;&lt;/Group&gt;&lt;/Citation&gt;_x000a_"/>
    <w:docVar w:name="NE.Ref{86AEC70B-9EAD-4E0A-A868-955E52C7514A}" w:val=" ADDIN NE.Ref.{86AEC70B-9EAD-4E0A-A868-955E52C7514A}&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878FCFDD-B5EE-46BD-971D-0010588D25F2}" w:val=" ADDIN NE.Ref.{878FCFDD-B5EE-46BD-971D-0010588D25F2}&lt;Citation&gt;&lt;Group&gt;&lt;References&gt;&lt;Item&gt;&lt;ID&gt;364&lt;/ID&gt;&lt;UID&gt;{6FD5B18F-0925-41BC-8672-EB4E43E086E5}&lt;/UID&gt;&lt;Title&gt;大气可吸入颗粒物一次源排放清单编制技术指南（试行）&lt;/Title&gt;&lt;Template&gt;Standard&lt;/Template&gt;&lt;Star&gt;0&lt;/Star&gt;&lt;Tag&gt;0&lt;/Tag&gt;&lt;Author&gt;环境保护部&lt;/Author&gt;&lt;Year&gt;2014&lt;/Year&gt;&lt;Details&gt;&lt;_accessed&gt;60463507&lt;/_accessed&gt;&lt;_created&gt;60463507&lt;/_created&gt;&lt;_modified&gt;60463507&lt;/_modified&gt;&lt;_translated_author&gt;Huan, Jingbaohubu&lt;/_translated_author&gt;&lt;/Details&gt;&lt;Extra&gt;&lt;DBUID&gt;{0C8895AB-960A-4B76-A0DA-38D8A76C4C8B}&lt;/DBUID&gt;&lt;/Extra&gt;&lt;/Item&gt;&lt;/References&gt;&lt;/Group&gt;&lt;/Citation&gt;_x000a_"/>
    <w:docVar w:name="NE.Ref{8898016B-7CB6-4041-B15B-084115EDE765}" w:val=" ADDIN NE.Ref.{8898016B-7CB6-4041-B15B-084115EDE765}&lt;Citation&gt;&lt;Group&gt;&lt;References&gt;&lt;Item&gt;&lt;ID&gt;44&lt;/ID&gt;&lt;UID&gt;{D3AA3297-1253-493F-92CC-3F8809848386}&lt;/UID&gt;&lt;Title&gt;Daily variation of traffic emissions in Athens, Greece&lt;/Title&gt;&lt;Template&gt;Journal Article&lt;/Template&gt;&lt;Star&gt;0&lt;/Star&gt;&lt;Tag&gt;0&lt;/Tag&gt;&lt;Author&gt;Kassomenos, Pavlos; Karakitsios, Spyros; Pilidis, George&lt;/Author&gt;&lt;Year&gt;2009&lt;/Year&gt;&lt;Details&gt;&lt;_created&gt;60464721&lt;/_created&gt;&lt;_date&gt;2009-01-01&lt;/_date&gt;&lt;_date_display&gt;2009/01/01/&lt;/_date_display&gt;&lt;_doi&gt;10.1504/IJEP.2009.021835&lt;/_doi&gt;&lt;_issue&gt;1&lt;/_issue&gt;&lt;_journal&gt;International Journal of Environment and Pollution&lt;/_journal&gt;&lt;_modified&gt;60464722&lt;/_modified&gt;&lt;_pages&gt;324-335&lt;/_pages&gt;&lt;_url&gt;http://dx.doi.org/10.1504/IJEP.2009.021835&lt;/_url&gt;&lt;_volume&gt;36&lt;/_volume&gt;&lt;/Details&gt;&lt;Extra&gt;&lt;DBUID&gt;{0DA6E8B8-3A61-49AD-9027-1BB1B3F94C4B}&lt;/DBUID&gt;&lt;/Extra&gt;&lt;/Item&gt;&lt;/References&gt;&lt;/Group&gt;&lt;/Citation&gt;_x000a_"/>
    <w:docVar w:name="NE.Ref{894710ED-7095-4890-B7F6-555986F598F3}" w:val=" ADDIN NE.Ref.{894710ED-7095-4890-B7F6-555986F598F3}&lt;Citation&gt;&lt;Group&gt;&lt;References&gt;&lt;Item&gt;&lt;ID&gt;9&lt;/ID&gt;&lt;UID&gt;{9E324EA5-3AF7-4ECE-B023-DAF922E68099}&lt;/UID&gt;&lt;Title&gt;天津市大气污染源排放清单的建立&lt;/Title&gt;&lt;Template&gt;Journal Article&lt;/Template&gt;&lt;Star&gt;0&lt;/Star&gt;&lt;Tag&gt;0&lt;/Tag&gt;&lt;Author&gt;赵斌; 马建中&lt;/Author&gt;&lt;Year&gt;2008&lt;/Year&gt;&lt;Details&gt;&lt;_accessed&gt;60464686&lt;/_accessed&gt;&lt;_author_adr&gt;中国气象科学研究院,北京100081&lt;/_author_adr&gt;&lt;_created&gt;60463628&lt;/_created&gt;&lt;_db_provider&gt;重庆维普&lt;/_db_provider&gt;&lt;_isbn&gt;0253-2468&lt;/_isbn&gt;&lt;_issue&gt;2&lt;/_issue&gt;&lt;_journal&gt;环境科学学报&lt;/_journal&gt;&lt;_keywords&gt;排放源清单; 排放因子; 空气污染; 天津; emission inventory; emission factor; air pollution; Tianjin&lt;/_keywords&gt;&lt;_language&gt;Chinese&lt;/_language&gt;&lt;_modified&gt;60613150&lt;/_modified&gt;&lt;_pages&gt;368-375&lt;/_pages&gt;&lt;_translated_author&gt;ZHAO, Bin; MA, Jianzhong Chinese Academy Of; Beijing&lt;/_translated_author&gt;&lt;_translated_title&gt;Development of an air pollutant emission inventory for Tianjin&lt;/_translated_title&gt;&lt;_volume&gt;28&lt;/_volume&gt;&lt;_collection_scope&gt;中国科技核心期刊;中文核心期刊;CSCD;&lt;/_collection_scope&gt;&lt;/Details&gt;&lt;Extra&gt;&lt;DBUID&gt;{0DA6E8B8-3A61-49AD-9027-1BB1B3F94C4B}&lt;/DBUID&gt;&lt;/Extra&gt;&lt;/Item&gt;&lt;/References&gt;&lt;/Group&gt;&lt;/Citation&gt;_x000a_"/>
    <w:docVar w:name="NE.Ref{8A105035-2E60-4A0F-B4F0-7BFF254BC7E3}" w:val=" ADDIN NE.Ref.{8A105035-2E60-4A0F-B4F0-7BFF254BC7E3}&lt;Citation&gt;&lt;Group&gt;&lt;References&gt;&lt;Item&gt;&lt;ID&gt;45&lt;/ID&gt;&lt;UID&gt;{CA189BD2-3748-4C16-87C3-F953C3FADDA5}&lt;/UID&gt;&lt;Title&gt;长三角地区秸秆燃烧排放因子与颗粒物成分谱研究&lt;/Title&gt;&lt;Template&gt;Journal Article&lt;/Template&gt;&lt;Star&gt;0&lt;/Star&gt;&lt;Tag&gt;0&lt;/Tag&gt;&lt;Author&gt;唐喜斌; 黄成; 楼晟荣; 乔利平; 王红丽; 周敏; 陈明华; 陈长虹; 王倩; 李贵玲; 李莉; 黄海英; 张钢锋&lt;/Author&gt;&lt;Year&gt;2014&lt;/Year&gt;&lt;Details&gt;&lt;_author_aff&gt;华东理工大学资源与环境工程学院; 上海市环境科学研究院国家环境保护城市大气复合污染成因与防治重点实验室(筹); 上海市大气颗粒物污染防治重点实验室&lt;/_author_aff&gt;&lt;_cate&gt;X513;X712&lt;/_cate&gt;&lt;_cited_count&gt;36&lt;/_cited_count&gt;&lt;_created&gt;60464738&lt;/_created&gt;&lt;_doi&gt;10.13227/j.hjkx.2014.05.001&lt;/_doi&gt;&lt;_funding&gt;环境保护公益性行业科研专项(201409008,201209007,201209001);国家自然科学基金青年科学基金项目(41205122);上海市科委项目(11231200500);上海市重大科技专项(沪环科2013-03);中国科学院战略性先导科技专项(XDB05020300,XDB020300)&lt;/_funding&gt;&lt;_issue&gt;05&lt;/_issue&gt;&lt;_journal&gt;环境科学&lt;/_journal&gt;&lt;_keywords&gt;秸秆燃烧; PM2.5; 气态污染物; 排放因子; 成分谱&lt;/_keywords&gt;&lt;_modified&gt;60464763&lt;/_modified&gt;&lt;_url&gt;http://www.cnki.net/KCMS/detail/detail.aspx?filename=hjkz201405001&amp;amp;dbcode=CJFQ&amp;amp;dbname=CJFDLAST2014&lt;/_url&gt;&lt;_collection_scope&gt;中国科技核心期刊;中文核心期刊;CSCD;&lt;/_collection_scope&gt;&lt;_translated_author&gt;Tang, Xibin;Huang, Cheng;Lou, Shengrong;Qiao, Liping;Wang, Hongli;Zhou, Min;Chen, Minghua;Chen, Zhanghong;Wang, Qian;Li, Guiling;Li, Li;Huang, Haiying;Zhang, Gangfeng&lt;/_translated_author&gt;&lt;/Details&gt;&lt;Extra&gt;&lt;DBUID&gt;{0DA6E8B8-3A61-49AD-9027-1BB1B3F94C4B}&lt;/DBUID&gt;&lt;/Extra&gt;&lt;/Item&gt;&lt;/References&gt;&lt;/Group&gt;&lt;/Citation&gt;_x000a_"/>
    <w:docVar w:name="NE.Ref{8A483221-8E69-4A42-9F5B-4579C3C1A3C8}" w:val=" ADDIN NE.Ref.{8A483221-8E69-4A42-9F5B-4579C3C1A3C8}&lt;Citation&gt;&lt;Group&gt;&lt;References&gt;&lt;Item&gt;&lt;ID&gt;37&lt;/ID&gt;&lt;UID&gt;{A9D71192-30DB-443C-B4D1-1DD91046DCFC}&lt;/UID&gt;&lt;Title&gt;生物质燃烧源大气污染物排放清单编制技术指南（试行）&lt;/Title&gt;&lt;Template&gt;Standard&lt;/Template&gt;&lt;Star&gt;0&lt;/Star&gt;&lt;Tag&gt;0&lt;/Tag&gt;&lt;Author&gt;环境保护部&lt;/Author&gt;&lt;Year&gt;2014&lt;/Year&gt;&lt;Details&gt;&lt;_accessed&gt;60463766&lt;/_accessed&gt;&lt;_created&gt;60463766&lt;/_created&gt;&lt;_modified&gt;60464817&lt;/_modified&gt;&lt;_translated_author&gt;Huan, Jingbaohubu&lt;/_translated_author&gt;&lt;/Details&gt;&lt;Extra&gt;&lt;DBUID&gt;{0DA6E8B8-3A61-49AD-9027-1BB1B3F94C4B}&lt;/DBUID&gt;&lt;/Extra&gt;&lt;/Item&gt;&lt;/References&gt;&lt;/Group&gt;&lt;/Citation&gt;_x000a_"/>
    <w:docVar w:name="NE.Ref{8B035080-721A-4FA5-BFC1-25D27AFF8640}" w:val=" ADDIN NE.Ref.{8B035080-721A-4FA5-BFC1-25D27AFF8640}&lt;Citation&gt;&lt;Group&gt;&lt;References&gt;&lt;Item&gt;&lt;ID&gt;83&lt;/ID&gt;&lt;UID&gt;{07874015-591D-4691-9B2B-23F3CC715516}&lt;/UID&gt;&lt;Title&gt;2013年广东省金属家具产量统计分析&lt;/Title&gt;&lt;Template&gt;Web Page&lt;/Template&gt;&lt;Star&gt;0&lt;/Star&gt;&lt;Tag&gt;0&lt;/Tag&gt;&lt;Author&gt;中商情报网&lt;/Author&gt;&lt;Year&gt;2013&lt;/Year&gt;&lt;Details&gt;&lt;_accessed&gt;60501162&lt;/_accessed&gt;&lt;_created&gt;60501159&lt;/_created&gt;&lt;_modified&gt;60501162&lt;/_modified&gt;&lt;_translated_author&gt;Zhong, Shangqingbaowang&lt;/_translated_author&gt;&lt;/Details&gt;&lt;Extra&gt;&lt;DBUID&gt;{0DA6E8B8-3A61-49AD-9027-1BB1B3F94C4B}&lt;/DBUID&gt;&lt;/Extra&gt;&lt;/Item&gt;&lt;/References&gt;&lt;/Group&gt;&lt;/Citation&gt;_x000a_"/>
    <w:docVar w:name="NE.Ref{8B26CC77-6D08-4EC8-BFB7-BE0B2BC52EDB}" w:val=" ADDIN NE.Ref.{8B26CC77-6D08-4EC8-BFB7-BE0B2BC52EDB}&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8B881D9C-78F6-4CC7-946C-5AA534091581}" w:val=" ADDIN NE.Ref.{8B881D9C-78F6-4CC7-946C-5AA534091581}&lt;Citation&gt;&lt;Group&gt;&lt;References&gt;&lt;Item&gt;&lt;ID&gt;73&lt;/ID&gt;&lt;UID&gt;{684AA02B-91D5-4B82-B0C3-1841817EA6D7}&lt;/UID&gt;&lt;Title&gt;广东典型港口船舶大气污染物排放清单&lt;/Title&gt;&lt;Template&gt;Web Page&lt;/Template&gt;&lt;Star&gt;0&lt;/Star&gt;&lt;Tag&gt;0&lt;/Tag&gt;&lt;Author&gt;广东省环境科学研究院&lt;/Author&gt;&lt;Year&gt;2014&lt;/Year&gt;&lt;Details&gt;&lt;_accessed&gt;60465112&lt;/_accessed&gt;&lt;_created&gt;60465112&lt;/_created&gt;&lt;_modified&gt;60492221&lt;/_modified&gt;&lt;_place_published&gt;广州&lt;/_place_published&gt;&lt;_translated_author&gt;Guang, Dongshenghuanjingkexueyanjiuyuan&lt;/_translated_author&gt;&lt;/Details&gt;&lt;Extra&gt;&lt;DBUID&gt;{0DA6E8B8-3A61-49AD-9027-1BB1B3F94C4B}&lt;/DBUID&gt;&lt;/Extra&gt;&lt;/Item&gt;&lt;/References&gt;&lt;/Group&gt;&lt;/Citation&gt;_x000a_"/>
    <w:docVar w:name="NE.Ref{8C9B3CD3-6EB2-4435-8168-46C47BAB66CC}" w:val=" ADDIN NE.Ref.{8C9B3CD3-6EB2-4435-8168-46C47BAB66CC}&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8D39B82B-CB61-4F4E-8F87-AE019FDDE2C1}" w:val=" ADDIN NE.Ref.{8D39B82B-CB61-4F4E-8F87-AE019FDDE2C1}&lt;Citation&gt;&lt;Group&gt;&lt;References&gt;&lt;Item&gt;&lt;ID&gt;3&lt;/ID&gt;&lt;UID&gt;{415C0B6A-71B5-4651-B803-42EB584B8276}&lt;/UID&gt;&lt;Title&gt;大气可吸入颗粒物一次源排放清单编制技术指南（试行）&lt;/Title&gt;&lt;Template&gt;Standard&lt;/Template&gt;&lt;Star&gt;0&lt;/Star&gt;&lt;Tag&gt;0&lt;/Tag&gt;&lt;Author&gt;环境保护部&lt;/Author&gt;&lt;Year&gt;2014&lt;/Year&gt;&lt;Details&gt;&lt;_created&gt;60463628&lt;/_created&gt;&lt;_modified&gt;60464816&lt;/_modified&gt;&lt;_translated_author&gt;Huan, Jingbaohubu&lt;/_translated_author&gt;&lt;/Details&gt;&lt;Extra&gt;&lt;DBUID&gt;{0DA6E8B8-3A61-49AD-9027-1BB1B3F94C4B}&lt;/DBUID&gt;&lt;/Extra&gt;&lt;/Item&gt;&lt;/References&gt;&lt;/Group&gt;&lt;Group&gt;&lt;References&gt;&lt;Item&gt;&lt;ID&gt;4&lt;/ID&gt;&lt;UID&gt;{E57F084E-0472-493F-A584-41A59FE7A954}&lt;/UID&gt;&lt;Title&gt;大气细颗粒物一次源排放清单编制技术指南（试行）&lt;/Title&gt;&lt;Template&gt;Standard&lt;/Template&gt;&lt;Star&gt;0&lt;/Star&gt;&lt;Tag&gt;0&lt;/Tag&gt;&lt;Author&gt;环境保护部&lt;/Author&gt;&lt;Year&gt;2014&lt;/Year&gt;&lt;Details&gt;&lt;_created&gt;60463628&lt;/_created&gt;&lt;_modified&gt;60465005&lt;/_modified&gt;&lt;_translated_author&gt;Huan, Jingbaohubu&lt;/_translated_author&gt;&lt;/Details&gt;&lt;Extra&gt;&lt;DBUID&gt;{0DA6E8B8-3A61-49AD-9027-1BB1B3F94C4B}&lt;/DBUID&gt;&lt;/Extra&gt;&lt;/Item&gt;&lt;/References&gt;&lt;/Group&gt;&lt;/Citation&gt;_x000a_"/>
    <w:docVar w:name="NE.Ref{8DB76164-0318-47D5-9447-34820C65137B}" w:val=" ADDIN NE.Ref.{8DB76164-0318-47D5-9447-34820C65137B}&lt;Citation&gt;&lt;Group&gt;&lt;References&gt;&lt;Item&gt;&lt;ID&gt;7&lt;/ID&gt;&lt;UID&gt;{BD9BF6D2-F5BD-4E52-A587-6BB13834F2D1}&lt;/UID&gt;&lt;Title&gt;空气污染物排放量推估手册&lt;/Title&gt;&lt;Template&gt;Standard&lt;/Template&gt;&lt;Star&gt;0&lt;/Star&gt;&lt;Tag&gt;0&lt;/Tag&gt;&lt;Author&gt;台湾环保署&lt;/Author&gt;&lt;Year&gt;2006&lt;/Year&gt;&lt;Details&gt;&lt;_created&gt;60463628&lt;/_created&gt;&lt;_modified&gt;60464816&lt;/_modified&gt;&lt;_translated_author&gt;Tai, Wanhuanbaoshu&lt;/_translated_author&gt;&lt;/Details&gt;&lt;Extra&gt;&lt;DBUID&gt;{0DA6E8B8-3A61-49AD-9027-1BB1B3F94C4B}&lt;/DBUID&gt;&lt;/Extra&gt;&lt;/Item&gt;&lt;/References&gt;&lt;/Group&gt;&lt;/Citation&gt;_x000a_"/>
    <w:docVar w:name="NE.Ref{8DC531A6-823E-4DAD-83F4-4858DAB7175F}" w:val=" ADDIN NE.Ref.{8DC531A6-823E-4DAD-83F4-4858DAB7175F}&lt;Citation&gt;&lt;Group&gt;&lt;References&gt;&lt;Item&gt;&lt;ID&gt;37&lt;/ID&gt;&lt;UID&gt;{A9D71192-30DB-443C-B4D1-1DD91046DCFC}&lt;/UID&gt;&lt;Title&gt;生物质燃烧源大气污染物排放清单编制技术指南（试行）&lt;/Title&gt;&lt;Template&gt;Standard&lt;/Template&gt;&lt;Star&gt;0&lt;/Star&gt;&lt;Tag&gt;0&lt;/Tag&gt;&lt;Author&gt;环境保护部&lt;/Author&gt;&lt;Year&gt;2014&lt;/Year&gt;&lt;Details&gt;&lt;_accessed&gt;60463766&lt;/_accessed&gt;&lt;_created&gt;60463766&lt;/_created&gt;&lt;_modified&gt;60464817&lt;/_modified&gt;&lt;_translated_author&gt;Huan, Jingbaohubu&lt;/_translated_author&gt;&lt;/Details&gt;&lt;Extra&gt;&lt;DBUID&gt;{0DA6E8B8-3A61-49AD-9027-1BB1B3F94C4B}&lt;/DBUID&gt;&lt;/Extra&gt;&lt;/Item&gt;&lt;/References&gt;&lt;/Group&gt;&lt;/Citation&gt;_x000a_"/>
    <w:docVar w:name="NE.Ref{8EE18310-4BBE-4D81-92A9-FFC148D37F99}" w:val=" ADDIN NE.Ref.{8EE18310-4BBE-4D81-92A9-FFC148D37F99}&lt;Citation&gt;&lt;Group&gt;&lt;References&gt;&lt;Item&gt;&lt;ID&gt;72&lt;/ID&gt;&lt;UID&gt;{7925F399-D529-414C-BF4B-065252241EA8}&lt;/UID&gt;&lt;Title&gt;广东统计年鉴&lt;/Title&gt;&lt;Template&gt;Book&lt;/Template&gt;&lt;Star&gt;0&lt;/Star&gt;&lt;Tag&gt;0&lt;/Tag&gt;&lt;Author&gt;广东省统计局; 国家统计局广东调查总队&lt;/Author&gt;&lt;Year&gt;2013&lt;/Year&gt;&lt;Details&gt;&lt;_accessed&gt;60465096&lt;/_accessed&gt;&lt;_created&gt;60465096&lt;/_created&gt;&lt;_modified&gt;60466472&lt;/_modified&gt;&lt;_place_published&gt;北京&lt;/_place_published&gt;&lt;_publisher&gt;中国统计出版社&lt;/_publisher&gt;&lt;_translated_author&gt;Guang, Dongshengtongjiju;Guo, Jiatongjijuguangdongdiaochazongdui&lt;/_translated_author&gt;&lt;/Details&gt;&lt;Extra&gt;&lt;DBUID&gt;{0DA6E8B8-3A61-49AD-9027-1BB1B3F94C4B}&lt;/DBUID&gt;&lt;/Extra&gt;&lt;/Item&gt;&lt;/References&gt;&lt;/Group&gt;&lt;/Citation&gt;_x000a_"/>
    <w:docVar w:name="NE.Ref{8F0DBC4F-89F7-4CC3-89C3-69B0D2AFA2DC}" w:val=" ADDIN NE.Ref.{8F0DBC4F-89F7-4CC3-89C3-69B0D2AFA2DC}&lt;Citation&gt;&lt;Group&gt;&lt;References&gt;&lt;Item&gt;&lt;ID&gt;72&lt;/ID&gt;&lt;UID&gt;{7925F399-D529-414C-BF4B-065252241EA8}&lt;/UID&gt;&lt;Title&gt;广东统计年鉴&lt;/Title&gt;&lt;Template&gt;Book&lt;/Template&gt;&lt;Star&gt;0&lt;/Star&gt;&lt;Tag&gt;0&lt;/Tag&gt;&lt;Author&gt;广东省统计局; 国家统计局广东调查总队&lt;/Author&gt;&lt;Year&gt;2013&lt;/Year&gt;&lt;Details&gt;&lt;_accessed&gt;60465096&lt;/_accessed&gt;&lt;_created&gt;60465096&lt;/_created&gt;&lt;_modified&gt;60466472&lt;/_modified&gt;&lt;_place_published&gt;北京&lt;/_place_published&gt;&lt;_publisher&gt;中国统计出版社&lt;/_publisher&gt;&lt;_translated_author&gt;Guang, Dongshengtongjiju;Guo, Jiatongjijuguangdongdiaochazongdui&lt;/_translated_author&gt;&lt;/Details&gt;&lt;Extra&gt;&lt;DBUID&gt;{0DA6E8B8-3A61-49AD-9027-1BB1B3F94C4B}&lt;/DBUID&gt;&lt;/Extra&gt;&lt;/Item&gt;&lt;/References&gt;&lt;/Group&gt;&lt;/Citation&gt;_x000a_"/>
    <w:docVar w:name="NE.Ref{908C823A-9A84-4317-9840-1EE98ACA4BF5}" w:val=" ADDIN NE.Ref.{908C823A-9A84-4317-9840-1EE98ACA4BF5}&lt;Citation&gt;&lt;Group&gt;&lt;References&gt;&lt;Item&gt;&lt;ID&gt;22&lt;/ID&gt;&lt;UID&gt;{C33C2DF7-E6FB-46AD-B1CC-30489B392A0A}&lt;/UID&gt;&lt;Title&gt;广东省在用内河船舶排气污染控制对策研究&lt;/Title&gt;&lt;Template&gt;Report&lt;/Template&gt;&lt;Star&gt;0&lt;/Star&gt;&lt;Tag&gt;0&lt;/Tag&gt;&lt;Author&gt;广东省环境科学研究院&lt;/Author&gt;&lt;Year&gt;2013&lt;/Year&gt;&lt;Details&gt;&lt;_accessed&gt;60463710&lt;/_accessed&gt;&lt;_created&gt;60463710&lt;/_created&gt;&lt;_modified&gt;60463710&lt;/_modified&gt;&lt;_place_published&gt;广州&lt;/_place_published&gt;&lt;_translated_author&gt;Guang, Dongshenghuanjingkexueyanjiuyuan&lt;/_translated_author&gt;&lt;/Details&gt;&lt;Extra&gt;&lt;DBUID&gt;{0DA6E8B8-3A61-49AD-9027-1BB1B3F94C4B}&lt;/DBUID&gt;&lt;/Extra&gt;&lt;/Item&gt;&lt;/References&gt;&lt;/Group&gt;&lt;/Citation&gt;_x000a_"/>
    <w:docVar w:name="NE.Ref{9168FCDF-CD06-4951-8E3D-044E55CF1ECA}" w:val=" ADDIN NE.Ref.{9168FCDF-CD06-4951-8E3D-044E55CF1ECA}&lt;Citation&gt;&lt;Group&gt;&lt;References&gt;&lt;Item&gt;&lt;ID&gt;37&lt;/ID&gt;&lt;UID&gt;{A9D71192-30DB-443C-B4D1-1DD91046DCFC}&lt;/UID&gt;&lt;Title&gt;生物质燃烧源大气污染物排放清单编制技术指南（试行）&lt;/Title&gt;&lt;Template&gt;Standard&lt;/Template&gt;&lt;Star&gt;0&lt;/Star&gt;&lt;Tag&gt;0&lt;/Tag&gt;&lt;Author&gt;环境保护部&lt;/Author&gt;&lt;Year&gt;2014&lt;/Year&gt;&lt;Details&gt;&lt;_accessed&gt;60463766&lt;/_accessed&gt;&lt;_created&gt;60463766&lt;/_created&gt;&lt;_modified&gt;60464817&lt;/_modified&gt;&lt;_translated_author&gt;Huan, Jingbaohubu&lt;/_translated_author&gt;&lt;/Details&gt;&lt;Extra&gt;&lt;DBUID&gt;{0DA6E8B8-3A61-49AD-9027-1BB1B3F94C4B}&lt;/DBUID&gt;&lt;/Extra&gt;&lt;/Item&gt;&lt;/References&gt;&lt;/Group&gt;&lt;/Citation&gt;_x000a_"/>
    <w:docVar w:name="NE.Ref{95CC1060-A38D-4CF2-A1BA-F29D1A089764}" w:val=" ADDIN NE.Ref.{95CC1060-A38D-4CF2-A1BA-F29D1A089764}&lt;Citation&gt;&lt;Group&gt;&lt;References&gt;&lt;Item&gt;&lt;ID&gt;45&lt;/ID&gt;&lt;UID&gt;{CA189BD2-3748-4C16-87C3-F953C3FADDA5}&lt;/UID&gt;&lt;Title&gt;长三角地区秸秆燃烧排放因子与颗粒物成分谱研究&lt;/Title&gt;&lt;Template&gt;Journal Article&lt;/Template&gt;&lt;Star&gt;0&lt;/Star&gt;&lt;Tag&gt;0&lt;/Tag&gt;&lt;Author&gt;唐喜斌; 黄成; 楼晟荣; 乔利平; 王红丽; 周敏; 陈明华; 陈长虹; 王倩; 李贵玲; 李莉; 黄海英; 张钢锋&lt;/Author&gt;&lt;Year&gt;2014&lt;/Year&gt;&lt;Details&gt;&lt;_author_aff&gt;华东理工大学资源与环境工程学院; 上海市环境科学研究院国家环境保护城市大气复合污染成因与防治重点实验室(筹); 上海市大气颗粒物污染防治重点实验室&lt;/_author_aff&gt;&lt;_cate&gt;X513;X712&lt;/_cate&gt;&lt;_cited_count&gt;36&lt;/_cited_count&gt;&lt;_created&gt;60464738&lt;/_created&gt;&lt;_doi&gt;10.13227/j.hjkx.2014.05.001&lt;/_doi&gt;&lt;_funding&gt;环境保护公益性行业科研专项(201409008,201209007,201209001);国家自然科学基金青年科学基金项目(41205122);上海市科委项目(11231200500);上海市重大科技专项(沪环科2013-03);中国科学院战略性先导科技专项(XDB05020300,XDB020300)&lt;/_funding&gt;&lt;_issue&gt;05&lt;/_issue&gt;&lt;_journal&gt;环境科学&lt;/_journal&gt;&lt;_keywords&gt;秸秆燃烧; PM2.5; 气态污染物; 排放因子; 成分谱&lt;/_keywords&gt;&lt;_modified&gt;60464763&lt;/_modified&gt;&lt;_url&gt;http://www.cnki.net/KCMS/detail/detail.aspx?filename=hjkz201405001&amp;amp;dbcode=CJFQ&amp;amp;dbname=CJFDLAST2014&lt;/_url&gt;&lt;_collection_scope&gt;中国科技核心期刊;中文核心期刊;CSCD;&lt;/_collection_scope&gt;&lt;_translated_author&gt;Tang, Xibin;Huang, Cheng;Lou, Shengrong;Qiao, Liping;Wang, Hongli;Zhou, Min;Chen, Minghua;Chen, Zhanghong;Wang, Qian;Li, Guiling;Li, Li;Huang, Haiying;Zhang, Gangfeng&lt;/_translated_author&gt;&lt;/Details&gt;&lt;Extra&gt;&lt;DBUID&gt;{0DA6E8B8-3A61-49AD-9027-1BB1B3F94C4B}&lt;/DBUID&gt;&lt;/Extra&gt;&lt;/Item&gt;&lt;/References&gt;&lt;/Group&gt;&lt;/Citation&gt;_x000a_"/>
    <w:docVar w:name="NE.Ref{962FEB1C-6312-4FAF-9DC9-F0B04BAA1F61}" w:val=" ADDIN NE.Ref.{962FEB1C-6312-4FAF-9DC9-F0B04BAA1F61}&lt;Citation&gt;&lt;Group&gt;&lt;References&gt;&lt;Item&gt;&lt;ID&gt;9&lt;/ID&gt;&lt;UID&gt;{9E324EA5-3AF7-4ECE-B023-DAF922E68099}&lt;/UID&gt;&lt;Title&gt;天津市大气污染源排放清单的建立&lt;/Title&gt;&lt;Template&gt;Report&lt;/Template&gt;&lt;Star&gt;0&lt;/Star&gt;&lt;Tag&gt;0&lt;/Tag&gt;&lt;Author&gt;赵斌; 马建中&lt;/Author&gt;&lt;Year&gt;2008&lt;/Year&gt;&lt;Details&gt;&lt;_accessed&gt;60464686&lt;/_accessed&gt;&lt;_author_adr&gt;中国气象科学研究院,北京100081&lt;/_author_adr&gt;&lt;_created&gt;60463628&lt;/_created&gt;&lt;_db_provider&gt;重庆维普&lt;/_db_provider&gt;&lt;_isbn&gt;0253-2468&lt;/_isbn&gt;&lt;_issue&gt;2&lt;/_issue&gt;&lt;_journal&gt;环境科学学报&lt;/_journal&gt;&lt;_keywords&gt;排放源清单; 排放因子; 空气污染; 天津; emission inventory; emission factor; air pollution; Tianjin&lt;/_keywords&gt;&lt;_language&gt;Chinese&lt;/_language&gt;&lt;_modified&gt;60464819&lt;/_modified&gt;&lt;_pages&gt;368-375&lt;/_pages&gt;&lt;_translated_author&gt;ZHAO, Bin; MA, Jianzhong Chinese Academy Of; Beijing&lt;/_translated_author&gt;&lt;_translated_title&gt;Development of an air pollutant emission inventory for Tianjin&lt;/_translated_title&gt;&lt;_volume&gt;28&lt;/_volume&gt;&lt;/Details&gt;&lt;Extra&gt;&lt;DBUID&gt;{0DA6E8B8-3A61-49AD-9027-1BB1B3F94C4B}&lt;/DBUID&gt;&lt;/Extra&gt;&lt;/Item&gt;&lt;/References&gt;&lt;/Group&gt;&lt;/Citation&gt;_x000a_"/>
    <w:docVar w:name="NE.Ref{9637B316-B37A-4E69-A6C2-31FE8C776988}" w:val=" ADDIN NE.Ref.{9637B316-B37A-4E69-A6C2-31FE8C776988}&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980DB7DD-3C73-4948-A56D-410267D3D98F}" w:val=" ADDIN NE.Ref.{980DB7DD-3C73-4948-A56D-410267D3D98F}&lt;Citation&gt;&lt;Group&gt;&lt;References&gt;&lt;Item&gt;&lt;ID&gt;40&lt;/ID&gt;&lt;UID&gt;{EFEA3AF8-3FB8-499A-97EA-E41E3D4FB58E}&lt;/UID&gt;&lt;Title&gt;Particulate and Trace Gas Emissions from Open Burning of Wheat Straw and Corn Stover in China&lt;/Title&gt;&lt;Template&gt;Journal Article&lt;/Template&gt;&lt;Star&gt;0&lt;/Star&gt;&lt;Tag&gt;0&lt;/Tag&gt;&lt;Author&gt;LI, XINGHUA; WANG, SHUXIAO; DUAN, LEI&lt;/Author&gt;&lt;Year&gt;2007&lt;/Year&gt;&lt;Details&gt;&lt;_accessed&gt;60464700&lt;/_accessed&gt;&lt;_author_adr&gt;Department of Environmental Science and Engineering,Tsinghua University,Beijing 100084,P.R.China&lt;/_author_adr&gt;&lt;_created&gt;60464697&lt;/_created&gt;&lt;_db_provider&gt;北京万方数据股份有限公司&lt;/_db_provider&gt;&lt;_doi&gt;10.1021/es0705137&lt;/_doi&gt;&lt;_isbn&gt;0013-936X&lt;/_isbn&gt;&lt;_issue&gt;17&lt;/_issue&gt;&lt;_journal&gt;Environmental Science &amp;amp; Technology&lt;/_journal&gt;&lt;_language&gt;eng&lt;/_language&gt;&lt;_modified&gt;60464700&lt;/_modified&gt;&lt;_pages&gt;6052-6058&lt;/_pages&gt;&lt;_url&gt;http://d.g.wanfangdata.com.cn/NSTLQK_NSTL_QKJJ028916023.aspx&lt;/_url&gt;&lt;_volume&gt;41&lt;/_volume&gt;&lt;_impact_factor&gt;   5.393&lt;/_impact_factor&gt;&lt;_collection_scope&gt;SCI;SCIE;&lt;/_collection_scope&gt;&lt;/Details&gt;&lt;Extra&gt;&lt;DBUID&gt;{0DA6E8B8-3A61-49AD-9027-1BB1B3F94C4B}&lt;/DBUID&gt;&lt;/Extra&gt;&lt;/Item&gt;&lt;/References&gt;&lt;/Group&gt;&lt;/Citation&gt;_x000a_"/>
    <w:docVar w:name="NE.Ref{9A68B09A-D549-4268-9C5D-AB5B2C3ECCFD}" w:val=" ADDIN NE.Ref.{9A68B09A-D549-4268-9C5D-AB5B2C3ECCFD}&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9AC443A8-5FCC-4A01-A014-0F2E6FFBC6B0}" w:val=" ADDIN NE.Ref.{9AC443A8-5FCC-4A01-A014-0F2E6FFBC6B0}&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9B5C03E8-6CCC-4326-B286-CB73D65B8579}" w:val=" ADDIN NE.Ref.{9B5C03E8-6CCC-4326-B286-CB73D65B8579}&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9B723D45-A6F4-4FA2-ADD5-16909011DB43}" w:val=" ADDIN NE.Ref.{9B723D45-A6F4-4FA2-ADD5-16909011DB43}&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9C7631DA-963D-40F2-A03E-7B0081903561}" w:val=" ADDIN NE.Ref.{9C7631DA-963D-40F2-A03E-7B0081903561}&lt;Citation&gt;&lt;Group&gt;&lt;References&gt;&lt;Item&gt;&lt;ID&gt;3&lt;/ID&gt;&lt;UID&gt;{415C0B6A-71B5-4651-B803-42EB584B8276}&lt;/UID&gt;&lt;Title&gt;大气可吸入颗粒物一次源排放清单编制技术指南（试行）&lt;/Title&gt;&lt;Template&gt;Standard&lt;/Template&gt;&lt;Star&gt;0&lt;/Star&gt;&lt;Tag&gt;0&lt;/Tag&gt;&lt;Author&gt;环境保护部&lt;/Author&gt;&lt;Year&gt;2014&lt;/Year&gt;&lt;Details&gt;&lt;_accessed&gt;60544403&lt;/_accessed&gt;&lt;_created&gt;60463628&lt;/_created&gt;&lt;_modified&gt;60464816&lt;/_modified&gt;&lt;_translated_author&gt;Huan, Jingbaohubu&lt;/_translated_author&gt;&lt;/Details&gt;&lt;Extra&gt;&lt;DBUID&gt;{0DA6E8B8-3A61-49AD-9027-1BB1B3F94C4B}&lt;/DBUID&gt;&lt;/Extra&gt;&lt;/Item&gt;&lt;/References&gt;&lt;/Group&gt;&lt;Group&gt;&lt;References&gt;&lt;Item&gt;&lt;ID&gt;4&lt;/ID&gt;&lt;UID&gt;{E57F084E-0472-493F-A584-41A59FE7A954}&lt;/UID&gt;&lt;Title&gt;大气细颗粒物一次源排放清单编制技术指南（试行）&lt;/Title&gt;&lt;Template&gt;Standard&lt;/Template&gt;&lt;Star&gt;0&lt;/Star&gt;&lt;Tag&gt;0&lt;/Tag&gt;&lt;Author&gt;环境保护部&lt;/Author&gt;&lt;Year&gt;2014&lt;/Year&gt;&lt;Details&gt;&lt;_created&gt;60463628&lt;/_created&gt;&lt;_modified&gt;60465005&lt;/_modified&gt;&lt;_translated_author&gt;Huan, Jingbaohubu&lt;/_translated_author&gt;&lt;/Details&gt;&lt;Extra&gt;&lt;DBUID&gt;{0DA6E8B8-3A61-49AD-9027-1BB1B3F94C4B}&lt;/DBUID&gt;&lt;/Extra&gt;&lt;/Item&gt;&lt;/References&gt;&lt;/Group&gt;&lt;/Citation&gt;_x000a_"/>
    <w:docVar w:name="NE.Ref{9DF69198-D631-4D1C-8677-3D708DFB16C0}" w:val=" ADDIN NE.Ref.{9DF69198-D631-4D1C-8677-3D708DFB16C0}&lt;Citation&gt;&lt;Group&gt;&lt;References&gt;&lt;Item&gt;&lt;ID&gt;10&lt;/ID&gt;&lt;UID&gt;{E4A8DBA3-9E55-48EF-B972-FBB5CA0D2D95}&lt;/UID&gt;&lt;Title&gt;中国大陆CO人为源排放清单&lt;/Title&gt;&lt;Template&gt;Journal Article&lt;/Template&gt;&lt;Star&gt;0&lt;/Star&gt;&lt;Tag&gt;0&lt;/Tag&gt;&lt;Author&gt;王丽涛; 张强; 郝吉明; 贺克斌&lt;/Author&gt;&lt;Year&gt;2005&lt;/Year&gt;&lt;Details&gt;&lt;_accessed&gt;60463715&lt;/_accessed&gt;&lt;_author_aff&gt;清华大学环境科学与工程系;清华大学环境科学与工程系;清华大学环境科学与工程系;清华大学环境科学与工程系 北京100084_x000d__x000a__x000d__x000a__x000d__x000a__x000d__x000a__x000d__x000a__x000d__x000a__x000d__x000a__x000d__x000a_;北京100084_x000d__x000a__x000d__x000a__x000d__x000a__x000d__x000a__x000d__x000a__x000d__x000a__x000d__x000a__x000d__x000a_;北京100084_x000d__x000a__x000d__x000a__x000d__x000a__x000d__x000a__x000d__x000a__x000d__x000a__x000d__x000a__x000d__x000a_;北京100084&lt;/_author_aff&gt;&lt;_created&gt;60463628&lt;/_created&gt;&lt;_date&gt;2005-12-26&lt;/_date&gt;&lt;_db_provider&gt;CNKI: 期刊&lt;/_db_provider&gt;&lt;_issue&gt;12&lt;/_issue&gt;&lt;_journal&gt;环境科学学报&lt;/_journal&gt;&lt;_keywords&gt;CO;排放清单;人为源;中国大陆&lt;/_keywords&gt;&lt;_language&gt;Chinese&lt;/_language&gt;&lt;_modified&gt;60463628&lt;/_modified&gt;&lt;_pages&gt;8-13&lt;/_pages&gt;&lt;_url&gt;http://www.cnki.net/KCMS/detail/detail.aspx?FileName=HJXX200512002&amp;amp;DbName=CJFQ2005&lt;/_url&gt;&lt;_translated_author&gt;Wang, Litao;Zhang, Qiang;Hao, Jiming;He, Kebin&lt;/_translated_author&gt;&lt;/Details&gt;&lt;Extra&gt;&lt;DBUID&gt;{0DA6E8B8-3A61-49AD-9027-1BB1B3F94C4B}&lt;/DBUID&gt;&lt;/Extra&gt;&lt;/Item&gt;&lt;/References&gt;&lt;/Group&gt;&lt;/Citation&gt;_x000a_"/>
    <w:docVar w:name="NE.Ref{A080DDC1-4C4F-496E-91E0-189161ED431B}" w:val=" ADDIN NE.Ref.{A080DDC1-4C4F-496E-91E0-189161ED431B}&lt;Citation&gt;&lt;Group&gt;&lt;References&gt;&lt;Item&gt;&lt;ID&gt;61&lt;/ID&gt;&lt;UID&gt;{59DA4F2A-8DA6-4E21-8C8A-275797EE11DE}&lt;/UID&gt;&lt;Title&gt;Estimates of global terrestrial isoprene emissions using MEGAN (Model of Emissions of Gases and Aerosols from Nature)&lt;/Title&gt;&lt;Template&gt;Journal Article&lt;/Template&gt;&lt;Star&gt;0&lt;/Star&gt;&lt;Tag&gt;0&lt;/Tag&gt;&lt;Author&gt;Guenther, A; Karl, T; Harley, P; Wiedinmyer, C; Palmer, P I; Geron, C&lt;/Author&gt;&lt;Year&gt;2006&lt;/Year&gt;&lt;Details&gt;&lt;_alternate_title&gt;Atmospheric Chemistry and Physics&lt;/_alternate_title&gt;&lt;_created&gt;60464793&lt;/_created&gt;&lt;_date&gt;2006-01-01&lt;/_date&gt;&lt;_date_display&gt;2006&lt;/_date_display&gt;&lt;_doi&gt;10.5194/acp-6-3181-2006&lt;/_doi&gt;&lt;_isbn&gt;ISSN 1680-7316&lt;/_isbn&gt;&lt;_issue&gt;11&lt;/_issue&gt;&lt;_journal&gt;Atmospheric Chemistry and Physics&lt;/_journal&gt;&lt;_modified&gt;60464807&lt;/_modified&gt;&lt;_pages&gt;3181-3210&lt;/_pages&gt;&lt;_url&gt;http://dx.doi.org/10.5194/acp-6-3181-2006&lt;/_url&gt;&lt;_volume&gt;6&lt;/_volume&gt;&lt;_impact_factor&gt;   5.114&lt;/_impact_factor&gt;&lt;_collection_scope&gt;SCI;SCIE;&lt;/_collection_scope&gt;&lt;/Details&gt;&lt;Extra&gt;&lt;DBUID&gt;{0DA6E8B8-3A61-49AD-9027-1BB1B3F94C4B}&lt;/DBUID&gt;&lt;/Extra&gt;&lt;/Item&gt;&lt;/References&gt;&lt;/Group&gt;&lt;/Citation&gt;_x000a_"/>
    <w:docVar w:name="NE.Ref{A0E6A93E-CCAC-4937-9ADB-9B4008736BC5}" w:val=" ADDIN NE.Ref.{A0E6A93E-CCAC-4937-9ADB-9B4008736BC5}&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A1D48DB7-620A-4F45-B885-471A0542AB0C}" w:val=" ADDIN NE.Ref.{A1D48DB7-620A-4F45-B885-471A0542AB0C}&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A2150E66-B7D9-4250-A458-2838771E9123}" w:val=" ADDIN NE.Ref.{A2150E66-B7D9-4250-A458-2838771E9123}&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A224E420-8970-4FBE-966F-DECD9686B862}" w:val=" ADDIN NE.Ref.{A224E420-8970-4FBE-966F-DECD9686B862}&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A22D3C49-D0EB-4088-BAEB-51FF9C5F3704}" w:val=" ADDIN NE.Ref.{A22D3C49-D0EB-4088-BAEB-51FF9C5F3704}&lt;Citation&gt;&lt;Group&gt;&lt;References&gt;&lt;Item&gt;&lt;ID&gt;1&lt;/ID&gt;&lt;UID&gt;{6B18977D-9777-462E-95F6-D25F3A60E833}&lt;/UID&gt;&lt;Title&gt;“十二五”重点区域大气污染联防联控VOC排放清单和治理技术手册&lt;/Title&gt;&lt;Template&gt;Standard&lt;/Template&gt;&lt;Star&gt;0&lt;/Star&gt;&lt;Tag&gt;0&lt;/Tag&gt;&lt;Author&gt;环境保护部&lt;/Author&gt;&lt;Year&gt;2010&lt;/Year&gt;&lt;Details&gt;&lt;_accessed&gt;60463742&lt;/_accessed&gt;&lt;_created&gt;60463628&lt;/_created&gt;&lt;_modified&gt;60567113&lt;/_modified&gt;&lt;_translated_author&gt;Huan, Jingbaohubu&lt;/_translated_author&gt;&lt;/Details&gt;&lt;Extra&gt;&lt;DBUID&gt;{0DA6E8B8-3A61-49AD-9027-1BB1B3F94C4B}&lt;/DBUID&gt;&lt;/Extra&gt;&lt;/Item&gt;&lt;/References&gt;&lt;/Group&gt;&lt;/Citation&gt;_x000a_"/>
    <w:docVar w:name="NE.Ref{A35EC63E-92C6-41E6-BFDC-166141451755}" w:val=" ADDIN NE.Ref.{A35EC63E-92C6-41E6-BFDC-166141451755}&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A589CFD3-80F1-4AD6-B150-1B242A839D6D}" w:val=" ADDIN NE.Ref.{A589CFD3-80F1-4AD6-B150-1B242A839D6D}&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A604BE7F-BFFC-434B-909F-374C3FF0506F}" w:val=" ADDIN NE.Ref.{A604BE7F-BFFC-434B-909F-374C3FF0506F}&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A6F76E90-9EDD-4EAD-8F1E-177BCAC286AC}" w:val=" ADDIN NE.Ref.{A6F76E90-9EDD-4EAD-8F1E-177BCAC286AC}&lt;Citation&gt;&lt;Group&gt;&lt;References&gt;&lt;Item&gt;&lt;ID&gt;26&lt;/ID&gt;&lt;UID&gt;{6FE02087-B23D-4E7B-A16A-A67DD292326F}&lt;/UID&gt;&lt;Title&gt;城市地面扬尘的估算与分布特征研究&lt;/Title&gt;&lt;Template&gt;Thesis&lt;/Template&gt;&lt;Star&gt;0&lt;/Star&gt;&lt;Tag&gt;0&lt;/Tag&gt;&lt;Author&gt;黄嫣旻&lt;/Author&gt;&lt;Year&gt;2006&lt;/Year&gt;&lt;Details&gt;&lt;_accessed&gt;60463730&lt;/_accessed&gt;&lt;_cate&gt;X513&lt;/_cate&gt;&lt;_cited_count&gt;13&lt;/_cited_count&gt;&lt;_created&gt;60463730&lt;/_created&gt;&lt;_keywords&gt;城市地面扬尘; 扬尘量估算; 空间统计; 空气动力学粒径; 激光粒度仪; 重金属; 分布特征; 上海; 吴淞工业区&lt;/_keywords&gt;&lt;_modified&gt;60463730&lt;/_modified&gt;&lt;_publisher&gt;华东师范大学&lt;/_publisher&gt;&lt;_ref_count&gt;57&lt;/_ref_count&gt;&lt;_section&gt;环境科学&lt;/_section&gt;&lt;_tertiary_author&gt;束炯&lt;/_tertiary_author&gt;&lt;_url&gt;http://www.cnki.net/KCMS/detail/detail.aspx?ref=kcms&amp;amp;docid=2006124002.nh&amp;amp;uid=; http://www.cnki.net/KCMS/detail/detail.aspx?filename=2006124002.nh&amp;amp;dbcode=CMFD&amp;amp;dbname=CMFD9908&lt;/_url&gt;&lt;_volume&gt;硕士&lt;/_volume&gt;&lt;_translated_author&gt;Huang, Yanmin&lt;/_translated_author&gt;&lt;_translated_tertiary_author&gt;Shu, Jiong&lt;/_translated_tertiary_author&gt;&lt;/Details&gt;&lt;Extra&gt;&lt;DBUID&gt;{0DA6E8B8-3A61-49AD-9027-1BB1B3F94C4B}&lt;/DBUID&gt;&lt;/Extra&gt;&lt;/Item&gt;&lt;/References&gt;&lt;/Group&gt;&lt;/Citation&gt;_x000a_"/>
    <w:docVar w:name="NE.Ref{A7AF62C3-E2EB-493C-826D-D5D1A4C785AB}" w:val=" ADDIN NE.Ref.{A7AF62C3-E2EB-493C-826D-D5D1A4C785AB}&lt;Citation&gt;&lt;Group&gt;&lt;References&gt;&lt;Item&gt;&lt;ID&gt;36&lt;/ID&gt;&lt;UID&gt;{93630825-5ADD-41FC-ABF1-B8BE77181841}&lt;/UID&gt;&lt;Title&gt;非道路移动污染源排放清单编制技术指南（试行）&lt;/Title&gt;&lt;Template&gt;Standard&lt;/Template&gt;&lt;Star&gt;0&lt;/Star&gt;&lt;Tag&gt;0&lt;/Tag&gt;&lt;Author&gt;环境保护部&lt;/Author&gt;&lt;Year&gt;2014&lt;/Year&gt;&lt;Details&gt;&lt;_accessed&gt;60550452&lt;/_accessed&gt;&lt;_created&gt;60463764&lt;/_created&gt;&lt;_modified&gt;60464817&lt;/_modified&gt;&lt;_translated_author&gt;Huan, Jingbaohubu&lt;/_translated_author&gt;&lt;/Details&gt;&lt;Extra&gt;&lt;DBUID&gt;{0DA6E8B8-3A61-49AD-9027-1BB1B3F94C4B}&lt;/DBUID&gt;&lt;/Extra&gt;&lt;/Item&gt;&lt;/References&gt;&lt;/Group&gt;&lt;/Citation&gt;_x000a_"/>
    <w:docVar w:name="NE.Ref{A7AFE20D-5EEA-4895-A7A8-BC3BB27F189F}" w:val=" ADDIN NE.Ref.{A7AFE20D-5EEA-4895-A7A8-BC3BB27F189F}&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A7B89261-621B-408D-A9D3-663A5D968347}" w:val=" ADDIN NE.Ref.{A7B89261-621B-408D-A9D3-663A5D968347}&lt;Citation&gt;&lt;Group&gt;&lt;References&gt;&lt;Item&gt;&lt;ID&gt;133&lt;/ID&gt;&lt;UID&gt;{A5B021E4-3FC5-412E-84EC-595D5FA42B7A}&lt;/UID&gt;&lt;Title&gt;Study on Marine Vessels Emission Inventory&lt;/Title&gt;&lt;Template&gt;Report&lt;/Template&gt;&lt;Star&gt;0&lt;/Star&gt;&lt;Tag&gt;0&lt;/Tag&gt;&lt;Author&gt;HKUST&lt;/Author&gt;&lt;Year&gt;2011&lt;/Year&gt;&lt;Details&gt;&lt;_accessed&gt;61279867&lt;/_accessed&gt;&lt;_created&gt;61279864&lt;/_created&gt;&lt;_modified&gt;61279874&lt;/_modified&gt;&lt;_publisher&gt;The Hong Kong University of Science &amp;amp; Technology&lt;/_publisher&gt;&lt;/Details&gt;&lt;Extra&gt;&lt;DBUID&gt;{0DA6E8B8-3A61-49AD-9027-1BB1B3F94C4B}&lt;/DBUID&gt;&lt;/Extra&gt;&lt;/Item&gt;&lt;/References&gt;&lt;/Group&gt;&lt;/Citation&gt;_x000a_"/>
    <w:docVar w:name="NE.Ref{A7FE396A-FD0D-4A66-9173-04E970A01353}" w:val=" ADDIN NE.Ref.{A7FE396A-FD0D-4A66-9173-04E970A01353}&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A805A433-B8AF-40B0-86BB-A4573EBB0362}" w:val=" ADDIN NE.Ref.{A805A433-B8AF-40B0-86BB-A4573EBB0362}&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A82F9B34-3F77-4476-A347-4A856C81AE10}" w:val=" ADDIN NE.Ref.{A82F9B34-3F77-4476-A347-4A856C81AE10}&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A9061BDC-5B64-4A4B-8414-8A378D8B2AE1}" w:val=" ADDIN NE.Ref.{A9061BDC-5B64-4A4B-8414-8A378D8B2AE1}&lt;Citation&gt;&lt;Group&gt;&lt;References&gt;&lt;Item&gt;&lt;ID&gt;132&lt;/ID&gt;&lt;UID&gt;{B2159BFD-C3C8-4B12-8D2F-4BA2094F9046}&lt;/UID&gt;&lt;Title&gt;The Port Of Los Angeles Inventory of Air Emissions For Calendar Year 2012&lt;/Title&gt;&lt;Template&gt;Report&lt;/Template&gt;&lt;Star&gt;0&lt;/Star&gt;&lt;Tag&gt;0&lt;/Tag&gt;&lt;Author&gt;LLC, Starcrest Consulting Group&lt;/Author&gt;&lt;Year&gt;2012&lt;/Year&gt;&lt;Details&gt;&lt;_accessed&gt;61279860&lt;/_accessed&gt;&lt;_created&gt;61279860&lt;/_created&gt;&lt;_modified&gt;61279877&lt;/_modified&gt;&lt;_publisher&gt;Starcrest Consulting Group, LLC&lt;/_publisher&gt;&lt;/Details&gt;&lt;Extra&gt;&lt;DBUID&gt;{0DA6E8B8-3A61-49AD-9027-1BB1B3F94C4B}&lt;/DBUID&gt;&lt;/Extra&gt;&lt;/Item&gt;&lt;/References&gt;&lt;/Group&gt;&lt;/Citation&gt;_x000a_"/>
    <w:docVar w:name="NE.Ref{A9535A31-4F80-4FC6-8DA7-91F617AECAF0}" w:val=" ADDIN NE.Ref.{A9535A31-4F80-4FC6-8DA7-91F617AECAF0}&lt;Citation&gt;&lt;Group&gt;&lt;References&gt;&lt;Item&gt;&lt;ID&gt;132&lt;/ID&gt;&lt;UID&gt;{B2159BFD-C3C8-4B12-8D2F-4BA2094F9046}&lt;/UID&gt;&lt;Title&gt;The Port Of Los Angeles Inventory of Air Emissions For Calendar Year 2012&lt;/Title&gt;&lt;Template&gt;Report&lt;/Template&gt;&lt;Star&gt;0&lt;/Star&gt;&lt;Tag&gt;0&lt;/Tag&gt;&lt;Author&gt;Group, Starcrest Consulting&lt;/Author&gt;&lt;Year&gt;2012&lt;/Year&gt;&lt;Details&gt;&lt;_accessed&gt;61279860&lt;/_accessed&gt;&lt;_created&gt;61279860&lt;/_created&gt;&lt;_modified&gt;61279880&lt;/_modified&gt;&lt;_publisher&gt;Starcrest Consulting Group, LLC&lt;/_publisher&gt;&lt;/Details&gt;&lt;Extra&gt;&lt;DBUID&gt;{0DA6E8B8-3A61-49AD-9027-1BB1B3F94C4B}&lt;/DBUID&gt;&lt;/Extra&gt;&lt;/Item&gt;&lt;/References&gt;&lt;/Group&gt;&lt;/Citation&gt;_x000a_"/>
    <w:docVar w:name="NE.Ref{A9D8A7CC-4C8B-4F65-A503-6860E7735132}" w:val=" ADDIN NE.Ref.{A9D8A7CC-4C8B-4F65-A503-6860E7735132}&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AA6AF9DE-3A2E-4787-9DD1-068BF1E5F48F}" w:val=" ADDIN NE.Ref.{AA6AF9DE-3A2E-4787-9DD1-068BF1E5F48F}&lt;Citation&gt;&lt;Group&gt;&lt;References&gt;&lt;Item&gt;&lt;ID&gt;364&lt;/ID&gt;&lt;UID&gt;{6FD5B18F-0925-41BC-8672-EB4E43E086E5}&lt;/UID&gt;&lt;Title&gt;大气可吸入颗粒物一次源排放清单编制技术指南（试行）&lt;/Title&gt;&lt;Template&gt;Standard&lt;/Template&gt;&lt;Star&gt;0&lt;/Star&gt;&lt;Tag&gt;0&lt;/Tag&gt;&lt;Author&gt;环境保护部&lt;/Author&gt;&lt;Year&gt;2014&lt;/Year&gt;&lt;Details&gt;&lt;_accessed&gt;60463507&lt;/_accessed&gt;&lt;_created&gt;60463507&lt;/_created&gt;&lt;_modified&gt;60463507&lt;/_modified&gt;&lt;_translated_author&gt;Huan, Jingbaohubu&lt;/_translated_author&gt;&lt;/Details&gt;&lt;Extra&gt;&lt;DBUID&gt;{0C8895AB-960A-4B76-A0DA-38D8A76C4C8B}&lt;/DBUID&gt;&lt;/Extra&gt;&lt;/Item&gt;&lt;/References&gt;&lt;/Group&gt;&lt;Group&gt;&lt;References&gt;&lt;Item&gt;&lt;ID&gt;363&lt;/ID&gt;&lt;UID&gt;{65E16E74-F240-4FB8-8662-7B4BE7323502}&lt;/UID&gt;&lt;Title&gt;大气细颗粒物(PM2.5)源排放清单编制技术指南（试行）&lt;/Title&gt;&lt;Template&gt;Standard&lt;/Template&gt;&lt;Star&gt;0&lt;/Star&gt;&lt;Tag&gt;0&lt;/Tag&gt;&lt;Author&gt;环境保护部&lt;/Author&gt;&lt;Year&gt;2014&lt;/Year&gt;&lt;Details&gt;&lt;_accessed&gt;60463499&lt;/_accessed&gt;&lt;_created&gt;60463498&lt;/_created&gt;&lt;_modified&gt;60463515&lt;/_modified&gt;&lt;_translated_author&gt;Huan, Jingbaohubu&lt;/_translated_author&gt;&lt;/Details&gt;&lt;Extra&gt;&lt;DBUID&gt;{0C8895AB-960A-4B76-A0DA-38D8A76C4C8B}&lt;/DBUID&gt;&lt;/Extra&gt;&lt;/Item&gt;&lt;/References&gt;&lt;/Group&gt;&lt;/Citation&gt;_x000a_"/>
    <w:docVar w:name="NE.Ref{AB40F32C-9CE8-40E3-BFF8-9DCCC4368261}" w:val=" ADDIN NE.Ref.{AB40F32C-9CE8-40E3-BFF8-9DCCC4368261}&lt;Citation&gt;&lt;Group&gt;&lt;References&gt;&lt;Item&gt;&lt;ID&gt;30&lt;/ID&gt;&lt;UID&gt;{E6EBB0B3-6FB4-4046-98DA-99A7F8B51A25}&lt;/UID&gt;&lt;Title&gt;营建工程污染稽巡查作业标准作业程序手册&lt;/Title&gt;&lt;Template&gt;Standard&lt;/Template&gt;&lt;Star&gt;0&lt;/Star&gt;&lt;Tag&gt;0&lt;/Tag&gt;&lt;Author&gt;台湾环保署&lt;/Author&gt;&lt;Year&gt;2000&lt;/Year&gt;&lt;Details&gt;&lt;_accessed&gt;60463750&lt;/_accessed&gt;&lt;_created&gt;60463750&lt;/_created&gt;&lt;_modified&gt;60464817&lt;/_modified&gt;&lt;_translated_author&gt;Tai, Wanhuanbaoshu&lt;/_translated_author&gt;&lt;/Details&gt;&lt;Extra&gt;&lt;DBUID&gt;{0DA6E8B8-3A61-49AD-9027-1BB1B3F94C4B}&lt;/DBUID&gt;&lt;/Extra&gt;&lt;/Item&gt;&lt;/References&gt;&lt;/Group&gt;&lt;/Citation&gt;_x000a_"/>
    <w:docVar w:name="NE.Ref{AFE4C7C4-DA4A-4B58-8ED6-6511FF0BF9E7}" w:val=" ADDIN NE.Ref.{AFE4C7C4-DA4A-4B58-8ED6-6511FF0BF9E7}&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B01406CD-F83D-4013-9AD8-D26978DFF105}" w:val=" ADDIN NE.Ref.{B01406CD-F83D-4013-9AD8-D26978DFF105}&lt;Citation&gt;&lt;Group&gt;&lt;References&gt;&lt;Item&gt;&lt;ID&gt;134&lt;/ID&gt;&lt;UID&gt;{DF74DC0F-A141-442B-90A7-E8D76A560C78}&lt;/UID&gt;&lt;Title&gt;潮州统计年鉴2015&lt;/Title&gt;&lt;Template&gt;Book&lt;/Template&gt;&lt;Star&gt;0&lt;/Star&gt;&lt;Tag&gt;0&lt;/Tag&gt;&lt;Author&gt;潮州市统计局; 国家统计局潮州调查队&lt;/Author&gt;&lt;Year&gt;2015&lt;/Year&gt;&lt;Details&gt;&lt;_accessed&gt;61293121&lt;/_accessed&gt;&lt;_created&gt;61293121&lt;/_created&gt;&lt;_modified&gt;61293121&lt;/_modified&gt;&lt;_place_published&gt;潮州&lt;/_place_published&gt;&lt;_translated_author&gt;Chao, Zhoushitongjiju;Guo, Jiatongjijuchaozhoudiaochadui&lt;/_translated_author&gt;&lt;/Details&gt;&lt;Extra&gt;&lt;DBUID&gt;{0DA6E8B8-3A61-49AD-9027-1BB1B3F94C4B}&lt;/DBUID&gt;&lt;/Extra&gt;&lt;/Item&gt;&lt;/References&gt;&lt;/Group&gt;&lt;/Citation&gt;_x000a_"/>
    <w:docVar w:name="NE.Ref{B0360ED5-72F8-4B1E-A939-6929F04E73CA}" w:val=" ADDIN NE.Ref.{B0360ED5-72F8-4B1E-A939-6929F04E73CA}&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B1836AE2-3A60-46F2-ADE5-C547ADEF5498}" w:val=" ADDIN NE.Ref.{B1836AE2-3A60-46F2-ADE5-C547ADEF5498}&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B1EDF2DF-4181-40A5-B00A-6BD92F42E4C4}" w:val=" ADDIN NE.Ref.{B1EDF2DF-4181-40A5-B00A-6BD92F42E4C4}&lt;Citation&gt;&lt;Group&gt;&lt;References&gt;&lt;Item&gt;&lt;ID&gt;47&lt;/ID&gt;&lt;UID&gt;{1D36D2E7-40AE-4593-8E1B-DD10F28BE564}&lt;/UID&gt;&lt;Title&gt;Atmospheric Pollutant Emission Factors from Open Burning of Agricultural and Forest_x000d__x000a_Biomass by Wind Tunnel Simulations&lt;/Title&gt;&lt;Template&gt;Report&lt;/Template&gt;&lt;Star&gt;0&lt;/Star&gt;&lt;Tag&gt;0&lt;/Tag&gt;&lt;Author&gt;Jenkins, B&lt;/Author&gt;&lt;Year&gt;1996&lt;/Year&gt;&lt;Details&gt;&lt;_accessed&gt;60464755&lt;/_accessed&gt;&lt;_created&gt;60464752&lt;/_created&gt;&lt;_modified&gt;60464755&lt;/_modified&gt;&lt;_publisher&gt;University of California, Davis&lt;/_publisher&gt;&lt;/Details&gt;&lt;Extra&gt;&lt;DBUID&gt;{0DA6E8B8-3A61-49AD-9027-1BB1B3F94C4B}&lt;/DBUID&gt;&lt;/Extra&gt;&lt;/Item&gt;&lt;/References&gt;&lt;/Group&gt;&lt;/Citation&gt;_x000a_"/>
    <w:docVar w:name="NE.Ref{B1F065B4-A1FA-4176-A39C-0FAFADB386AF}" w:val=" ADDIN NE.Ref.{B1F065B4-A1FA-4176-A39C-0FAFADB386AF}&lt;Citation&gt;&lt;Group&gt;&lt;References&gt;&lt;Item&gt;&lt;ID&gt;47&lt;/ID&gt;&lt;UID&gt;{1D36D2E7-40AE-4593-8E1B-DD10F28BE564}&lt;/UID&gt;&lt;Title&gt;Atmospheric Pollutant Emission Factors from Open Burning of Agricultural and Forest_x000d__x000a_Biomass by Wind Tunnel Simulations&lt;/Title&gt;&lt;Template&gt;Report&lt;/Template&gt;&lt;Star&gt;0&lt;/Star&gt;&lt;Tag&gt;0&lt;/Tag&gt;&lt;Author&gt;Jenkins, B&lt;/Author&gt;&lt;Year&gt;1996&lt;/Year&gt;&lt;Details&gt;&lt;_accessed&gt;60464755&lt;/_accessed&gt;&lt;_created&gt;60464752&lt;/_created&gt;&lt;_modified&gt;60464755&lt;/_modified&gt;&lt;_publisher&gt;University of California, Davis&lt;/_publisher&gt;&lt;/Details&gt;&lt;Extra&gt;&lt;DBUID&gt;{0DA6E8B8-3A61-49AD-9027-1BB1B3F94C4B}&lt;/DBUID&gt;&lt;/Extra&gt;&lt;/Item&gt;&lt;/References&gt;&lt;/Group&gt;&lt;/Citation&gt;_x000a_"/>
    <w:docVar w:name="NE.Ref{B24FF008-AFC3-477B-BD25-3F853463D5CB}" w:val=" ADDIN NE.Ref.{B24FF008-AFC3-477B-BD25-3F853463D5CB}&lt;Citation&gt;&lt;Group&gt;&lt;References&gt;&lt;Item&gt;&lt;ID&gt;93&lt;/ID&gt;&lt;UID&gt;{B9F0479C-8987-454F-B32B-ADE571D4044D}&lt;/UID&gt;&lt;Title&gt;道路机动车大气污染物排放清单编制技术指南（试行）&lt;/Title&gt;&lt;Template&gt;Standard&lt;/Template&gt;&lt;Star&gt;0&lt;/Star&gt;&lt;Tag&gt;0&lt;/Tag&gt;&lt;Author&gt;环境保护部&lt;/Author&gt;&lt;Year&gt;2014&lt;/Year&gt;&lt;Details&gt;&lt;_accessed&gt;60502478&lt;/_accessed&gt;&lt;_created&gt;60463628&lt;/_created&gt;&lt;_modified&gt;60505414&lt;/_modified&gt;&lt;_translated_author&gt;Huan, Jingbaohubu&lt;/_translated_author&gt;&lt;/Details&gt;&lt;Extra&gt;&lt;DBUID&gt;{0DA6E8B8-3A61-49AD-9027-1BB1B3F94C4B}&lt;/DBUID&gt;&lt;/Extra&gt;&lt;/Item&gt;&lt;/References&gt;&lt;/Group&gt;&lt;/Citation&gt;_x000a_"/>
    <w:docVar w:name="NE.Ref{B27CD346-ADF3-4A28-B62E-9F5F1BE687FA}" w:val=" ADDIN NE.Ref.{B27CD346-ADF3-4A28-B62E-9F5F1BE687FA}&lt;Citation&gt;&lt;Group&gt;&lt;References&gt;&lt;Item&gt;&lt;ID&gt;3&lt;/ID&gt;&lt;UID&gt;{415C0B6A-71B5-4651-B803-42EB584B8276}&lt;/UID&gt;&lt;Title&gt;大气可吸入颗粒物一次源排放清单编制技术指南（试行）&lt;/Title&gt;&lt;Template&gt;Standard&lt;/Template&gt;&lt;Star&gt;0&lt;/Star&gt;&lt;Tag&gt;0&lt;/Tag&gt;&lt;Author&gt;环境保护部&lt;/Author&gt;&lt;Year&gt;2014&lt;/Year&gt;&lt;Details&gt;&lt;_created&gt;60463628&lt;/_created&gt;&lt;_modified&gt;60464816&lt;/_modified&gt;&lt;_translated_author&gt;Huan, Jingbaohubu&lt;/_translated_author&gt;&lt;/Details&gt;&lt;Extra&gt;&lt;DBUID&gt;{0DA6E8B8-3A61-49AD-9027-1BB1B3F94C4B}&lt;/DBUID&gt;&lt;/Extra&gt;&lt;/Item&gt;&lt;/References&gt;&lt;/Group&gt;&lt;/Citation&gt;_x000a_"/>
    <w:docVar w:name="NE.Ref{B2CC128F-FFC5-40A0-930C-4840A804494B}" w:val=" ADDIN NE.Ref.{B2CC128F-FFC5-40A0-930C-4840A804494B}&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B375D47A-CAE7-4490-A189-F4A64BCBA47A}" w:val=" ADDIN NE.Ref.{B375D47A-CAE7-4490-A189-F4A64BCBA47A}&lt;Citation&gt;&lt;Group&gt;&lt;References&gt;&lt;Item&gt;&lt;ID&gt;12&lt;/ID&gt;&lt;UID&gt;{F668E36C-93A6-4093-8D4D-CA2D4BF79341}&lt;/UID&gt;&lt;Title&gt;中国生物质燃烧排放SO_2、NO_x量的估算&lt;/Title&gt;&lt;Template&gt;Journal Article&lt;/Template&gt;&lt;Star&gt;0&lt;/Star&gt;&lt;Tag&gt;0&lt;/Tag&gt;&lt;Author&gt;田贺忠; 郝吉明; 陆永琪; 周中平&lt;/Author&gt;&lt;Year&gt;2002&lt;/Year&gt;&lt;Details&gt;&lt;_author_aff&gt;清华大学环境科学与工程系;清华大学环境科学与工程系;清华大学环境科学与工程系;清华大学环境科学与工程系 北京100084_x000d__x000a__x000d__x000a__x000d__x000a__x000d__x000a__x000d__x000a__x000d__x000a__x000d__x000a__x000d__x000a__x000d__x000a_;北京100084_x000d__x000a__x000d__x000a__x000d__x000a__x000d__x000a__x000d__x000a__x000d__x000a__x000d__x000a__x000d__x000a__x000d__x000a_;北京100084_x000d__x000a__x000d__x000a__x000d__x000a__x000d__x000a__x000d__x000a__x000d__x000a__x000d__x000a__x000d__x000a__x000d__x000a_;北京100084&lt;/_author_aff&gt;&lt;_created&gt;60463628&lt;/_created&gt;&lt;_date&gt;2002-03-26&lt;/_date&gt;&lt;_db_provider&gt;CNKI: 期刊&lt;/_db_provider&gt;&lt;_issue&gt;02&lt;/_issue&gt;&lt;_journal&gt;环境科学学报&lt;/_journal&gt;&lt;_keywords&gt;生物质燃料;二氧化硫;氮氧化物;排放清单;中国&lt;/_keywords&gt;&lt;_modified&gt;60463628&lt;/_modified&gt;&lt;_pages&gt;204-208&lt;/_pages&gt;&lt;_url&gt;http://www.cnki.net/KCMS/detail/detail.aspx?FileName=HJXX200202014&amp;amp;DbName=CJFQ2002&lt;/_url&gt;&lt;_collection_scope&gt;中国科技核心期刊;中文核心期刊;CSCD;&lt;/_collection_scope&gt;&lt;_translated_author&gt;Tian, Hezhong;Hao, Jiming;Lu, Yongqi;Zhou, Zhongping&lt;/_translated_author&gt;&lt;/Details&gt;&lt;Extra&gt;&lt;DBUID&gt;{0DA6E8B8-3A61-49AD-9027-1BB1B3F94C4B}&lt;/DBUID&gt;&lt;/Extra&gt;&lt;/Item&gt;&lt;/References&gt;&lt;/Group&gt;&lt;/Citation&gt;_x000a_"/>
    <w:docVar w:name="NE.Ref{B4CF8E13-2308-4872-B13B-12B9E1B1EF8D}" w:val=" ADDIN NE.Ref.{B4CF8E13-2308-4872-B13B-12B9E1B1EF8D}&lt;Citation&gt;&lt;Group&gt;&lt;References&gt;&lt;Item&gt;&lt;ID&gt;3&lt;/ID&gt;&lt;UID&gt;{415C0B6A-71B5-4651-B803-42EB584B8276}&lt;/UID&gt;&lt;Title&gt;大气可吸入颗粒物一次源排放清单编制技术指南（试行）&lt;/Title&gt;&lt;Template&gt;Standard&lt;/Template&gt;&lt;Star&gt;0&lt;/Star&gt;&lt;Tag&gt;0&lt;/Tag&gt;&lt;Author&gt;环境保护部&lt;/Author&gt;&lt;Year&gt;2014&lt;/Year&gt;&lt;Details&gt;&lt;_created&gt;60463628&lt;/_created&gt;&lt;_modified&gt;60464816&lt;/_modified&gt;&lt;_translated_author&gt;Huan, Jingbaohubu&lt;/_translated_author&gt;&lt;/Details&gt;&lt;Extra&gt;&lt;DBUID&gt;{0DA6E8B8-3A61-49AD-9027-1BB1B3F94C4B}&lt;/DBUID&gt;&lt;/Extra&gt;&lt;/Item&gt;&lt;/References&gt;&lt;/Group&gt;&lt;Group&gt;&lt;References&gt;&lt;Item&gt;&lt;ID&gt;4&lt;/ID&gt;&lt;UID&gt;{E57F084E-0472-493F-A584-41A59FE7A954}&lt;/UID&gt;&lt;Title&gt;大气细颗粒物一次源排放清单编制技术指南（试行）&lt;/Title&gt;&lt;Template&gt;Standard&lt;/Template&gt;&lt;Star&gt;0&lt;/Star&gt;&lt;Tag&gt;0&lt;/Tag&gt;&lt;Author&gt;环境保护部&lt;/Author&gt;&lt;Year&gt;2014&lt;/Year&gt;&lt;Details&gt;&lt;_created&gt;60463628&lt;/_created&gt;&lt;_modified&gt;60465005&lt;/_modified&gt;&lt;_translated_author&gt;Huan, Jingbaohubu&lt;/_translated_author&gt;&lt;/Details&gt;&lt;Extra&gt;&lt;DBUID&gt;{0DA6E8B8-3A61-49AD-9027-1BB1B3F94C4B}&lt;/DBUID&gt;&lt;/Extra&gt;&lt;/Item&gt;&lt;/References&gt;&lt;/Group&gt;&lt;/Citation&gt;_x000a_"/>
    <w:docVar w:name="NE.Ref{B4D14950-EDC2-40F8-A13D-79DA84EDC08E}" w:val=" ADDIN NE.Ref.{B4D14950-EDC2-40F8-A13D-79DA84EDC08E}&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B4D9464B-2ED3-4B82-9B7A-E3FD950882A3}" w:val=" ADDIN NE.Ref.{B4D9464B-2ED3-4B82-9B7A-E3FD950882A3}&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B50234E5-F67F-4CF5-AFFB-984786F99EA0}" w:val=" ADDIN NE.Ref.{B50234E5-F67F-4CF5-AFFB-984786F99EA0}&lt;Citation&gt;&lt;Group&gt;&lt;References&gt;&lt;Item&gt;&lt;ID&gt;133&lt;/ID&gt;&lt;UID&gt;{A5B021E4-3FC5-412E-84EC-595D5FA42B7A}&lt;/UID&gt;&lt;Title&gt;Study on Marine Vessels Emission Inventory&lt;/Title&gt;&lt;Template&gt;Report&lt;/Template&gt;&lt;Star&gt;0&lt;/Star&gt;&lt;Tag&gt;0&lt;/Tag&gt;&lt;Author/&gt;&lt;Year&gt;0&lt;/Year&gt;&lt;Details&gt;&lt;_publisher&gt;The Hong Kong University of Science &amp;amp; Technology&lt;/_publisher&gt;&lt;_accessed&gt;61279864&lt;/_accessed&gt;&lt;_created&gt;61279864&lt;/_created&gt;&lt;_modified&gt;61279864&lt;/_modified&gt;&lt;/Details&gt;&lt;Extra&gt;&lt;DBUID&gt;{0DA6E8B8-3A61-49AD-9027-1BB1B3F94C4B}&lt;/DBUID&gt;&lt;/Extra&gt;&lt;/Item&gt;&lt;/References&gt;&lt;/Group&gt;&lt;/Citation&gt;_x000a_"/>
    <w:docVar w:name="NE.Ref{B5DB039A-C8EC-47FB-B0B9-8CDE15058655}" w:val=" ADDIN NE.Ref.{B5DB039A-C8EC-47FB-B0B9-8CDE15058655}&lt;Citation&gt;&lt;Group&gt;&lt;References&gt;&lt;Item&gt;&lt;ID&gt;40&lt;/ID&gt;&lt;UID&gt;{EFEA3AF8-3FB8-499A-97EA-E41E3D4FB58E}&lt;/UID&gt;&lt;Title&gt;Particulate and Trace Gas Emissions from Open Burning of Wheat Straw and Corn Stover in China&lt;/Title&gt;&lt;Template&gt;Journal Article&lt;/Template&gt;&lt;Star&gt;0&lt;/Star&gt;&lt;Tag&gt;0&lt;/Tag&gt;&lt;Author&gt;LI, XINGHUA; WANG, SHUXIAO; DUAN, LEI&lt;/Author&gt;&lt;Year&gt;2007&lt;/Year&gt;&lt;Details&gt;&lt;_accessed&gt;60464700&lt;/_accessed&gt;&lt;_author_adr&gt;Department of Environmental Science and Engineering,Tsinghua University,Beijing 100084,P.R.China&lt;/_author_adr&gt;&lt;_created&gt;60464697&lt;/_created&gt;&lt;_db_provider&gt;北京万方数据股份有限公司&lt;/_db_provider&gt;&lt;_doi&gt;10.1021/es0705137&lt;/_doi&gt;&lt;_isbn&gt;0013-936X&lt;/_isbn&gt;&lt;_issue&gt;17&lt;/_issue&gt;&lt;_journal&gt;Environmental Science &amp;amp; Technology&lt;/_journal&gt;&lt;_language&gt;eng&lt;/_language&gt;&lt;_modified&gt;60464700&lt;/_modified&gt;&lt;_pages&gt;6052-6058&lt;/_pages&gt;&lt;_url&gt;http://d.g.wanfangdata.com.cn/NSTLQK_NSTL_QKJJ028916023.aspx&lt;/_url&gt;&lt;_volume&gt;41&lt;/_volume&gt;&lt;_impact_factor&gt;   5.393&lt;/_impact_factor&gt;&lt;_collection_scope&gt;SCI;SCIE;&lt;/_collection_scope&gt;&lt;/Details&gt;&lt;Extra&gt;&lt;DBUID&gt;{0DA6E8B8-3A61-49AD-9027-1BB1B3F94C4B}&lt;/DBUID&gt;&lt;/Extra&gt;&lt;/Item&gt;&lt;/References&gt;&lt;/Group&gt;&lt;/Citation&gt;_x000a_"/>
    <w:docVar w:name="NE.Ref{B77D7DA2-3065-4C00-8FDF-0CEE162AAA10}" w:val=" ADDIN NE.Ref.{B77D7DA2-3065-4C00-8FDF-0CEE162AAA10}&lt;Citation&gt;&lt;Group&gt;&lt;References&gt;&lt;Item&gt;&lt;ID&gt;36&lt;/ID&gt;&lt;UID&gt;{93630825-5ADD-41FC-ABF1-B8BE77181841}&lt;/UID&gt;&lt;Title&gt;非道路移动污染源排放清单编制技术指南（试行）&lt;/Title&gt;&lt;Template&gt;Standard&lt;/Template&gt;&lt;Star&gt;0&lt;/Star&gt;&lt;Tag&gt;0&lt;/Tag&gt;&lt;Author&gt;环境保护部&lt;/Author&gt;&lt;Year&gt;2014&lt;/Year&gt;&lt;Details&gt;&lt;_accessed&gt;60463764&lt;/_accessed&gt;&lt;_created&gt;60463764&lt;/_created&gt;&lt;_modified&gt;60464817&lt;/_modified&gt;&lt;_translated_author&gt;Huan, Jingbaohubu&lt;/_translated_author&gt;&lt;/Details&gt;&lt;Extra&gt;&lt;DBUID&gt;{0DA6E8B8-3A61-49AD-9027-1BB1B3F94C4B}&lt;/DBUID&gt;&lt;/Extra&gt;&lt;/Item&gt;&lt;/References&gt;&lt;/Group&gt;&lt;/Citation&gt;_x000a_"/>
    <w:docVar w:name="NE.Ref{B7FDCF9F-D6A1-4FCA-A2CC-5EAC99F915D8}" w:val=" ADDIN NE.Ref.{B7FDCF9F-D6A1-4FCA-A2CC-5EAC99F915D8}&lt;Citation&gt;&lt;Group&gt;&lt;References&gt;&lt;Item&gt;&lt;ID&gt;1&lt;/ID&gt;&lt;UID&gt;{6B18977D-9777-462E-95F6-D25F3A60E833}&lt;/UID&gt;&lt;Title&gt;“十二五”重点区域大气污染联防联控VOCs排放清单和治理技术手册&lt;/Title&gt;&lt;Template&gt;Standard&lt;/Template&gt;&lt;Star&gt;0&lt;/Star&gt;&lt;Tag&gt;0&lt;/Tag&gt;&lt;Author&gt;环境保护部&lt;/Author&gt;&lt;Year&gt;2010&lt;/Year&gt;&lt;Details&gt;&lt;_accessed&gt;60463742&lt;/_accessed&gt;&lt;_created&gt;60463628&lt;/_created&gt;&lt;_modified&gt;60464815&lt;/_modified&gt;&lt;_translated_author&gt;Huan, Jingbaohubu&lt;/_translated_author&gt;&lt;/Details&gt;&lt;Extra&gt;&lt;DBUID&gt;{0DA6E8B8-3A61-49AD-9027-1BB1B3F94C4B}&lt;/DBUID&gt;&lt;/Extra&gt;&lt;/Item&gt;&lt;/References&gt;&lt;/Group&gt;&lt;/Citation&gt;_x000a_"/>
    <w:docVar w:name="NE.Ref{B935C537-FE1E-4B35-A0D4-2F4018CE705B}" w:val=" ADDIN NE.Ref.{B935C537-FE1E-4B35-A0D4-2F4018CE705B}&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BA4FD4F4-8761-45BE-A854-6CE9C1F21B4C}" w:val=" ADDIN NE.Ref.{BA4FD4F4-8761-45BE-A854-6CE9C1F21B4C}&lt;Citation&gt;&lt;Group&gt;&lt;References&gt;&lt;Item&gt;&lt;ID&gt;9&lt;/ID&gt;&lt;UID&gt;{9E324EA5-3AF7-4ECE-B023-DAF922E68099}&lt;/UID&gt;&lt;Title&gt;天津市大气污染源排放清单的建立&lt;/Title&gt;&lt;Template&gt;Journal Article&lt;/Template&gt;&lt;Star&gt;0&lt;/Star&gt;&lt;Tag&gt;0&lt;/Tag&gt;&lt;Author&gt;赵斌; 马建中&lt;/Author&gt;&lt;Year&gt;2008&lt;/Year&gt;&lt;Details&gt;&lt;_accessed&gt;60464686&lt;/_accessed&gt;&lt;_author_adr&gt;中国气象科学研究院,北京100081&lt;/_author_adr&gt;&lt;_created&gt;60463628&lt;/_created&gt;&lt;_db_provider&gt;重庆维普&lt;/_db_provider&gt;&lt;_isbn&gt;0253-2468&lt;/_isbn&gt;&lt;_issue&gt;2&lt;/_issue&gt;&lt;_journal&gt;环境科学学报&lt;/_journal&gt;&lt;_keywords&gt;排放源清单; 排放因子; 空气污染; 天津; emission inventory; emission factor; air pollution; Tianjin&lt;/_keywords&gt;&lt;_language&gt;Chinese&lt;/_language&gt;&lt;_modified&gt;60613150&lt;/_modified&gt;&lt;_pages&gt;368-375&lt;/_pages&gt;&lt;_translated_author&gt;ZHAO, Bin; MA, Jianzhong Chinese Academy Of; Beijing&lt;/_translated_author&gt;&lt;_translated_title&gt;Development of an air pollutant emission inventory for Tianjin&lt;/_translated_title&gt;&lt;_volume&gt;28&lt;/_volume&gt;&lt;_collection_scope&gt;中国科技核心期刊;中文核心期刊;CSCD;&lt;/_collection_scope&gt;&lt;/Details&gt;&lt;Extra&gt;&lt;DBUID&gt;{0DA6E8B8-3A61-49AD-9027-1BB1B3F94C4B}&lt;/DBUID&gt;&lt;/Extra&gt;&lt;/Item&gt;&lt;/References&gt;&lt;/Group&gt;&lt;/Citation&gt;_x000a_"/>
    <w:docVar w:name="NE.Ref{BB012FD3-5BB0-4AA5-88D3-9906954D9131}" w:val=" ADDIN NE.Ref.{BB012FD3-5BB0-4AA5-88D3-9906954D9131}&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BB970847-C73F-4906-8904-342BB8C00D76}" w:val=" ADDIN NE.Ref.{BB970847-C73F-4906-8904-342BB8C00D76}&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BBF7B8DE-D3BF-4E0D-AFD4-02C868D7D69D}" w:val=" ADDIN NE.Ref.{BBF7B8DE-D3BF-4E0D-AFD4-02C868D7D69D}&lt;Citation&gt;&lt;Group&gt;&lt;References&gt;&lt;Item&gt;&lt;ID&gt;36&lt;/ID&gt;&lt;UID&gt;{93630825-5ADD-41FC-ABF1-B8BE77181841}&lt;/UID&gt;&lt;Title&gt;非道路移动污染源排放清单编制技术指南（试行）&lt;/Title&gt;&lt;Template&gt;Standard&lt;/Template&gt;&lt;Star&gt;0&lt;/Star&gt;&lt;Tag&gt;0&lt;/Tag&gt;&lt;Author&gt;环境保护部&lt;/Author&gt;&lt;Year&gt;2014&lt;/Year&gt;&lt;Details&gt;&lt;_accessed&gt;60550452&lt;/_accessed&gt;&lt;_created&gt;60463764&lt;/_created&gt;&lt;_modified&gt;60464817&lt;/_modified&gt;&lt;_translated_author&gt;Huan, Jingbaohubu&lt;/_translated_author&gt;&lt;/Details&gt;&lt;Extra&gt;&lt;DBUID&gt;{0DA6E8B8-3A61-49AD-9027-1BB1B3F94C4B}&lt;/DBUID&gt;&lt;/Extra&gt;&lt;/Item&gt;&lt;/References&gt;&lt;/Group&gt;&lt;/Citation&gt;_x000a_"/>
    <w:docVar w:name="NE.Ref{BC085F23-C590-4422-9062-71DFCCBAC51D}" w:val=" ADDIN NE.Ref.{BC085F23-C590-4422-9062-71DFCCBAC51D}&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BCAE8D98-FA6E-48FD-9484-7F36F4AD4B0D}" w:val=" ADDIN NE.Ref.{BCAE8D98-FA6E-48FD-9484-7F36F4AD4B0D}&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BD369296-3F80-4EC6-B2C5-D0D4D1BA5434}" w:val=" ADDIN NE.Ref.{BD369296-3F80-4EC6-B2C5-D0D4D1BA5434}&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BD439B13-295C-4A10-BFEF-16EB43736011}" w:val=" ADDIN NE.Ref.{BD439B13-295C-4A10-BFEF-16EB43736011}&lt;Citation&gt;&lt;Group&gt;&lt;References&gt;&lt;Item&gt;&lt;ID&gt;7&lt;/ID&gt;&lt;UID&gt;{BD9BF6D2-F5BD-4E52-A587-6BB13834F2D1}&lt;/UID&gt;&lt;Title&gt;空气污染物排放量推估手册&lt;/Title&gt;&lt;Template&gt;Standard&lt;/Template&gt;&lt;Star&gt;0&lt;/Star&gt;&lt;Tag&gt;0&lt;/Tag&gt;&lt;Author&gt;台湾环保署&lt;/Author&gt;&lt;Year&gt;2006&lt;/Year&gt;&lt;Details&gt;&lt;_created&gt;60463628&lt;/_created&gt;&lt;_modified&gt;60464816&lt;/_modified&gt;&lt;_translated_author&gt;Tai, Wanhuanbaoshu&lt;/_translated_author&gt;&lt;/Details&gt;&lt;Extra&gt;&lt;DBUID&gt;{0DA6E8B8-3A61-49AD-9027-1BB1B3F94C4B}&lt;/DBUID&gt;&lt;/Extra&gt;&lt;/Item&gt;&lt;/References&gt;&lt;/Group&gt;&lt;/Citation&gt;_x000a_"/>
    <w:docVar w:name="NE.Ref{BF99DCED-7823-4485-B306-8596BCF963A5}" w:val=" ADDIN NE.Ref.{BF99DCED-7823-4485-B306-8596BCF963A5}&lt;Citation&gt;&lt;Group&gt;&lt;References&gt;&lt;Item&gt;&lt;ID&gt;91&lt;/ID&gt;&lt;UID&gt;{816076BF-21C4-4D51-910B-735B2462BBCD}&lt;/UID&gt;&lt;Title&gt;广东省电镀行业铬污染防治对策研究&lt;/Title&gt;&lt;Template&gt;Report&lt;/Template&gt;&lt;Star&gt;0&lt;/Star&gt;&lt;Tag&gt;0&lt;/Tag&gt;&lt;Author&gt;广东省环境科学研究院&lt;/Author&gt;&lt;Year&gt;2014&lt;/Year&gt;&lt;Details&gt;&lt;_accessed&gt;60502192&lt;/_accessed&gt;&lt;_created&gt;60465112&lt;/_created&gt;&lt;_modified&gt;60502192&lt;/_modified&gt;&lt;_place_published&gt;广州&lt;/_place_published&gt;&lt;_translated_author&gt;Guang, Dongshenghuanjingkexueyanjiuyuan&lt;/_translated_author&gt;&lt;/Details&gt;&lt;Extra&gt;&lt;DBUID&gt;{0DA6E8B8-3A61-49AD-9027-1BB1B3F94C4B}&lt;/DBUID&gt;&lt;/Extra&gt;&lt;/Item&gt;&lt;/References&gt;&lt;/Group&gt;&lt;/Citation&gt;_x000a_"/>
    <w:docVar w:name="NE.Ref{BFB3DDF3-F42A-48B7-84A6-2B47D5BF24FE}" w:val=" ADDIN NE.Ref.{BFB3DDF3-F42A-48B7-84A6-2B47D5BF24FE}&lt;Citation&gt;&lt;Group&gt;&lt;References&gt;&lt;Item&gt;&lt;ID&gt;51&lt;/ID&gt;&lt;UID&gt;{89D5FDE6-FA39-469A-9606-A9AB2FE707AB}&lt;/UID&gt;&lt;Title&gt;Emission of trace gases and aerosols from biomass burning&lt;/Title&gt;&lt;Template&gt;Journal Article&lt;/Template&gt;&lt;Star&gt;0&lt;/Star&gt;&lt;Tag&gt;0&lt;/Tag&gt;&lt;Author&gt;Andreae, M O; Merlet, P&lt;/Author&gt;&lt;Year&gt;2001&lt;/Year&gt;&lt;Details&gt;&lt;_accessed&gt;60464769&lt;/_accessed&gt;&lt;_created&gt;60464769&lt;/_created&gt;&lt;_db_provider&gt;Wiley-Blackwell&lt;/_db_provider&gt;&lt;_doi&gt;10.1029/2000GB001382&lt;/_doi&gt;&lt;_issue&gt;4&lt;/_issue&gt;&lt;_journal&gt;Global Biogeochemical Cycles&lt;/_journal&gt;&lt;_language&gt;English&lt;/_language&gt;&lt;_modified&gt;60464770&lt;/_modified&gt;&lt;_pages&gt;955–966&lt;/_pages&gt;&lt;_url&gt;http://onlinelibrary.wiley.com/doi/10.1029/2000GB001382/abstract&lt;/_url&gt;&lt;_volume&gt;15&lt;/_volume&gt;&lt;_impact_factor&gt;   4.495&lt;/_impact_factor&gt;&lt;_collection_scope&gt;SCI;SCIE;&lt;/_collection_scope&gt;&lt;/Details&gt;&lt;Extra&gt;&lt;DBUID&gt;{0DA6E8B8-3A61-49AD-9027-1BB1B3F94C4B}&lt;/DBUID&gt;&lt;/Extra&gt;&lt;/Item&gt;&lt;/References&gt;&lt;/Group&gt;&lt;/Citation&gt;_x000a_"/>
    <w:docVar w:name="NE.Ref{BFEFDB6B-3173-45C6-8976-2AC0F77C5D70}" w:val=" ADDIN NE.Ref.{BFEFDB6B-3173-45C6-8976-2AC0F77C5D70}&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C0D1447B-5F36-48E8-80F7-62B8C1E7F10A}" w:val=" ADDIN NE.Ref.{C0D1447B-5F36-48E8-80F7-62B8C1E7F10A}&lt;Citation&gt;&lt;Group&gt;&lt;References&gt;&lt;Item&gt;&lt;ID&gt;80&lt;/ID&gt;&lt;UID&gt;{64C5E12E-9E33-400F-8DDC-CCBB31ECFE19}&lt;/UID&gt;&lt;Title&gt;中国涂料工业年鉴2012&lt;/Title&gt;&lt;Template&gt;Book&lt;/Template&gt;&lt;Star&gt;0&lt;/Star&gt;&lt;Tag&gt;0&lt;/Tag&gt;&lt;Author&gt;中国涂料工业协会&lt;/Author&gt;&lt;Year&gt;2012&lt;/Year&gt;&lt;Details&gt;&lt;_created&gt;60501151&lt;/_created&gt;&lt;_modified&gt;60501152&lt;/_modified&gt;&lt;_accessed&gt;60501172&lt;/_accessed&gt;&lt;_translated_author&gt;Zhong, Guotuliaogongyexiehui&lt;/_translated_author&gt;&lt;/Details&gt;&lt;Extra&gt;&lt;DBUID&gt;{0DA6E8B8-3A61-49AD-9027-1BB1B3F94C4B}&lt;/DBUID&gt;&lt;/Extra&gt;&lt;/Item&gt;&lt;/References&gt;&lt;/Group&gt;&lt;/Citation&gt;_x000a_"/>
    <w:docVar w:name="NE.Ref{C1DF127F-C61E-4FC8-97DE-44834D21949E}" w:val=" ADDIN NE.Ref.{C1DF127F-C61E-4FC8-97DE-44834D21949E}&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C230887C-1A1C-4B50-A200-B54CF218A56D}" w:val=" ADDIN NE.Ref.{C230887C-1A1C-4B50-A200-B54CF218A56D}&lt;Citation&gt;&lt;Group&gt;&lt;References&gt;&lt;Item&gt;&lt;ID&gt;1&lt;/ID&gt;&lt;UID&gt;{6B18977D-9777-462E-95F6-D25F3A60E833}&lt;/UID&gt;&lt;Title&gt;“十二五”重点区域大气污染联防联控VOC排放清单和治理技术手册&lt;/Title&gt;&lt;Template&gt;Standard&lt;/Template&gt;&lt;Star&gt;0&lt;/Star&gt;&lt;Tag&gt;0&lt;/Tag&gt;&lt;Author&gt;环境保护部&lt;/Author&gt;&lt;Year&gt;2010&lt;/Year&gt;&lt;Details&gt;&lt;_accessed&gt;60463742&lt;/_accessed&gt;&lt;_created&gt;60463628&lt;/_created&gt;&lt;_modified&gt;60567113&lt;/_modified&gt;&lt;_translated_author&gt;Huan, Jingbaohubu&lt;/_translated_author&gt;&lt;/Details&gt;&lt;Extra&gt;&lt;DBUID&gt;{0DA6E8B8-3A61-49AD-9027-1BB1B3F94C4B}&lt;/DBUID&gt;&lt;/Extra&gt;&lt;/Item&gt;&lt;/References&gt;&lt;/Group&gt;&lt;/Citation&gt;_x000a_"/>
    <w:docVar w:name="NE.Ref{C267DAE5-46A3-4FF5-93D5-7D56CE973F6A}" w:val=" ADDIN NE.Ref.{C267DAE5-46A3-4FF5-93D5-7D56CE973F6A}&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C2972F2D-E36F-4042-A52D-2BBE90A62D6C}" w:val=" ADDIN NE.Ref.{C2972F2D-E36F-4042-A52D-2BBE90A62D6C}&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C29BC796-AD80-4236-8C3F-7EB105F7E484}" w:val=" ADDIN NE.Ref.{C29BC796-AD80-4236-8C3F-7EB105F7E484}&lt;Citation&gt;&lt;Group&gt;&lt;References&gt;&lt;Item&gt;&lt;ID&gt;46&lt;/ID&gt;&lt;UID&gt;{C8D9288B-5C8B-41F7-94E1-6F827E588A70}&lt;/UID&gt;&lt;Title&gt;Source Profiles of Volatile Organic Compounds from Biomass Burning in Yangtze River Delta, China&lt;/Title&gt;&lt;Template&gt;Journal Article&lt;/Template&gt;&lt;Star&gt;0&lt;/Star&gt;&lt;Tag&gt;0&lt;/Tag&gt;&lt;Author&gt;Wang, Hongli; Lou, Shengrong; Huang, Cheng; Qiao, Liping; Tang, Xibin; Chen, Changhong; Zeng, Limin; Wang, Qian; Zhou, Min; Lu, Sihua; Yu, Xuena&lt;/Author&gt;&lt;Year&gt;2014&lt;/Year&gt;&lt;Details&gt;&lt;_accessed&gt;60464747&lt;/_accessed&gt;&lt;_created&gt;60464747&lt;/_created&gt;&lt;_issue&gt;14&lt;/_issue&gt;&lt;_journal&gt;AEROSOL AND AIR QUALITY RESEARCH&lt;/_journal&gt;&lt;_modified&gt;60464747&lt;/_modified&gt;&lt;_pages&gt;818-828&lt;/_pages&gt;&lt;_volume&gt;3&lt;/_volume&gt;&lt;/Details&gt;&lt;Extra&gt;&lt;DBUID&gt;{0DA6E8B8-3A61-49AD-9027-1BB1B3F94C4B}&lt;/DBUID&gt;&lt;/Extra&gt;&lt;/Item&gt;&lt;/References&gt;&lt;/Group&gt;&lt;/Citation&gt;_x000a_"/>
    <w:docVar w:name="NE.Ref{C3612314-4E28-4C68-907C-7C8F9EE7EA3B}" w:val=" ADDIN NE.Ref.{C3612314-4E28-4C68-907C-7C8F9EE7EA3B}&lt;Citation&gt;&lt;Group&gt;&lt;References&gt;&lt;Item&gt;&lt;ID&gt;1&lt;/ID&gt;&lt;UID&gt;{6B18977D-9777-462E-95F6-D25F3A60E833}&lt;/UID&gt;&lt;Title&gt;“十二五”重点区域大气污染联防联控VOCs排放清单和治理技术手册&lt;/Title&gt;&lt;Template&gt;Standard&lt;/Template&gt;&lt;Star&gt;0&lt;/Star&gt;&lt;Tag&gt;0&lt;/Tag&gt;&lt;Author&gt;环境保护部&lt;/Author&gt;&lt;Year&gt;2010&lt;/Year&gt;&lt;Details&gt;&lt;_accessed&gt;60463742&lt;/_accessed&gt;&lt;_created&gt;60463628&lt;/_created&gt;&lt;_modified&gt;60464815&lt;/_modified&gt;&lt;_translated_author&gt;Huan, Jingbaohubu&lt;/_translated_author&gt;&lt;/Details&gt;&lt;Extra&gt;&lt;DBUID&gt;{0DA6E8B8-3A61-49AD-9027-1BB1B3F94C4B}&lt;/DBUID&gt;&lt;/Extra&gt;&lt;/Item&gt;&lt;/References&gt;&lt;/Group&gt;&lt;/Citation&gt;_x000a_"/>
    <w:docVar w:name="NE.Ref{C70D9C6D-B104-47BD-93DF-D3FB71BC054D}" w:val=" ADDIN NE.Ref.{C70D9C6D-B104-47BD-93DF-D3FB71BC054D}&lt;Citation&gt;&lt;Group&gt;&lt;References&gt;&lt;Item&gt;&lt;ID&gt;1&lt;/ID&gt;&lt;UID&gt;{6B18977D-9777-462E-95F6-D25F3A60E833}&lt;/UID&gt;&lt;Title&gt;“十二五”重点区域大气污染联防联控VOC排放清单和治理技术手册&lt;/Title&gt;&lt;Template&gt;Standard&lt;/Template&gt;&lt;Star&gt;0&lt;/Star&gt;&lt;Tag&gt;0&lt;/Tag&gt;&lt;Author&gt;环境保护部&lt;/Author&gt;&lt;Year&gt;2010&lt;/Year&gt;&lt;Details&gt;&lt;_accessed&gt;60463742&lt;/_accessed&gt;&lt;_created&gt;60463628&lt;/_created&gt;&lt;_modified&gt;60567113&lt;/_modified&gt;&lt;_translated_author&gt;Huan, Jingbaohubu&lt;/_translated_author&gt;&lt;/Details&gt;&lt;Extra&gt;&lt;DBUID&gt;{0DA6E8B8-3A61-49AD-9027-1BB1B3F94C4B}&lt;/DBUID&gt;&lt;/Extra&gt;&lt;/Item&gt;&lt;/References&gt;&lt;/Group&gt;&lt;/Citation&gt;_x000a_"/>
    <w:docVar w:name="NE.Ref{C75160C6-D9BA-4811-A130-BE104F7809D3}" w:val=" ADDIN NE.Ref.{C75160C6-D9BA-4811-A130-BE104F7809D3}&lt;Citation&gt;&lt;Group&gt;&lt;References&gt;&lt;Item&gt;&lt;ID&gt;71&lt;/ID&gt;&lt;UID&gt;{0DB74C02-3FC8-420B-83B5-46A83735F37C}&lt;/UID&gt;&lt;Title&gt;南京市建筑扬尘排放清单研究&lt;/Title&gt;&lt;Template&gt;Journal Article&lt;/Template&gt;&lt;Star&gt;0&lt;/Star&gt;&lt;Tag&gt;0&lt;/Tag&gt;&lt;Author&gt;佟小宁; 乔月珍; 姚双双; 张洁&lt;/Author&gt;&lt;Year&gt;2014&lt;/Year&gt;&lt;Details&gt;&lt;_author_aff&gt;南京市环境监察总队; 江苏省环境科学研究院; 河海大学土木与交通学院&lt;/_author_aff&gt;&lt;_cate&gt;X513;X799.1&lt;/_cate&gt;&lt;_cited_count&gt;14&lt;/_cited_count&gt;&lt;_created&gt;60465090&lt;/_created&gt;&lt;_funding&gt;“2014年青奥会空气质量保障体系研究”基金资助项目(201145)&lt;/_funding&gt;&lt;_issue&gt;03&lt;/_issue&gt;&lt;_journal&gt;环境监测管理与技术&lt;/_journal&gt;&lt;_keywords&gt;建筑扬尘; 排放清单; 排放因子; 南京市&lt;/_keywords&gt;&lt;_modified&gt;60466538&lt;/_modified&gt;&lt;_url&gt;http://www.cnki.net/KCMS/detail/detail.aspx?filename=hjjs201403008&amp;amp;dbcode=CJFQ&amp;amp;dbname=CJFDLAST2014&lt;/_url&gt;&lt;_collection_scope&gt;中国科技核心期刊;&lt;/_collection_scope&gt;&lt;_translated_author&gt;Tong, Xiaoning;Qiao, Yuezhen;Yao, Shuangshuang;Zhang, Jie&lt;/_translated_author&gt;&lt;/Details&gt;&lt;Extra&gt;&lt;DBUID&gt;{0DA6E8B8-3A61-49AD-9027-1BB1B3F94C4B}&lt;/DBUID&gt;&lt;/Extra&gt;&lt;/Item&gt;&lt;/References&gt;&lt;/Group&gt;&lt;Group&gt;&lt;References&gt;&lt;Item&gt;&lt;ID&gt;30&lt;/ID&gt;&lt;UID&gt;{E6EBB0B3-6FB4-4046-98DA-99A7F8B51A25}&lt;/UID&gt;&lt;Title&gt;营建工程污染稽巡查作业标准作业程序手册&lt;/Title&gt;&lt;Template&gt;Standard&lt;/Template&gt;&lt;Star&gt;0&lt;/Star&gt;&lt;Tag&gt;0&lt;/Tag&gt;&lt;Author&gt;台湾环保署&lt;/Author&gt;&lt;Year&gt;2000&lt;/Year&gt;&lt;Details&gt;&lt;_accessed&gt;60463750&lt;/_accessed&gt;&lt;_created&gt;60463750&lt;/_created&gt;&lt;_modified&gt;60464817&lt;/_modified&gt;&lt;_translated_author&gt;Tai, Wanhuanbaoshu&lt;/_translated_author&gt;&lt;/Details&gt;&lt;Extra&gt;&lt;DBUID&gt;{0DA6E8B8-3A61-49AD-9027-1BB1B3F94C4B}&lt;/DBUID&gt;&lt;/Extra&gt;&lt;/Item&gt;&lt;/References&gt;&lt;/Group&gt;&lt;Group&gt;&lt;References&gt;&lt;Item&gt;&lt;ID&gt;26&lt;/ID&gt;&lt;UID&gt;{6FE02087-B23D-4E7B-A16A-A67DD292326F}&lt;/UID&gt;&lt;Title&gt;城市地面扬尘的估算与分布特征研究&lt;/Title&gt;&lt;Template&gt;Thesis&lt;/Template&gt;&lt;Star&gt;0&lt;/Star&gt;&lt;Tag&gt;0&lt;/Tag&gt;&lt;Author&gt;黄嫣旻&lt;/Author&gt;&lt;Year&gt;2006&lt;/Year&gt;&lt;Details&gt;&lt;_accessed&gt;60463730&lt;/_accessed&gt;&lt;_cate&gt;X513&lt;/_cate&gt;&lt;_cited_count&gt;13&lt;/_cited_count&gt;&lt;_created&gt;60463730&lt;/_created&gt;&lt;_keywords&gt;城市地面扬尘; 扬尘量估算; 空间统计; 空气动力学粒径; 激光粒度仪; 重金属; 分布特征; 上海; 吴淞工业区&lt;/_keywords&gt;&lt;_modified&gt;60463730&lt;/_modified&gt;&lt;_publisher&gt;华东师范大学&lt;/_publisher&gt;&lt;_ref_count&gt;57&lt;/_ref_count&gt;&lt;_section&gt;环境科学&lt;/_section&gt;&lt;_tertiary_author&gt;束炯&lt;/_tertiary_author&gt;&lt;_url&gt;http://www.cnki.net/KCMS/detail/detail.aspx?ref=kcms&amp;amp;docid=2006124002.nh&amp;amp;uid=; http://www.cnki.net/KCMS/detail/detail.aspx?filename=2006124002.nh&amp;amp;dbcode=CMFD&amp;amp;dbname=CMFD9908&lt;/_url&gt;&lt;_volume&gt;硕士&lt;/_volume&gt;&lt;_translated_author&gt;Huang, Yanmin&lt;/_translated_author&gt;&lt;_translated_tertiary_author&gt;Shu, Jiong&lt;/_translated_tertiary_author&gt;&lt;/Details&gt;&lt;Extra&gt;&lt;DBUID&gt;{0DA6E8B8-3A61-49AD-9027-1BB1B3F94C4B}&lt;/DBUID&gt;&lt;/Extra&gt;&lt;/Item&gt;&lt;/References&gt;&lt;/Group&gt;&lt;/Citation&gt;_x000a_"/>
    <w:docVar w:name="NE.Ref{C7C386A6-1EA4-4E3E-8B44-61AFA1421BC2}" w:val=" ADDIN NE.Ref.{C7C386A6-1EA4-4E3E-8B44-61AFA1421BC2}&lt;Citation&gt;&lt;Group&gt;&lt;References&gt;&lt;Item&gt;&lt;ID&gt;96&lt;/ID&gt;&lt;UID&gt;{0C8138BC-F191-48D6-AFEF-A93E52AA1178}&lt;/UID&gt;&lt;Title&gt;Aircraft Engine Emissions Databank&lt;/Title&gt;&lt;Template&gt;Electronic Source&lt;/Template&gt;&lt;Star&gt;0&lt;/Star&gt;&lt;Tag&gt;0&lt;/Tag&gt;&lt;Author&gt;ICAO&lt;/Author&gt;&lt;Year&gt;2013&lt;/Year&gt;&lt;Details&gt;&lt;_accessed&gt;60511001&lt;/_accessed&gt;&lt;_created&gt;60510998&lt;/_created&gt;&lt;_modified&gt;60511001&lt;/_modified&gt;&lt;_url&gt;http://easa.europa.eu/document-library/icao-aircraft-engine-emissions-databank&lt;/_url&gt;&lt;/Details&gt;&lt;Extra&gt;&lt;DBUID&gt;{0DA6E8B8-3A61-49AD-9027-1BB1B3F94C4B}&lt;/DBUID&gt;&lt;/Extra&gt;&lt;/Item&gt;&lt;/References&gt;&lt;/Group&gt;&lt;Group&gt;&lt;References&gt;&lt;Item&gt;&lt;ID&gt;97&lt;/ID&gt;&lt;UID&gt;{9A9FB80F-B539-4180-BC67-E70FC9B4D29E}&lt;/UID&gt;&lt;Title&gt;2006年IPCC国家温室气体清单指南&lt;/Title&gt;&lt;Template&gt;Report&lt;/Template&gt;&lt;Star&gt;0&lt;/Star&gt;&lt;Tag&gt;0&lt;/Tag&gt;&lt;Author&gt;MIWAK, EGGLESTONHS BUENDIAL&lt;/Author&gt;&lt;Year&gt;2006&lt;/Year&gt;&lt;Details&gt;&lt;_created&gt;60511025&lt;/_created&gt;&lt;_date&gt;2006-01-01&lt;/_date&gt;&lt;_date_display&gt;2006&lt;/_date_display&gt;&lt;_modified&gt;60511028&lt;/_modified&gt;&lt;/Details&gt;&lt;Extra&gt;&lt;DBUID&gt;{0DA6E8B8-3A61-49AD-9027-1BB1B3F94C4B}&lt;/DBUID&gt;&lt;/Extra&gt;&lt;/Item&gt;&lt;/References&gt;&lt;/Group&gt;&lt;/Citation&gt;_x000a_"/>
    <w:docVar w:name="NE.Ref{C8D0D21D-2DB4-49F6-B0EF-85AD2E9DF5D9}" w:val=" ADDIN NE.Ref.{C8D0D21D-2DB4-49F6-B0EF-85AD2E9DF5D9}&lt;Citation&gt;&lt;Group&gt;&lt;References&gt;&lt;Item&gt;&lt;ID&gt;108&lt;/ID&gt;&lt;UID&gt;{B064723A-56A2-4AEC-896A-A665A91AB0C0}&lt;/UID&gt;&lt;Title&gt;大气氨源排放清单编制技术指南（试行）&lt;/Title&gt;&lt;Template&gt;Standard&lt;/Template&gt;&lt;Star&gt;0&lt;/Star&gt;&lt;Tag&gt;0&lt;/Tag&gt;&lt;Author&gt;环境保护部&lt;/Author&gt;&lt;Year&gt;2014&lt;/Year&gt;&lt;Details&gt;&lt;_accessed&gt;60544404&lt;/_accessed&gt;&lt;_created&gt;60463628&lt;/_created&gt;&lt;_modified&gt;60544404&lt;/_modified&gt;&lt;_translated_author&gt;Huan, Jingbaohubu&lt;/_translated_author&gt;&lt;/Details&gt;&lt;Extra&gt;&lt;DBUID&gt;{0DA6E8B8-3A61-49AD-9027-1BB1B3F94C4B}&lt;/DBUID&gt;&lt;/Extra&gt;&lt;/Item&gt;&lt;/References&gt;&lt;/Group&gt;&lt;/Citation&gt;_x000a_"/>
    <w:docVar w:name="NE.Ref{C9AF05F3-24C3-4F11-8766-343A98CD1826}" w:val=" ADDIN NE.Ref.{C9AF05F3-24C3-4F11-8766-343A98CD1826}&lt;Citation&gt;&lt;Group&gt;&lt;References&gt;&lt;Item&gt;&lt;ID&gt;9&lt;/ID&gt;&lt;UID&gt;{9E324EA5-3AF7-4ECE-B023-DAF922E68099}&lt;/UID&gt;&lt;Title&gt;天津市大气污染源排放清单的建立&lt;/Title&gt;&lt;Template&gt;Journal Article&lt;/Template&gt;&lt;Star&gt;0&lt;/Star&gt;&lt;Tag&gt;0&lt;/Tag&gt;&lt;Author&gt;赵斌; 马建中&lt;/Author&gt;&lt;Year&gt;2008&lt;/Year&gt;&lt;Details&gt;&lt;_accessed&gt;60464686&lt;/_accessed&gt;&lt;_author_adr&gt;中国气象科学研究院,北京100081&lt;/_author_adr&gt;&lt;_created&gt;60463628&lt;/_created&gt;&lt;_db_provider&gt;重庆维普&lt;/_db_provider&gt;&lt;_isbn&gt;0253-2468&lt;/_isbn&gt;&lt;_issue&gt;2&lt;/_issue&gt;&lt;_journal&gt;环境科学学报&lt;/_journal&gt;&lt;_keywords&gt;排放源清单; 排放因子; 空气污染; 天津; emission inventory; emission factor; air pollution; Tianjin&lt;/_keywords&gt;&lt;_language&gt;Chinese&lt;/_language&gt;&lt;_modified&gt;60613150&lt;/_modified&gt;&lt;_pages&gt;368-375&lt;/_pages&gt;&lt;_translated_author&gt;ZHAO, Bin; MA, Jianzhong Chinese Academy Of; Beijing&lt;/_translated_author&gt;&lt;_translated_title&gt;Development of an air pollutant emission inventory for Tianjin&lt;/_translated_title&gt;&lt;_volume&gt;28&lt;/_volume&gt;&lt;_collection_scope&gt;中国科技核心期刊;中文核心期刊;CSCD;&lt;/_collection_scope&gt;&lt;/Details&gt;&lt;Extra&gt;&lt;DBUID&gt;{0DA6E8B8-3A61-49AD-9027-1BB1B3F94C4B}&lt;/DBUID&gt;&lt;/Extra&gt;&lt;/Item&gt;&lt;/References&gt;&lt;/Group&gt;&lt;/Citation&gt;_x000a_"/>
    <w:docVar w:name="NE.Ref{C9FCA2AB-6482-48C3-99C8-EDF470632BE4}" w:val=" ADDIN NE.Ref.{C9FCA2AB-6482-48C3-99C8-EDF470632BE4}&lt;Citation&gt;&lt;Group&gt;&lt;References&gt;&lt;Item&gt;&lt;ID&gt;79&lt;/ID&gt;&lt;UID&gt;{6E5C1FE1-EC5D-4D16-B355-A85EAB76B699}&lt;/UID&gt;&lt;Title&gt;黄酒第一个地方标准《广东黄酒》出台&lt;/Title&gt;&lt;Template&gt;Web Page&lt;/Template&gt;&lt;Star&gt;0&lt;/Star&gt;&lt;Tag&gt;0&lt;/Tag&gt;&lt;Author&gt;新浪网&lt;/Author&gt;&lt;Year&gt;2013&lt;/Year&gt;&lt;Details&gt;&lt;_url&gt;http://eat.gd.sina.com.cn/news/2013-04-09/53358.html&lt;/_url&gt;&lt;_accessed&gt;60501145&lt;/_accessed&gt;&lt;_created&gt;60501145&lt;/_created&gt;&lt;_modified&gt;60501145&lt;/_modified&gt;&lt;_translated_author&gt;Xin, Langwang&lt;/_translated_author&gt;&lt;/Details&gt;&lt;Extra&gt;&lt;DBUID&gt;{0DA6E8B8-3A61-49AD-9027-1BB1B3F94C4B}&lt;/DBUID&gt;&lt;/Extra&gt;&lt;/Item&gt;&lt;/References&gt;&lt;/Group&gt;&lt;/Citation&gt;_x000a_"/>
    <w:docVar w:name="NE.Ref{CB887B78-2C26-4F3E-9789-2CA68C5DF0AB}" w:val=" ADDIN NE.Ref.{CB887B78-2C26-4F3E-9789-2CA68C5DF0AB}&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CC98B630-C892-4C38-ACAA-3939432DC112}" w:val=" ADDIN NE.Ref.{CC98B630-C892-4C38-ACAA-3939432DC112}&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CD0F487C-B88E-43D6-BB05-A890E18ADA76}" w:val=" ADDIN NE.Ref.{CD0F487C-B88E-43D6-BB05-A890E18ADA76}&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CD2144D6-30AA-488F-9076-BC8D519F1979}" w:val=" ADDIN NE.Ref.{CD2144D6-30AA-488F-9076-BC8D519F1979}&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CD37F08E-D6B8-4777-9648-A74B4CD779EC}" w:val=" ADDIN NE.Ref.{CD37F08E-D6B8-4777-9648-A74B4CD779EC}&lt;Citation&gt;&lt;Group&gt;&lt;References&gt;&lt;Item&gt;&lt;ID&gt;108&lt;/ID&gt;&lt;UID&gt;{B064723A-56A2-4AEC-896A-A665A91AB0C0}&lt;/UID&gt;&lt;Title&gt;大气氨源排放清单编制技术指南（试行）&lt;/Title&gt;&lt;Template&gt;Standard&lt;/Template&gt;&lt;Star&gt;0&lt;/Star&gt;&lt;Tag&gt;0&lt;/Tag&gt;&lt;Author&gt;环境保护部&lt;/Author&gt;&lt;Year&gt;2014&lt;/Year&gt;&lt;Details&gt;&lt;_accessed&gt;60544404&lt;/_accessed&gt;&lt;_created&gt;60463628&lt;/_created&gt;&lt;_modified&gt;60544404&lt;/_modified&gt;&lt;_translated_author&gt;Huan, Jingbaohubu&lt;/_translated_author&gt;&lt;/Details&gt;&lt;Extra&gt;&lt;DBUID&gt;{0DA6E8B8-3A61-49AD-9027-1BB1B3F94C4B}&lt;/DBUID&gt;&lt;/Extra&gt;&lt;/Item&gt;&lt;/References&gt;&lt;/Group&gt;&lt;/Citation&gt;_x000a_"/>
    <w:docVar w:name="NE.Ref{CE13B58F-57B8-4367-ACB2-F623B0EEDD76}" w:val=" ADDIN NE.Ref.{CE13B58F-57B8-4367-ACB2-F623B0EEDD76}&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CE7F8D43-CC24-4806-81FB-8049E65BBF8D}" w:val=" ADDIN NE.Ref.{CE7F8D43-CC24-4806-81FB-8049E65BBF8D}&lt;Citation&gt;&lt;Group&gt;&lt;References&gt;&lt;Item&gt;&lt;ID&gt;5&lt;/ID&gt;&lt;UID&gt;{8A149BFB-154D-4002-B24F-A6F8E4764C60}&lt;/UID&gt;&lt;Title&gt;广东省工业源VOCs排放系数研究报告&lt;/Title&gt;&lt;Template&gt;Report&lt;/Template&gt;&lt;Star&gt;0&lt;/Star&gt;&lt;Tag&gt;0&lt;/Tag&gt;&lt;Author&gt;广东省环境保护厅&lt;/Author&gt;&lt;Year&gt;2013&lt;/Year&gt;&lt;Details&gt;&lt;_created&gt;60463628&lt;/_created&gt;&lt;_modified&gt;60463628&lt;/_modified&gt;&lt;_place_published&gt;广州&lt;/_place_published&gt;&lt;_translated_author&gt;Guang, Dongshenghuanjingbaohuting&lt;/_translated_author&gt;&lt;/Details&gt;&lt;Extra&gt;&lt;DBUID&gt;{0DA6E8B8-3A61-49AD-9027-1BB1B3F94C4B}&lt;/DBUID&gt;&lt;/Extra&gt;&lt;/Item&gt;&lt;/References&gt;&lt;/Group&gt;&lt;/Citation&gt;_x000a_"/>
    <w:docVar w:name="NE.Ref{CEB34124-A33E-4066-BEC9-1BD9C971C4BA}" w:val=" ADDIN NE.Ref.{CEB34124-A33E-4066-BEC9-1BD9C971C4BA}&lt;Citation&gt;&lt;Group&gt;&lt;References&gt;&lt;Item&gt;&lt;ID&gt;3&lt;/ID&gt;&lt;UID&gt;{415C0B6A-71B5-4651-B803-42EB584B8276}&lt;/UID&gt;&lt;Title&gt;大气可吸入颗粒物一次源排放清单编制技术指南（试行）&lt;/Title&gt;&lt;Template&gt;Standard&lt;/Template&gt;&lt;Star&gt;0&lt;/Star&gt;&lt;Tag&gt;0&lt;/Tag&gt;&lt;Author&gt;环境保护部&lt;/Author&gt;&lt;Year&gt;2014&lt;/Year&gt;&lt;Details&gt;&lt;_accessed&gt;60544403&lt;/_accessed&gt;&lt;_created&gt;60463628&lt;/_created&gt;&lt;_modified&gt;60464816&lt;/_modified&gt;&lt;_translated_author&gt;Huan, Jingbaohubu&lt;/_translated_author&gt;&lt;/Details&gt;&lt;Extra&gt;&lt;DBUID&gt;{0DA6E8B8-3A61-49AD-9027-1BB1B3F94C4B}&lt;/DBUID&gt;&lt;/Extra&gt;&lt;/Item&gt;&lt;/References&gt;&lt;/Group&gt;&lt;Group&gt;&lt;References&gt;&lt;Item&gt;&lt;ID&gt;4&lt;/ID&gt;&lt;UID&gt;{E57F084E-0472-493F-A584-41A59FE7A954}&lt;/UID&gt;&lt;Title&gt;大气细颗粒物一次源排放清单编制技术指南（试行）&lt;/Title&gt;&lt;Template&gt;Standard&lt;/Template&gt;&lt;Star&gt;0&lt;/Star&gt;&lt;Tag&gt;0&lt;/Tag&gt;&lt;Author&gt;环境保护部&lt;/Author&gt;&lt;Year&gt;2014&lt;/Year&gt;&lt;Details&gt;&lt;_created&gt;60463628&lt;/_created&gt;&lt;_modified&gt;60465005&lt;/_modified&gt;&lt;_translated_author&gt;Huan, Jingbaohubu&lt;/_translated_author&gt;&lt;/Details&gt;&lt;Extra&gt;&lt;DBUID&gt;{0DA6E8B8-3A61-49AD-9027-1BB1B3F94C4B}&lt;/DBUID&gt;&lt;/Extra&gt;&lt;/Item&gt;&lt;/References&gt;&lt;/Group&gt;&lt;/Citation&gt;_x000a_"/>
    <w:docVar w:name="NE.Ref{CF9011F2-32B5-485D-845D-6704351C9612}" w:val=" ADDIN NE.Ref.{CF9011F2-32B5-485D-845D-6704351C9612}&lt;Citation&gt;&lt;Group&gt;&lt;References&gt;&lt;Item&gt;&lt;ID&gt;68&lt;/ID&gt;&lt;UID&gt;{FFF3D8F5-2C3F-4A14-8BD4-DE5835738E22}&lt;/UID&gt;&lt;Title&gt;2011年深圳大运会环境空气质量预测预报及保障措施研究&lt;/Title&gt;&lt;Template&gt;Report&lt;/Template&gt;&lt;Star&gt;0&lt;/Star&gt;&lt;Tag&gt;0&lt;/Tag&gt;&lt;Author&gt;深圳市环境科学研究院&lt;/Author&gt;&lt;Year&gt;2010&lt;/Year&gt;&lt;Details&gt;&lt;_accessed&gt;60464806&lt;/_accessed&gt;&lt;_created&gt;60464806&lt;/_created&gt;&lt;_modified&gt;60464806&lt;/_modified&gt;&lt;_place_published&gt;深圳&lt;/_place_published&gt;&lt;_translated_author&gt;Shen, Zhenshihuanjingkexueyanjiuyuan&lt;/_translated_author&gt;&lt;/Details&gt;&lt;Extra&gt;&lt;DBUID&gt;{0DA6E8B8-3A61-49AD-9027-1BB1B3F94C4B}&lt;/DBUID&gt;&lt;/Extra&gt;&lt;/Item&gt;&lt;/References&gt;&lt;/Group&gt;&lt;/Citation&gt;_x000a_"/>
    <w:docVar w:name="NE.Ref{D009B35E-093B-4AC6-A56C-079477C0B508}" w:val=" ADDIN NE.Ref.{D009B35E-093B-4AC6-A56C-079477C0B508}&lt;Citation&gt;&lt;Group&gt;&lt;References&gt;&lt;Item&gt;&lt;ID&gt;108&lt;/ID&gt;&lt;UID&gt;{B064723A-56A2-4AEC-896A-A665A91AB0C0}&lt;/UID&gt;&lt;Title&gt;大气氨源排放清单编制技术指南（试行）&lt;/Title&gt;&lt;Template&gt;Standard&lt;/Template&gt;&lt;Star&gt;0&lt;/Star&gt;&lt;Tag&gt;0&lt;/Tag&gt;&lt;Author&gt;环境保护部&lt;/Author&gt;&lt;Year&gt;2014&lt;/Year&gt;&lt;Details&gt;&lt;_accessed&gt;60544404&lt;/_accessed&gt;&lt;_created&gt;60463628&lt;/_created&gt;&lt;_modified&gt;60544404&lt;/_modified&gt;&lt;_translated_author&gt;Huan, Jingbaohubu&lt;/_translated_author&gt;&lt;/Details&gt;&lt;Extra&gt;&lt;DBUID&gt;{0DA6E8B8-3A61-49AD-9027-1BB1B3F94C4B}&lt;/DBUID&gt;&lt;/Extra&gt;&lt;/Item&gt;&lt;/References&gt;&lt;/Group&gt;&lt;/Citation&gt;_x000a_"/>
    <w:docVar w:name="NE.Ref{D035A9B7-7315-4EF3-828A-76844BE90CC6}" w:val=" ADDIN NE.Ref.{D035A9B7-7315-4EF3-828A-76844BE90CC6}&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D04AE91A-519F-4698-95CA-947CCFADF86F}" w:val=" ADDIN NE.Ref.{D04AE91A-519F-4698-95CA-947CCFADF86F}&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D057A873-BC0D-4087-886E-943063E1BAE1}" w:val=" ADDIN NE.Ref.{D057A873-BC0D-4087-886E-943063E1BAE1}&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Group&gt;&lt;References&gt;&lt;Item&gt;&lt;ID&gt;72&lt;/ID&gt;&lt;UID&gt;{7925F399-D529-414C-BF4B-065252241EA8}&lt;/UID&gt;&lt;Title&gt;广东统计年鉴&lt;/Title&gt;&lt;Template&gt;Book&lt;/Template&gt;&lt;Star&gt;0&lt;/Star&gt;&lt;Tag&gt;0&lt;/Tag&gt;&lt;Author&gt;广东省统计局; 国家统计局广东调查总队&lt;/Author&gt;&lt;Year&gt;2013&lt;/Year&gt;&lt;Details&gt;&lt;_accessed&gt;60465096&lt;/_accessed&gt;&lt;_created&gt;60465096&lt;/_created&gt;&lt;_modified&gt;60466472&lt;/_modified&gt;&lt;_place_published&gt;北京&lt;/_place_published&gt;&lt;_publisher&gt;中国统计出版社&lt;/_publisher&gt;&lt;_translated_author&gt;Guang, Dongshengtongjiju;Guo, Jiatongjijuguangdongdiaochazongdui&lt;/_translated_author&gt;&lt;/Details&gt;&lt;Extra&gt;&lt;DBUID&gt;{0DA6E8B8-3A61-49AD-9027-1BB1B3F94C4B}&lt;/DBUID&gt;&lt;/Extra&gt;&lt;/Item&gt;&lt;/References&gt;&lt;/Group&gt;&lt;Group&gt;&lt;References&gt;&lt;Item&gt;&lt;ID&gt;80&lt;/ID&gt;&lt;UID&gt;{64C5E12E-9E33-400F-8DDC-CCBB31ECFE19}&lt;/UID&gt;&lt;Title&gt;中国涂料工业年鉴2012&lt;/Title&gt;&lt;Template&gt;Book&lt;/Template&gt;&lt;Star&gt;0&lt;/Star&gt;&lt;Tag&gt;0&lt;/Tag&gt;&lt;Author&gt;中国涂料工业协会&lt;/Author&gt;&lt;Year&gt;2012&lt;/Year&gt;&lt;Details&gt;&lt;_accessed&gt;60501172&lt;/_accessed&gt;&lt;_created&gt;60501151&lt;/_created&gt;&lt;_modified&gt;60501152&lt;/_modified&gt;&lt;_translated_author&gt;Zhong, Guotuliaogongyexiehui&lt;/_translated_author&gt;&lt;/Details&gt;&lt;Extra&gt;&lt;DBUID&gt;{0DA6E8B8-3A61-49AD-9027-1BB1B3F94C4B}&lt;/DBUID&gt;&lt;/Extra&gt;&lt;/Item&gt;&lt;/References&gt;&lt;/Group&gt;&lt;Group&gt;&lt;References&gt;&lt;Item&gt;&lt;ID&gt;86&lt;/ID&gt;&lt;UID&gt;{5FCA7DB0-C0D1-4CF8-9507-33EDE937A836}&lt;/UID&gt;&lt;Title&gt;中国轻工业年鉴2012&lt;/Title&gt;&lt;Template&gt;Book&lt;/Template&gt;&lt;Star&gt;0&lt;/Star&gt;&lt;Tag&gt;0&lt;/Tag&gt;&lt;Author&gt;中国轻工业联合会&lt;/Author&gt;&lt;Year&gt;2012&lt;/Year&gt;&lt;Details&gt;&lt;_accessed&gt;60501173&lt;/_accessed&gt;&lt;_created&gt;60501151&lt;/_created&gt;&lt;_modified&gt;60501173&lt;/_modified&gt;&lt;_publisher&gt;中国轻工业年鉴社&lt;/_publisher&gt;&lt;_translated_author&gt;Zhong, Guoqinggongyelianhehui&lt;/_translated_author&gt;&lt;/Details&gt;&lt;Extra&gt;&lt;DBUID&gt;{0DA6E8B8-3A61-49AD-9027-1BB1B3F94C4B}&lt;/DBUID&gt;&lt;/Extra&gt;&lt;/Item&gt;&lt;/References&gt;&lt;/Group&gt;&lt;Group&gt;&lt;References&gt;&lt;Item&gt;&lt;ID&gt;87&lt;/ID&gt;&lt;UID&gt;{8007D59A-C1F5-454D-882B-2AF96C75F489}&lt;/UID&gt;&lt;Title&gt;http://www.bosidata.com&lt;/Title&gt;&lt;Template&gt;Web Page&lt;/Template&gt;&lt;Star&gt;0&lt;/Star&gt;&lt;Tag&gt;0&lt;/Tag&gt;&lt;Author&gt;博思数据研究中心&lt;/Author&gt;&lt;Year&gt;2013&lt;/Year&gt;&lt;Details&gt;&lt;_accessed&gt;60502164&lt;/_accessed&gt;&lt;_created&gt;60501156&lt;/_created&gt;&lt;_modified&gt;60502164&lt;/_modified&gt;&lt;_url&gt;http://www.bosidata.com&lt;/_url&gt;&lt;_translated_author&gt;Bo, Sishujuyanjiuzhongxin&lt;/_translated_author&gt;&lt;/Details&gt;&lt;Extra&gt;&lt;DBUID&gt;{0DA6E8B8-3A61-49AD-9027-1BB1B3F94C4B}&lt;/DBUID&gt;&lt;/Extra&gt;&lt;/Item&gt;&lt;/References&gt;&lt;/Group&gt;&lt;Group&gt;&lt;References&gt;&lt;Item&gt;&lt;ID&gt;88&lt;/ID&gt;&lt;UID&gt;{7229293A-C27D-4124-83E2-820D961FD3DA}&lt;/UID&gt;&lt;Title&gt;中国化学工业年鉴2013&lt;/Title&gt;&lt;Template&gt;Book&lt;/Template&gt;&lt;Star&gt;0&lt;/Star&gt;&lt;Tag&gt;0&lt;/Tag&gt;&lt;Author&gt;中国石油和化学工业联合会&lt;/Author&gt;&lt;Year&gt;2013&lt;/Year&gt;&lt;Details&gt;&lt;_accessed&gt;60502186&lt;/_accessed&gt;&lt;_created&gt;60466451&lt;/_created&gt;&lt;_modified&gt;60505295&lt;/_modified&gt;&lt;_place_published&gt;北京&lt;/_place_published&gt;&lt;_publisher&gt;中国统计出版社&lt;/_publisher&gt;&lt;_translated_author&gt;Zhong, Guoshiyouhehuaxuegongyelianhehui&lt;/_translated_author&gt;&lt;/Details&gt;&lt;Extra&gt;&lt;DBUID&gt;{0DA6E8B8-3A61-49AD-9027-1BB1B3F94C4B}&lt;/DBUID&gt;&lt;/Extra&gt;&lt;/Item&gt;&lt;/References&gt;&lt;/Group&gt;&lt;Group&gt;&lt;References&gt;&lt;Item&gt;&lt;ID&gt;90&lt;/ID&gt;&lt;UID&gt;{D67C98EB-8193-44A1-9BE7-04F8AC240590}&lt;/UID&gt;&lt;Title&gt;中国建筑材料工业年鉴2013&lt;/Title&gt;&lt;Template&gt;Book&lt;/Template&gt;&lt;Star&gt;0&lt;/Star&gt;&lt;Tag&gt;0&lt;/Tag&gt;&lt;Author&gt;中国建筑材料工业年鉴编辑委员会&lt;/Author&gt;&lt;Year&gt;2013&lt;/Year&gt;&lt;Details&gt;&lt;_accessed&gt;60502187&lt;/_accessed&gt;&lt;_created&gt;60466451&lt;/_created&gt;&lt;_modified&gt;60505295&lt;/_modified&gt;&lt;_translated_author&gt;Zhong, Guojianzhucailiaogongyenianjianbianjiweiyuanhui&lt;/_translated_author&gt;&lt;/Details&gt;&lt;Extra&gt;&lt;DBUID&gt;{0DA6E8B8-3A61-49AD-9027-1BB1B3F94C4B}&lt;/DBUID&gt;&lt;/Extra&gt;&lt;/Item&gt;&lt;/References&gt;&lt;/Group&gt;&lt;/Citation&gt;_x000a_"/>
    <w:docVar w:name="NE.Ref{D0E8AB42-FCB1-456F-9B57-28A65EEAA718}" w:val=" ADDIN NE.Ref.{D0E8AB42-FCB1-456F-9B57-28A65EEAA718}&lt;Citation&gt;&lt;Group&gt;&lt;References&gt;&lt;Item&gt;&lt;ID&gt;75&lt;/ID&gt;&lt;UID&gt;{7DD10B3F-A17C-45F0-8587-8B75BF69DBC5}&lt;/UID&gt;&lt;Title&gt;广东农村统计年鉴2013&lt;/Title&gt;&lt;Template&gt;Book&lt;/Template&gt;&lt;Star&gt;0&lt;/Star&gt;&lt;Tag&gt;0&lt;/Tag&gt;&lt;Author&gt;广东农村统计年鉴编辑委员会&lt;/Author&gt;&lt;Year&gt;2013&lt;/Year&gt;&lt;Details&gt;&lt;_accessed&gt;60502165&lt;/_accessed&gt;&lt;_created&gt;60466451&lt;/_created&gt;&lt;_isbn&gt;978-7-5037-7289-4&lt;/_isbn&gt;&lt;_modified&gt;60505295&lt;/_modified&gt;&lt;_place_published&gt;北京&lt;/_place_published&gt;&lt;_publisher&gt;中国统计出版社&lt;/_publisher&gt;&lt;_translated_author&gt;Guang, Dongnongcuntongjinianjianbianjiweiyuanhui&lt;/_translated_author&gt;&lt;/Details&gt;&lt;Extra&gt;&lt;DBUID&gt;{0DA6E8B8-3A61-49AD-9027-1BB1B3F94C4B}&lt;/DBUID&gt;&lt;/Extra&gt;&lt;/Item&gt;&lt;/References&gt;&lt;/Group&gt;&lt;/Citation&gt;_x000a_"/>
    <w:docVar w:name="NE.Ref{D1A5666E-1161-49E7-9DF3-1553785B942A}" w:val=" ADDIN NE.Ref.{D1A5666E-1161-49E7-9DF3-1553785B942A}&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D24DA757-77A3-49EE-8FB1-6CD922B603F9}" w:val=" ADDIN NE.Ref.{D24DA757-77A3-49EE-8FB1-6CD922B603F9}&lt;Citation&gt;&lt;Group&gt;&lt;References&gt;&lt;Item&gt;&lt;ID&gt;37&lt;/ID&gt;&lt;UID&gt;{A9D71192-30DB-443C-B4D1-1DD91046DCFC}&lt;/UID&gt;&lt;Title&gt;生物质燃烧源大气污染物排放清单编制技术指南（试行）&lt;/Title&gt;&lt;Template&gt;Standard&lt;/Template&gt;&lt;Star&gt;0&lt;/Star&gt;&lt;Tag&gt;0&lt;/Tag&gt;&lt;Author&gt;环境保护部&lt;/Author&gt;&lt;Year&gt;2014&lt;/Year&gt;&lt;Details&gt;&lt;_accessed&gt;60463766&lt;/_accessed&gt;&lt;_created&gt;60463766&lt;/_created&gt;&lt;_modified&gt;60464817&lt;/_modified&gt;&lt;_translated_author&gt;Huan, Jingbaohubu&lt;/_translated_author&gt;&lt;/Details&gt;&lt;Extra&gt;&lt;DBUID&gt;{0DA6E8B8-3A61-49AD-9027-1BB1B3F94C4B}&lt;/DBUID&gt;&lt;/Extra&gt;&lt;/Item&gt;&lt;/References&gt;&lt;/Group&gt;&lt;/Citation&gt;_x000a_"/>
    <w:docVar w:name="NE.Ref{D2A51BB0-0AA6-434F-997D-711A7136BB6F}" w:val=" ADDIN NE.Ref.{D2A51BB0-0AA6-434F-997D-711A7136BB6F}&lt;Citation&gt;&lt;Group&gt;&lt;References&gt;&lt;Item&gt;&lt;ID&gt;61&lt;/ID&gt;&lt;UID&gt;{59DA4F2A-8DA6-4E21-8C8A-275797EE11DE}&lt;/UID&gt;&lt;Title&gt;Estimates of global terrestrial isoprene emissions using MEGAN (Model of Emissions of Gases and Aerosols from Nature)&lt;/Title&gt;&lt;Template&gt;Journal Article&lt;/Template&gt;&lt;Star&gt;0&lt;/Star&gt;&lt;Tag&gt;0&lt;/Tag&gt;&lt;Author&gt;Guenther, A; Karl, T; Harley, P; Wiedinmyer, C; Palmer, P I; Geron, C&lt;/Author&gt;&lt;Year&gt;2006&lt;/Year&gt;&lt;Details&gt;&lt;_alternate_title&gt;Atmospheric Chemistry and Physics&lt;/_alternate_title&gt;&lt;_created&gt;60464793&lt;/_created&gt;&lt;_date&gt;2006-01-01&lt;/_date&gt;&lt;_date_display&gt;2006&lt;/_date_display&gt;&lt;_doi&gt;10.5194/acp-6-3181-2006&lt;/_doi&gt;&lt;_isbn&gt;ISSN 1680-7316&lt;/_isbn&gt;&lt;_issue&gt;11&lt;/_issue&gt;&lt;_journal&gt;Atmospheric Chemistry and Physics&lt;/_journal&gt;&lt;_modified&gt;60464807&lt;/_modified&gt;&lt;_pages&gt;3181-3210&lt;/_pages&gt;&lt;_url&gt;http://dx.doi.org/10.5194/acp-6-3181-2006&lt;/_url&gt;&lt;_volume&gt;6&lt;/_volume&gt;&lt;_impact_factor&gt;   5.114&lt;/_impact_factor&gt;&lt;_collection_scope&gt;SCI;SCIE;&lt;/_collection_scope&gt;&lt;/Details&gt;&lt;Extra&gt;&lt;DBUID&gt;{0DA6E8B8-3A61-49AD-9027-1BB1B3F94C4B}&lt;/DBUID&gt;&lt;/Extra&gt;&lt;/Item&gt;&lt;/References&gt;&lt;/Group&gt;&lt;/Citation&gt;_x000a_"/>
    <w:docVar w:name="NE.Ref{D3947529-A8C3-4663-A092-134F1BAE750F}" w:val=" ADDIN NE.Ref.{D3947529-A8C3-4663-A092-134F1BAE750F}&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D399FA05-E227-4BC5-88A3-1BC8BCEC71F4}" w:val=" ADDIN NE.Ref.{D399FA05-E227-4BC5-88A3-1BC8BCEC71F4}&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D4A76B86-1526-4828-8560-0C680B827E2F}" w:val=" ADDIN NE.Ref.{D4A76B86-1526-4828-8560-0C680B827E2F}&lt;Citation&gt;&lt;Group&gt;&lt;References&gt;&lt;Item&gt;&lt;ID&gt;1&lt;/ID&gt;&lt;UID&gt;{6B18977D-9777-462E-95F6-D25F3A60E833}&lt;/UID&gt;&lt;Title&gt;“十二五”重点区域大气污染联防联控VOCs排放清单和治理技术手册&lt;/Title&gt;&lt;Template&gt;Standard&lt;/Template&gt;&lt;Star&gt;0&lt;/Star&gt;&lt;Tag&gt;0&lt;/Tag&gt;&lt;Author&gt;环境保护部&lt;/Author&gt;&lt;Year&gt;2010&lt;/Year&gt;&lt;Details&gt;&lt;_accessed&gt;60463742&lt;/_accessed&gt;&lt;_created&gt;60463628&lt;/_created&gt;&lt;_modified&gt;60464815&lt;/_modified&gt;&lt;_translated_author&gt;Huan, Jingbaohubu&lt;/_translated_author&gt;&lt;/Details&gt;&lt;Extra&gt;&lt;DBUID&gt;{0DA6E8B8-3A61-49AD-9027-1BB1B3F94C4B}&lt;/DBUID&gt;&lt;/Extra&gt;&lt;/Item&gt;&lt;/References&gt;&lt;/Group&gt;&lt;/Citation&gt;_x000a_"/>
    <w:docVar w:name="NE.Ref{D58ECCDE-E67A-4B56-B06B-2829F9EBD996}" w:val=" ADDIN NE.Ref.{D58ECCDE-E67A-4B56-B06B-2829F9EBD996}&lt;Citation&gt;&lt;Group&gt;&lt;References&gt;&lt;Item&gt;&lt;ID&gt;131&lt;/ID&gt;&lt;UID&gt;{7565934F-FBB5-4E04-A226-723EE90FA0AE}&lt;/UID&gt;&lt;Title&gt;广东省人为源大气污染物排放清单及特征研究&lt;/Title&gt;&lt;Template&gt;Journal Article&lt;/Template&gt;&lt;Star&gt;0&lt;/Star&gt;&lt;Tag&gt;0&lt;/Tag&gt;&lt;Author&gt;潘月云; 李楠; 郑君瑜; 尹沙沙; 李成; 杨静; 钟流举; 陈多宏; 邓思欣; 王水胜&lt;/Author&gt;&lt;Year&gt;2015&lt;/Year&gt;&lt;Details&gt;&lt;_issue&gt;9&lt;/_issue&gt;&lt;_journal&gt;环境科学学报&lt;/_journal&gt;&lt;_pages&gt;2655-2669&lt;/_pages&gt;&lt;_volume&gt;35&lt;/_volume&gt;&lt;_created&gt;61271301&lt;/_created&gt;&lt;_modified&gt;61271301&lt;/_modified&gt;&lt;_collection_scope&gt;中国科技核心期刊;中文核心期刊;CSCD;&lt;/_collection_scope&gt;&lt;_translated_author&gt;Pan, Yueyun;Li, Nan;Zheng, Junyu;Yin, Shasha;Li, Cheng;Yang, Jing;Zhong, Liuju;Chen, Duohong;Deng, Sixin;Wang, Shuisheng&lt;/_translated_author&gt;&lt;/Details&gt;&lt;Extra&gt;&lt;DBUID&gt;{0DA6E8B8-3A61-49AD-9027-1BB1B3F94C4B}&lt;/DBUID&gt;&lt;/Extra&gt;&lt;/Item&gt;&lt;/References&gt;&lt;/Group&gt;&lt;/Citation&gt;_x000a_"/>
    <w:docVar w:name="NE.Ref{D6684BC1-9FB5-4753-8417-06036DD08950}" w:val=" ADDIN NE.Ref.{D6684BC1-9FB5-4753-8417-06036DD08950}&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D71D2EAE-57B5-4B71-B9A1-736584146901}" w:val=" ADDIN NE.Ref.{D71D2EAE-57B5-4B71-B9A1-736584146901}&lt;Citation&gt;&lt;Group&gt;&lt;References&gt;&lt;Item&gt;&lt;ID&gt;20&lt;/ID&gt;&lt;UID&gt;{40D207D5-181A-48AE-93F7-89FD9A0BC8D8}&lt;/UID&gt;&lt;Title&gt;A fuel-based assessment of off road Diesel Engine emissions&lt;/Title&gt;&lt;Template&gt;Journal Article&lt;/Template&gt;&lt;Star&gt;0&lt;/Star&gt;&lt;Tag&gt;0&lt;/Tag&gt;&lt;Author&gt;Kean, Adrew J; Sawyer, Robert F; Harley, Robert A&lt;/Author&gt;&lt;Year&gt;2000&lt;/Year&gt;&lt;Details&gt;&lt;_accessed&gt;60464728&lt;/_accessed&gt;&lt;_created&gt;60463692&lt;/_created&gt;&lt;_issue&gt;50&lt;/_issue&gt;&lt;_journal&gt;Journal of the Air &amp;amp; Waste Manage Association&lt;/_journal&gt;&lt;_modified&gt;60464733&lt;/_modified&gt;&lt;_pages&gt;1929-1939&lt;/_pages&gt;&lt;/Details&gt;&lt;Extra&gt;&lt;DBUID&gt;{0DA6E8B8-3A61-49AD-9027-1BB1B3F94C4B}&lt;/DBUID&gt;&lt;/Extra&gt;&lt;/Item&gt;&lt;/References&gt;&lt;/Group&gt;&lt;/Citation&gt;_x000a_"/>
    <w:docVar w:name="NE.Ref{D7646EF7-6CF9-4BD5-B557-5B83B793CD1E}" w:val=" ADDIN NE.Ref.{D7646EF7-6CF9-4BD5-B557-5B83B793CD1E}&lt;Citation&gt;&lt;Group&gt;&lt;References&gt;&lt;Item&gt;&lt;ID&gt;31&lt;/ID&gt;&lt;UID&gt;{2D8E5126-906F-4C47-B715-7E4707192151}&lt;/UID&gt;&lt;Title&gt;呼和浩特市施工扬尘排放因子和粒径分布&lt;/Title&gt;&lt;Template&gt;Journal Article&lt;/Template&gt;&lt;Star&gt;0&lt;/Star&gt;&lt;Tag&gt;0&lt;/Tag&gt;&lt;Author&gt;黄玉虎; 蔡煜; 毛华云; 盛亮; 秦建平; 闫静&lt;/Author&gt;&lt;Year&gt;2011&lt;/Year&gt;&lt;Details&gt;&lt;_accessed&gt;60463752&lt;/_accessed&gt;&lt;_author_aff&gt;北京市环境保护科学研究院; 呼和浩特市环境科学研究所&lt;/_author_aff&gt;&lt;_cate&gt;X513&lt;/_cate&gt;&lt;_cited_count&gt;20&lt;/_cited_count&gt;&lt;_created&gt;60463752&lt;/_created&gt;&lt;_funding&gt;国家环保公益性行业科研专项基金项目(200709030)&lt;/_funding&gt;&lt;_issue&gt;02&lt;/_issue&gt;&lt;_journal&gt;内蒙古大学学报(自然科学版)&lt;/_journal&gt;&lt;_keywords&gt;施工扬尘; 四维通量; 粒径分布; 排放因子&lt;/_keywords&gt;&lt;_modified&gt;60463752&lt;/_modified&gt;&lt;_ref_count&gt;10&lt;/_ref_count&gt;&lt;_translated_author&gt;HUANG, Yu-hu; CAI, Yu; MAO, Hua-yun; SHENG, Liang; QIN, Jian-pin; YAN, Jing&lt;/_translated_author&gt;&lt;_url&gt;http://www.cnki.net/KCMS/detail/detail.aspx?filename=nmgx201102019&amp;amp;dbcode=CJFQ&amp;amp;dbname=CJFD2011&lt;/_url&gt;&lt;/Details&gt;&lt;Extra&gt;&lt;DBUID&gt;{0DA6E8B8-3A61-49AD-9027-1BB1B3F94C4B}&lt;/DBUID&gt;&lt;/Extra&gt;&lt;/Item&gt;&lt;/References&gt;&lt;/Group&gt;&lt;/Citation&gt;_x000a_"/>
    <w:docVar w:name="NE.Ref{D8D12407-ECB3-482E-BDE4-E6359963D9E3}" w:val=" ADDIN NE.Ref.{D8D12407-ECB3-482E-BDE4-E6359963D9E3}&lt;Citation&gt;&lt;Group&gt;&lt;References&gt;&lt;Item&gt;&lt;ID&gt;62&lt;/ID&gt;&lt;UID&gt;{A9FA4AB3-3ACB-40F7-BC4F-A4AFC735E087}&lt;/UID&gt;&lt;Title&gt;珠三角地区萜烯化合物排放特征研究_x000d__x000a_&lt;/Title&gt;&lt;Template&gt;Thesis&lt;/Template&gt;&lt;Star&gt;0&lt;/Star&gt;&lt;Tag&gt;0&lt;/Tag&gt;&lt;Author&gt;司徒淑娉&lt;/Author&gt;&lt;Year&gt;2009&lt;/Year&gt;&lt;Details&gt;&lt;_publisher&gt;中山大学&lt;/_publisher&gt;&lt;_accessed&gt;60464794&lt;/_accessed&gt;&lt;_created&gt;60464794&lt;/_created&gt;&lt;_modified&gt;60464794&lt;/_modified&gt;&lt;_translated_author&gt;Si, Tushuping&lt;/_translated_author&gt;&lt;/Details&gt;&lt;Extra&gt;&lt;DBUID&gt;{0DA6E8B8-3A61-49AD-9027-1BB1B3F94C4B}&lt;/DBUID&gt;&lt;/Extra&gt;&lt;/Item&gt;&lt;/References&gt;&lt;/Group&gt;&lt;/Citation&gt;_x000a_"/>
    <w:docVar w:name="NE.Ref{D9D48729-900B-425D-9B14-200510C0CA54}" w:val=" ADDIN NE.Ref.{D9D48729-900B-425D-9B14-200510C0CA54}&lt;Citation&gt;&lt;Group&gt;&lt;References&gt;&lt;Item&gt;&lt;ID&gt;21&lt;/ID&gt;&lt;UID&gt;{A46BA242-1742-452B-B8D6-4E3CBC30D64C}&lt;/UID&gt;&lt;Title&gt;Documentation for Aircraft, Commercial Marine Vessel, Locomotive, and Other Nonroad Components of the National Emission Inventory&lt;/Title&gt;&lt;Template&gt;Report&lt;/Template&gt;&lt;Star&gt;0&lt;/Star&gt;&lt;Tag&gt;0&lt;/Tag&gt;&lt;Author&gt;Group, Eastern Research&lt;/Author&gt;&lt;Year&gt;2003&lt;/Year&gt;&lt;Details&gt;&lt;_accessed&gt;60463696&lt;/_accessed&gt;&lt;_created&gt;60463696&lt;/_created&gt;&lt;_modified&gt;60463696&lt;/_modified&gt;&lt;_publisher&gt;Washington Environmental Protection Agency&lt;/_publisher&gt;&lt;/Details&gt;&lt;Extra&gt;&lt;DBUID&gt;{0DA6E8B8-3A61-49AD-9027-1BB1B3F94C4B}&lt;/DBUID&gt;&lt;/Extra&gt;&lt;/Item&gt;&lt;/References&gt;&lt;/Group&gt;&lt;/Citation&gt;_x000a_"/>
    <w:docVar w:name="NE.Ref{DCAD5074-04A5-4021-8961-001526453485}" w:val=" ADDIN NE.Ref.{DCAD5074-04A5-4021-8961-001526453485}&lt;Citation&gt;&lt;Group&gt;&lt;References&gt;&lt;Item&gt;&lt;ID&gt;52&lt;/ID&gt;&lt;UID&gt;{DBBAD738-1404-4FCF-B52B-686AF1408233}&lt;/UID&gt;&lt;Title&gt;中国生物质燃烧大气污染物排放清单&lt;/Title&gt;&lt;Template&gt;Journal Article&lt;/Template&gt;&lt;Star&gt;0&lt;/Star&gt;&lt;Tag&gt;0&lt;/Tag&gt;&lt;Author&gt;田贺忠; 赵丹; 王艳&lt;/Author&gt;&lt;Year&gt;2011&lt;/Year&gt;&lt;Details&gt;&lt;_author_aff&gt;北京师范大学环境学院&lt;/_author_aff&gt;&lt;_cate&gt;X511&lt;/_cate&gt;&lt;_cited_count&gt;38&lt;/_cited_count&gt;&lt;_collection_scope&gt;中国科技核心期刊;中文核心期刊;CSCD;&lt;/_collection_scope&gt;&lt;_created&gt;60464771&lt;/_created&gt;&lt;_funding&gt;国家自然科学基金(No. 20677005, 40975061);  环保公益性行业科研专项(No. 20090924)~~&lt;/_funding&gt;&lt;_issue&gt;02&lt;/_issue&gt;&lt;_journal&gt;环境科学学报&lt;/_journal&gt;&lt;_keywords&gt;生物质; 燃烧; 大气污染物; 排放清单; 中国&lt;/_keywords&gt;&lt;_modified&gt;61293118&lt;/_modified&gt;&lt;_ref_count&gt;26&lt;/_ref_count&gt;&lt;_url&gt;http://www.cnki.net/KCMS/detail/detail.aspx?QueryID=0&amp;amp;CurRec=1&amp;amp;dbcode=CJFQ&amp;amp;dbname=CJFD2011&amp;amp;filename=HJXX201102017&amp;amp;urlid=&amp;amp;yx=&amp;amp;v=MDQ2NzgvQUxTZlRkckc0SDlETXJZOUVZNFI4ZVgxTHV4WVM3RGgxVDNxVHJXTTFGckNVUkw2ZVplZG5GeW5sVXI=&lt;/_url&gt;&lt;_translated_author&gt;Tian, Hezhong;Zhao, Dan;Wang, Yan&lt;/_translated_author&gt;&lt;/Details&gt;&lt;Extra&gt;&lt;DBUID&gt;{0DA6E8B8-3A61-49AD-9027-1BB1B3F94C4B}&lt;/DBUID&gt;&lt;/Extra&gt;&lt;/Item&gt;&lt;/References&gt;&lt;/Group&gt;&lt;Group&gt;&lt;References&gt;&lt;Item&gt;&lt;ID&gt;53&lt;/ID&gt;&lt;UID&gt;{42B10F2B-3B7F-4ED0-B210-A319926FE6DE}&lt;/UID&gt;&lt;Title&gt;中国作物的收获指数&lt;/Title&gt;&lt;Template&gt;Journal Article&lt;/Template&gt;&lt;Star&gt;0&lt;/Star&gt;&lt;Tag&gt;0&lt;/Tag&gt;&lt;Author&gt;张福春; 朱志辉&lt;/Author&gt;&lt;Year&gt;1990&lt;/Year&gt;&lt;Details&gt;&lt;_author_aff&gt;中国科学院地理研究所; 中国科学院地理研究所&lt;/_author_aff&gt;&lt;_created&gt;60464772&lt;/_created&gt;&lt;_issue&gt;02&lt;/_issue&gt;&lt;_journal&gt;中国农业科学&lt;/_journal&gt;&lt;_keywords&gt;收获指数; 谷草比; 经济系数; 生物学产量&lt;/_keywords&gt;&lt;_modified&gt;60464773&lt;/_modified&gt;&lt;_url&gt;http://www.cnki.net/KCMS/detail/detail.aspx?QueryID=5&amp;amp;CurRec=1&amp;amp;dbcode=CJFQ&amp;amp;dbname=CJFD9093&amp;amp;filename=ZNYK199002013&amp;amp;urlid=&amp;amp;yx=&amp;amp;v=MjQzOTMzcVRyV00xRnJDVVJMNmVaZWRuRnlubFU3L1BQeVBTWmJLeEY5SE1yWTlFWjRSOGVYMUx1eFlTN0RoMVQ=&lt;/_url&gt;&lt;_collection_scope&gt;中国科技核心期刊;中文核心期刊;CSCD;&lt;/_collection_scope&gt;&lt;_translated_author&gt;Zhang, Fuchun;Zhu, Zhihui&lt;/_translated_author&gt;&lt;/Details&gt;&lt;Extra&gt;&lt;DBUID&gt;{0DA6E8B8-3A61-49AD-9027-1BB1B3F94C4B}&lt;/DBUID&gt;&lt;/Extra&gt;&lt;/Item&gt;&lt;/References&gt;&lt;/Group&gt;&lt;Group&gt;&lt;References&gt;&lt;Item&gt;&lt;ID&gt;54&lt;/ID&gt;&lt;UID&gt;{D63A4AD3-4A0E-48C6-ABD7-E28D67168A3D}&lt;/UID&gt;&lt;Title&gt;中国秸秆露天焚烧大气污染物排放时空分布&lt;/Title&gt;&lt;Template&gt;Journal Article&lt;/Template&gt;&lt;Star&gt;0&lt;/Star&gt;&lt;Tag&gt;0&lt;/Tag&gt;&lt;Author&gt;王书肖; 张楚莹&lt;/Author&gt;&lt;Year&gt;2008&lt;/Year&gt;&lt;Details&gt;&lt;_author_aff&gt;清华大学环境科学与工程系&lt;/_author_aff&gt;&lt;_cate&gt;X51&lt;/_cate&gt;&lt;_cited_count&gt;58&lt;/_cited_count&gt;&lt;_created&gt;60464772&lt;/_created&gt;&lt;_funding&gt;国家重点基础研究发展规划(973)项目(2005CB422201)&lt;/_funding&gt;&lt;_issue&gt;05&lt;/_issue&gt;&lt;_journal&gt;中国科技论文在线&lt;/_journal&gt;&lt;_keywords&gt;大气污染防治工程; 排放清单; 问卷调查; 生物质; 露天焚烧&lt;/_keywords&gt;&lt;_modified&gt;60613498&lt;/_modified&gt;&lt;_ref_count&gt;16&lt;/_ref_count&gt;&lt;_url&gt;http://www.cnki.net/KCMS/detail/detail.aspx?QueryID=10&amp;amp;CurRec=1&amp;amp;dbcode=CJFQ&amp;amp;dbname=CJFD2008&amp;amp;filename=ZKZX200805005&amp;amp;urlid=&amp;amp;yx=&amp;amp;v=MTM2OTQ5RllZUjhlWDFMdXhZUzdEaDFUM3FUcldNMUZyQ1VSTDZlWmVkbkZ5bmxVNzNCUHliUmRyRzRIdG5NcW8=&lt;/_url&gt;&lt;_collection_scope&gt;中文核心期刊;&lt;/_collection_scope&gt;&lt;_translated_author&gt;Wang, Shuxiao;Zhang, Chuying&lt;/_translated_author&gt;&lt;/Details&gt;&lt;Extra&gt;&lt;DBUID&gt;{0DA6E8B8-3A61-49AD-9027-1BB1B3F94C4B}&lt;/DBUID&gt;&lt;/Extra&gt;&lt;/Item&gt;&lt;/References&gt;&lt;/Group&gt;&lt;Group&gt;&lt;References&gt;&lt;Item&gt;&lt;ID&gt;55&lt;/ID&gt;&lt;UID&gt;{6FD02FAE-676E-45DD-AFAD-AE99DE52DCAB}&lt;/UID&gt;&lt;Title&gt;中国非禾谷类大田作物收获指数和秸秆系数&lt;/Title&gt;&lt;Template&gt;Journal Article&lt;/Template&gt;&lt;Star&gt;0&lt;/Star&gt;&lt;Tag&gt;0&lt;/Tag&gt;&lt;Author&gt;谢光辉; 王晓玉; 韩东倩; 薛帅&lt;/Author&gt;&lt;Year&gt;2011&lt;/Year&gt;&lt;Details&gt;&lt;_author_aff&gt;中国农业大学农学与生物技术学院/农业部农作制度重点开放实验室; 中国农业大学生物质工程中心&lt;/_author_aff&gt;&lt;_cate&gt;S511&lt;/_cate&gt;&lt;_cited_count&gt;27&lt;/_cited_count&gt;&lt;_created&gt;60464772&lt;/_created&gt;&lt;_funding&gt;国家“十一五”课题支撑计划(2006BAD07A04);公益性行业(农业)科研专项经费资助项目(nyhyzx07-011)&lt;/_funding&gt;&lt;_issue&gt;01&lt;/_issue&gt;&lt;_journal&gt;中国农业大学学报&lt;/_journal&gt;&lt;_keywords&gt;作物; 收获指数; 秸秆; 秸秆系数; 草谷比&lt;/_keywords&gt;&lt;_modified&gt;60464798&lt;/_modified&gt;&lt;_ref_count&gt;92&lt;/_ref_count&gt;&lt;_url&gt;http://www.cnki.net/KCMS/detail/detail.aspx?QueryID=15&amp;amp;CurRec=1&amp;amp;dbcode=CJFQ&amp;amp;dbname=CJFD2011&amp;amp;filename=NYDX201101003&amp;amp;urlid=&amp;amp;yx=&amp;amp;v=MDkxNjFyQ1VSTDZlWmVkbkZ5bmxVN3ZPS3pUUGRyRzRIOURNcm85Rlo0UjhlWDFMdXhZUzdEaDFUM3FUcldNMUY=&lt;/_url&gt;&lt;_collection_scope&gt;中国科技核心期刊;中文核心期刊;CSCD;&lt;/_collection_scope&gt;&lt;_translated_author&gt;Xie, Guanghui;Wang, Xiaoyu;Han, Dongqian;Xue, Shuai&lt;/_translated_author&gt;&lt;/Details&gt;&lt;Extra&gt;&lt;DBUID&gt;{0DA6E8B8-3A61-49AD-9027-1BB1B3F94C4B}&lt;/DBUID&gt;&lt;/Extra&gt;&lt;/Item&gt;&lt;/References&gt;&lt;/Group&gt;&lt;Group&gt;&lt;References&gt;&lt;Item&gt;&lt;ID&gt;56&lt;/ID&gt;&lt;UID&gt;{3ABAD354-FFF5-4C08-9A50-73E2F7B335C4}&lt;/UID&gt;&lt;Title&gt;2011年深圳大运会空气质量保障大气污染源清单开发及评估研究专题报告&lt;/Title&gt;&lt;Template&gt;Report&lt;/Template&gt;&lt;Star&gt;0&lt;/Star&gt;&lt;Tag&gt;0&lt;/Tag&gt;&lt;Author&gt;华南理工大学&lt;/Author&gt;&lt;Year&gt;2010&lt;/Year&gt;&lt;Details&gt;&lt;_accessed&gt;60464773&lt;/_accessed&gt;&lt;_created&gt;60464773&lt;/_created&gt;&lt;_modified&gt;60613501&lt;/_modified&gt;&lt;_place_published&gt;广州&lt;/_place_published&gt;&lt;_translated_author&gt;Hua, Nanligongdaxue&lt;/_translated_author&gt;&lt;/Details&gt;&lt;Extra&gt;&lt;DBUID&gt;{0DA6E8B8-3A61-49AD-9027-1BB1B3F94C4B}&lt;/DBUID&gt;&lt;/Extra&gt;&lt;/Item&gt;&lt;/References&gt;&lt;/Group&gt;&lt;Group&gt;&lt;References&gt;&lt;Item&gt;&lt;ID&gt;57&lt;/ID&gt;&lt;UID&gt;{7A38A3C1-6D00-40EE-8047-B5E3B56570E6}&lt;/UID&gt;&lt;Title&gt;中国农作物秸秆燃烧排放气态、颗粒态污染物排放特征的实验室模拟&lt;/Title&gt;&lt;Template&gt;Thesis&lt;/Template&gt;&lt;Star&gt;0&lt;/Star&gt;&lt;Tag&gt;0&lt;/Tag&gt;&lt;Author&gt;张鹤丰&lt;/Author&gt;&lt;Year&gt;2009&lt;/Year&gt;&lt;Details&gt;&lt;_cate&gt;环境科学&lt;/_cate&gt;&lt;_created&gt;60464777&lt;/_created&gt;&lt;_db_provider&gt;北京万方数据股份有限公司&lt;/_db_provider&gt;&lt;_language&gt;chinese&lt;/_language&gt;&lt;_modified&gt;60464777&lt;/_modified&gt;&lt;_publisher&gt;复旦大学&lt;/_publisher&gt;&lt;_tertiary_author&gt;陈建民&lt;/_tertiary_author&gt;&lt;_url&gt;http://d.wanfangdata.com.cn/Thesis_D446885.aspx&lt;/_url&gt;&lt;_volume&gt;博士&lt;/_volume&gt;&lt;_translated_author&gt;Zhang, Hefeng&lt;/_translated_author&gt;&lt;_translated_tertiary_author&gt;Chen, Jianmin&lt;/_translated_tertiary_author&gt;&lt;/Details&gt;&lt;Extra&gt;&lt;DBUID&gt;{0DA6E8B8-3A61-49AD-9027-1BB1B3F94C4B}&lt;/DBUID&gt;&lt;/Extra&gt;&lt;/Item&gt;&lt;/References&gt;&lt;/Group&gt;&lt;Group&gt;&lt;References&gt;&lt;Item&gt;&lt;ID&gt;58&lt;/ID&gt;&lt;UID&gt;{6CE42E72-2ED1-4BD8-BDEF-C108D645C154}&lt;/UID&gt;&lt;Title&gt;农业残留物燃烧温室气体排放清单研究:以江苏省为例&lt;/Title&gt;&lt;Template&gt;Journal Article&lt;/Template&gt;&lt;Star&gt;0&lt;/Star&gt;&lt;Tag&gt;0&lt;/Tag&gt;&lt;Author&gt;刘丽华; 蒋静艳; 宗良纲&lt;/Author&gt;&lt;Year&gt;2011&lt;/Year&gt;&lt;Details&gt;&lt;_author_aff&gt;南京农业大学资源与环境科学学院&lt;/_author_aff&gt;&lt;_cate&gt;X511&lt;/_cate&gt;&lt;_created&gt;60464777&lt;/_created&gt;&lt;_funding&gt;国家自然科学基金项目(40975091)&lt;/_funding&gt;&lt;_issue&gt;05&lt;/_issue&gt;&lt;_journal&gt;环境科学&lt;/_journal&gt;&lt;_keywords&gt;农业残留物; 温室气体; 作物秸秆燃烧; 排放因子; 排放清单&lt;/_keywords&gt;&lt;_modified&gt;60464794&lt;/_modified&gt;&lt;_translated_author&gt;LIU, Li-hua; JIANG, Jing-yan; ZONG, Liang-gang&lt;/_translated_author&gt;&lt;_url&gt;http://www.cnki.net/KCMS/detail/detail.aspx?filename=hjkz201105005&amp;amp;dbcode=CJFQ&amp;amp;dbname=CJFD2011&lt;/_url&gt;&lt;_collection_scope&gt;中国科技核心期刊;中文核心期刊;CSCD;&lt;/_collection_scope&gt;&lt;/Details&gt;&lt;Extra&gt;&lt;DBUID&gt;{0DA6E8B8-3A61-49AD-9027-1BB1B3F94C4B}&lt;/DBUID&gt;&lt;/Extra&gt;&lt;/Item&gt;&lt;/References&gt;&lt;/Group&gt;&lt;Group&gt;&lt;References&gt;&lt;Item&gt;&lt;ID&gt;59&lt;/ID&gt;&lt;UID&gt;{27E29C46-7EB8-4608-BFA8-6C53259AB77C}&lt;/UID&gt;&lt;Title&gt;Agricultural and Forest Fires, Generation, Utilization and Availability&lt;/Title&gt;&lt;Template&gt;Report&lt;/Template&gt;&lt;Star&gt;0&lt;/Star&gt;&lt;Tag&gt;0&lt;/Tag&gt;&lt;Author&gt;Koopmans, Auke; Koppejan, Jaap&lt;/Author&gt;&lt;Year&gt;1998&lt;/Year&gt;&lt;Details&gt;&lt;_accessed&gt;60464797&lt;/_accessed&gt;&lt;_created&gt;60464787&lt;/_created&gt;&lt;_modified&gt;60464787&lt;/_modified&gt;&lt;_publisher&gt;Wood Energy Conservation Specialists&lt;/_publisher&gt;&lt;/Details&gt;&lt;Extra&gt;&lt;DBUID&gt;{0DA6E8B8-3A61-49AD-9027-1BB1B3F94C4B}&lt;/DBUID&gt;&lt;/Extra&gt;&lt;/Item&gt;&lt;/References&gt;&lt;/Group&gt;&lt;Group&gt;&lt;References&gt;&lt;Item&gt;&lt;ID&gt;60&lt;/ID&gt;&lt;UID&gt;{795392B8-091C-4719-A0FA-2B368F1F9BAB}&lt;/UID&gt;&lt;Title&gt;Trends, temporal and spatial characteristics, and uncertainties in biomass burning emissions in the Pearl River Delta, China&lt;/Title&gt;&lt;Template&gt;Journal Article&lt;/Template&gt;&lt;Star&gt;0&lt;/Star&gt;&lt;Tag&gt;0&lt;/Tag&gt;&lt;Author&gt;He, Min; Zheng, Junyu; Yin, Shasha; Zhang, Yingyi&lt;/Author&gt;&lt;Year&gt;2011&lt;/Year&gt;&lt;Details&gt;&lt;_alternate_title&gt;Atmospheric Environment&lt;/_alternate_title&gt;&lt;_collection_scope&gt;EI;SCI;SCIE;&lt;/_collection_scope&gt;&lt;_created&gt;60464788&lt;/_created&gt;&lt;_date&gt;2011-08-01&lt;/_date&gt;&lt;_date_display&gt;2011/8//&lt;/_date_display&gt;&lt;_doi&gt;10.1016/j.atmosenv.2011.04.016&lt;/_doi&gt;&lt;_impact_factor&gt;   3.459&lt;/_impact_factor&gt;&lt;_isbn&gt;1352-2310&lt;/_isbn&gt;&lt;_issue&gt;24&lt;/_issue&gt;&lt;_journal&gt;Atmospheric Environment&lt;/_journal&gt;&lt;_keywords&gt;Pearl River Delta region; Biomass burning emission inventory; Temporal characteristics; Spatial characteristics; Uncertainty&lt;/_keywords&gt;&lt;_modified&gt;61279870&lt;/_modified&gt;&lt;_pages&gt;4051-4059&lt;/_pages&gt;&lt;_url&gt;http://www.sciencedirect.com/science/article/pii/S1352231011003852&lt;/_url&gt;&lt;_volume&gt;45&lt;/_volume&gt;&lt;/Details&gt;&lt;Extra&gt;&lt;DBUID&gt;{0DA6E8B8-3A61-49AD-9027-1BB1B3F94C4B}&lt;/DBUID&gt;&lt;/Extra&gt;&lt;/Item&gt;&lt;/References&gt;&lt;/Group&gt;&lt;/Citation&gt;_x000a_"/>
    <w:docVar w:name="NE.Ref{DD319F8D-8857-4357-A88B-0E0573C36741}" w:val=" ADDIN NE.Ref.{DD319F8D-8857-4357-A88B-0E0573C36741}&lt;Citation&gt;&lt;Group&gt;&lt;References&gt;&lt;Item&gt;&lt;ID&gt;1&lt;/ID&gt;&lt;UID&gt;{6B18977D-9777-462E-95F6-D25F3A60E833}&lt;/UID&gt;&lt;Title&gt;“十二五”重点区域大气污染联防联控VOC排放清单和治理技术手册&lt;/Title&gt;&lt;Template&gt;Standard&lt;/Template&gt;&lt;Star&gt;0&lt;/Star&gt;&lt;Tag&gt;0&lt;/Tag&gt;&lt;Author&gt;环境保护部&lt;/Author&gt;&lt;Year&gt;2010&lt;/Year&gt;&lt;Details&gt;&lt;_accessed&gt;60463742&lt;/_accessed&gt;&lt;_created&gt;60463628&lt;/_created&gt;&lt;_modified&gt;60567113&lt;/_modified&gt;&lt;_translated_author&gt;Huan, Jingbaohubu&lt;/_translated_author&gt;&lt;/Details&gt;&lt;Extra&gt;&lt;DBUID&gt;{0DA6E8B8-3A61-49AD-9027-1BB1B3F94C4B}&lt;/DBUID&gt;&lt;/Extra&gt;&lt;/Item&gt;&lt;/References&gt;&lt;/Group&gt;&lt;/Citation&gt;_x000a_"/>
    <w:docVar w:name="NE.Ref{DDA4FC77-2F36-41BA-B1B0-CE60D357C90E}" w:val=" ADDIN NE.Ref.{DDA4FC77-2F36-41BA-B1B0-CE60D357C90E}&lt;Citation&gt;&lt;Group&gt;&lt;References&gt;&lt;Item&gt;&lt;ID&gt;6&lt;/ID&gt;&lt;UID&gt;{C750CAA6-5CD6-4859-85F2-6F0C87C3B30C}&lt;/UID&gt;&lt;Title&gt;广东省集装箱制造行业VOC排放标准研究&lt;/Title&gt;&lt;Template&gt;Report&lt;/Template&gt;&lt;Star&gt;0&lt;/Star&gt;&lt;Tag&gt;0&lt;/Tag&gt;&lt;Author&gt;广东省环境科学研究院&lt;/Author&gt;&lt;Year&gt;2014&lt;/Year&gt;&lt;Details&gt;&lt;_created&gt;60463628&lt;/_created&gt;&lt;_modified&gt;60567113&lt;/_modified&gt;&lt;_place_published&gt;广州&lt;/_place_published&gt;&lt;_translated_author&gt;Guang, Dongshenghuanjingkexueyanjiuyuan&lt;/_translated_author&gt;&lt;/Details&gt;&lt;Extra&gt;&lt;DBUID&gt;{0DA6E8B8-3A61-49AD-9027-1BB1B3F94C4B}&lt;/DBUID&gt;&lt;/Extra&gt;&lt;/Item&gt;&lt;/References&gt;&lt;/Group&gt;&lt;/Citation&gt;_x000a_"/>
    <w:docVar w:name="NE.Ref{DDF5104E-ABB0-4373-BFBB-09B97FDE92D7}" w:val=" ADDIN NE.Ref.{DDF5104E-ABB0-4373-BFBB-09B97FDE92D7}&lt;Citation&gt;&lt;Group&gt;&lt;References&gt;&lt;Item&gt;&lt;ID&gt;7&lt;/ID&gt;&lt;UID&gt;{BD9BF6D2-F5BD-4E52-A587-6BB13834F2D1}&lt;/UID&gt;&lt;Title&gt;空气污染物排放量推估手册&lt;/Title&gt;&lt;Template&gt;Standard&lt;/Template&gt;&lt;Star&gt;0&lt;/Star&gt;&lt;Tag&gt;0&lt;/Tag&gt;&lt;Author&gt;台湾环保署&lt;/Author&gt;&lt;Year&gt;2006&lt;/Year&gt;&lt;Details&gt;&lt;_created&gt;60463628&lt;/_created&gt;&lt;_modified&gt;60464816&lt;/_modified&gt;&lt;_translated_author&gt;Tai, Wanhuanbaoshu&lt;/_translated_author&gt;&lt;/Details&gt;&lt;Extra&gt;&lt;DBUID&gt;{0DA6E8B8-3A61-49AD-9027-1BB1B3F94C4B}&lt;/DBUID&gt;&lt;/Extra&gt;&lt;/Item&gt;&lt;/References&gt;&lt;/Group&gt;&lt;/Citation&gt;_x000a_"/>
    <w:docVar w:name="NE.Ref{DDFD3C08-8B5F-421E-B715-62B3527CF999}" w:val=" ADDIN NE.Ref.{DDFD3C08-8B5F-421E-B715-62B3527CF999}&lt;Citation&gt;&lt;Group&gt;&lt;References&gt;&lt;Item&gt;&lt;ID&gt;134&lt;/ID&gt;&lt;UID&gt;{DF74DC0F-A141-442B-90A7-E8D76A560C78}&lt;/UID&gt;&lt;Title&gt;潮州统计年鉴2015&lt;/Title&gt;&lt;Template&gt;Book&lt;/Template&gt;&lt;Star&gt;0&lt;/Star&gt;&lt;Tag&gt;0&lt;/Tag&gt;&lt;Author&gt;潮州市统计局; 国家统计局潮州调查队&lt;/Author&gt;&lt;Year&gt;2015&lt;/Year&gt;&lt;Details&gt;&lt;_accessed&gt;61293121&lt;/_accessed&gt;&lt;_created&gt;61293121&lt;/_created&gt;&lt;_modified&gt;61293121&lt;/_modified&gt;&lt;_place_published&gt;潮州&lt;/_place_published&gt;&lt;_translated_author&gt;Chao, Zhoushitongjiju;Guo, Jiatongjijuchaozhoudiaochadui&lt;/_translated_author&gt;&lt;/Details&gt;&lt;Extra&gt;&lt;DBUID&gt;{0DA6E8B8-3A61-49AD-9027-1BB1B3F94C4B}&lt;/DBUID&gt;&lt;/Extra&gt;&lt;/Item&gt;&lt;/References&gt;&lt;/Group&gt;&lt;/Citation&gt;_x000a_"/>
    <w:docVar w:name="NE.Ref{DFC4C8FB-EE34-42C9-801D-2DE025A999D5}" w:val=" ADDIN NE.Ref.{DFC4C8FB-EE34-42C9-801D-2DE025A999D5}&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DFE6ED2E-D9A4-46A5-B7F0-2E337A14B32F}" w:val=" ADDIN NE.Ref.{DFE6ED2E-D9A4-46A5-B7F0-2E337A14B32F}&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E0401D8A-B4E1-4850-BA82-FAB6AE2CAE7A}" w:val=" ADDIN NE.Ref.{E0401D8A-B4E1-4850-BA82-FAB6AE2CAE7A}&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E0892641-765B-4F83-A647-173401B711F2}" w:val=" ADDIN NE.Ref.{E0892641-765B-4F83-A647-173401B711F2}&lt;Citation&gt;&lt;Group&gt;&lt;References&gt;&lt;Item&gt;&lt;ID&gt;75&lt;/ID&gt;&lt;UID&gt;{7DD10B3F-A17C-45F0-8587-8B75BF69DBC5}&lt;/UID&gt;&lt;Title&gt;广东农村统计年鉴2013&lt;/Title&gt;&lt;Template&gt;Book&lt;/Template&gt;&lt;Star&gt;0&lt;/Star&gt;&lt;Tag&gt;0&lt;/Tag&gt;&lt;Author&gt;广东农村统计年鉴编辑委员会&lt;/Author&gt;&lt;Year&gt;2013&lt;/Year&gt;&lt;Details&gt;&lt;_accessed&gt;60502165&lt;/_accessed&gt;&lt;_created&gt;60466451&lt;/_created&gt;&lt;_isbn&gt;978-7-5037-7289-4&lt;/_isbn&gt;&lt;_modified&gt;60505295&lt;/_modified&gt;&lt;_place_published&gt;北京&lt;/_place_published&gt;&lt;_publisher&gt;中国统计出版社&lt;/_publisher&gt;&lt;_translated_author&gt;Guang, Dongnongcuntongjinianjianbianjiweiyuanhui&lt;/_translated_author&gt;&lt;/Details&gt;&lt;Extra&gt;&lt;DBUID&gt;{0DA6E8B8-3A61-49AD-9027-1BB1B3F94C4B}&lt;/DBUID&gt;&lt;/Extra&gt;&lt;/Item&gt;&lt;/References&gt;&lt;/Group&gt;&lt;/Citation&gt;_x000a_"/>
    <w:docVar w:name="NE.Ref{E0BA4F38-487F-49B9-AA9D-FD945575CB3B}" w:val=" ADDIN NE.Ref.{E0BA4F38-487F-49B9-AA9D-FD945575CB3B}&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E22965B7-C5BD-4F10-A54F-BE26E2B5E60A}" w:val=" ADDIN NE.Ref.{E22965B7-C5BD-4F10-A54F-BE26E2B5E60A}&lt;Citation&gt;&lt;Group&gt;&lt;References&gt;&lt;Item&gt;&lt;ID&gt;72&lt;/ID&gt;&lt;UID&gt;{7925F399-D529-414C-BF4B-065252241EA8}&lt;/UID&gt;&lt;Title&gt;广东统计年鉴&lt;/Title&gt;&lt;Template&gt;Book&lt;/Template&gt;&lt;Star&gt;0&lt;/Star&gt;&lt;Tag&gt;0&lt;/Tag&gt;&lt;Author&gt;广东省统计局; 国家统计局广东调查总队&lt;/Author&gt;&lt;Year&gt;2013&lt;/Year&gt;&lt;Details&gt;&lt;_accessed&gt;60465096&lt;/_accessed&gt;&lt;_created&gt;60465096&lt;/_created&gt;&lt;_modified&gt;60466472&lt;/_modified&gt;&lt;_place_published&gt;北京&lt;/_place_published&gt;&lt;_publisher&gt;中国统计出版社&lt;/_publisher&gt;&lt;_translated_author&gt;Guang, Dongshengtongjiju;Guo, Jiatongjijuguangdongdiaochazongdui&lt;/_translated_author&gt;&lt;/Details&gt;&lt;Extra&gt;&lt;DBUID&gt;{0DA6E8B8-3A61-49AD-9027-1BB1B3F94C4B}&lt;/DBUID&gt;&lt;/Extra&gt;&lt;/Item&gt;&lt;/References&gt;&lt;/Group&gt;&lt;/Citation&gt;_x000a_"/>
    <w:docVar w:name="NE.Ref{E2C93695-A3AC-4007-8EDC-1FA68C8115D1}" w:val=" ADDIN NE.Ref.{E2C93695-A3AC-4007-8EDC-1FA68C8115D1}&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E2F41EFD-437F-4785-BDAA-218B8B7AE074}" w:val=" ADDIN NE.Ref.{E2F41EFD-437F-4785-BDAA-218B8B7AE074}&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E3CF90F6-E1A5-4D2D-AB47-1FD5BF54C8B6}" w:val=" ADDIN NE.Ref.{E3CF90F6-E1A5-4D2D-AB47-1FD5BF54C8B6}&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E4C5738F-E614-4D49-A3AF-ABFCE1D9BD54}" w:val=" ADDIN NE.Ref.{E4C5738F-E614-4D49-A3AF-ABFCE1D9BD54}&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E5155864-A149-4FBC-8E2B-E9413B0BEACD}" w:val=" ADDIN NE.Ref.{E5155864-A149-4FBC-8E2B-E9413B0BEACD}&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E5469B09-0B5D-4A7B-AED7-2CE1385BB6E7}" w:val=" ADDIN NE.Ref.{E5469B09-0B5D-4A7B-AED7-2CE1385BB6E7}&lt;Citation&gt;&lt;Group&gt;&lt;References&gt;&lt;Item&gt;&lt;ID&gt;1&lt;/ID&gt;&lt;UID&gt;{6B18977D-9777-462E-95F6-D25F3A60E833}&lt;/UID&gt;&lt;Title&gt;“十二五”重点区域大气污染联防联控VOC排放清单和治理技术手册&lt;/Title&gt;&lt;Template&gt;Standard&lt;/Template&gt;&lt;Star&gt;0&lt;/Star&gt;&lt;Tag&gt;0&lt;/Tag&gt;&lt;Author&gt;环境保护部&lt;/Author&gt;&lt;Year&gt;2010&lt;/Year&gt;&lt;Details&gt;&lt;_accessed&gt;60463742&lt;/_accessed&gt;&lt;_created&gt;60463628&lt;/_created&gt;&lt;_modified&gt;60567113&lt;/_modified&gt;&lt;_translated_author&gt;Huan, Jingbaohubu&lt;/_translated_author&gt;&lt;/Details&gt;&lt;Extra&gt;&lt;DBUID&gt;{0DA6E8B8-3A61-49AD-9027-1BB1B3F94C4B}&lt;/DBUID&gt;&lt;/Extra&gt;&lt;/Item&gt;&lt;/References&gt;&lt;/Group&gt;&lt;/Citation&gt;_x000a_"/>
    <w:docVar w:name="NE.Ref{E627DB74-1FD0-40FB-B1EB-59AA4879AF0A}" w:val=" ADDIN NE.Ref.{E627DB74-1FD0-40FB-B1EB-59AA4879AF0A}&lt;Citation&gt;&lt;Group&gt;&lt;References&gt;&lt;Item&gt;&lt;ID&gt;62&lt;/ID&gt;&lt;UID&gt;{A9FA4AB3-3ACB-40F7-BC4F-A4AFC735E087}&lt;/UID&gt;&lt;Title&gt;珠三角地区萜烯化合物排放特征研究&lt;/Title&gt;&lt;Template&gt;Thesis&lt;/Template&gt;&lt;Star&gt;0&lt;/Star&gt;&lt;Tag&gt;0&lt;/Tag&gt;&lt;Author&gt;司徒淑娉&lt;/Author&gt;&lt;Year&gt;2009&lt;/Year&gt;&lt;Details&gt;&lt;_accessed&gt;60464794&lt;/_accessed&gt;&lt;_created&gt;60464794&lt;/_created&gt;&lt;_modified&gt;60613155&lt;/_modified&gt;&lt;_place_published&gt;广州&lt;/_place_published&gt;&lt;_publisher&gt;中山大学&lt;/_publisher&gt;&lt;_translated_author&gt;Si, Tushuping&lt;/_translated_author&gt;&lt;/Details&gt;&lt;Extra&gt;&lt;DBUID&gt;{0DA6E8B8-3A61-49AD-9027-1BB1B3F94C4B}&lt;/DBUID&gt;&lt;/Extra&gt;&lt;/Item&gt;&lt;/References&gt;&lt;/Group&gt;&lt;/Citation&gt;_x000a_"/>
    <w:docVar w:name="NE.Ref{E62CF933-B7F9-47E1-9192-C3D053F8B5BA}" w:val=" ADDIN NE.Ref.{E62CF933-B7F9-47E1-9192-C3D053F8B5BA}&lt;Citation&gt;&lt;Group&gt;&lt;References&gt;&lt;Item&gt;&lt;ID&gt;33&lt;/ID&gt;&lt;UID&gt;{5FDA526C-8181-4664-A26D-DDE83015CC26}&lt;/UID&gt;&lt;Title&gt;汽车道路煤扬尘规律研究&lt;/Title&gt;&lt;Template&gt;Journal Article&lt;/Template&gt;&lt;Star&gt;0&lt;/Star&gt;&lt;Tag&gt;0&lt;/Tag&gt;&lt;Author&gt;朱景韩; 韩健国; 何建国; 俞济清; 韩久端; 楼宇娟&lt;/Author&gt;&lt;Year&gt;1986&lt;/Year&gt;&lt;Details&gt;&lt;_accessed&gt;60463758&lt;/_accessed&gt;&lt;_author_aff&gt;上海港环境保护中心; 武汉水运工程学院; 武汉水运工程学院&lt;/_author_aff&gt;&lt;_created&gt;60463757&lt;/_created&gt;&lt;_journal&gt;交通环保&lt;/_journal&gt;&lt;_keywords&gt;装卸作业; 港口装卸; 过风洞; 预测值; 模拟实验; 作业区; 文通; 地面风速; 粉尘量; 预测公式&lt;/_keywords&gt;&lt;_modified&gt;60463758&lt;/_modified&gt;&lt;_ref_count&gt;3&lt;/_ref_count&gt;&lt;_url&gt;http://www.cnki.net/KCMS/detail/detail.aspx?filename=jthb1986z1010&amp;amp;dbcode=CJFQ&amp;amp;dbname=CJFD8589&lt;/_url&gt;&lt;_translated_author&gt;Zhu, Jinghan;Han, Jianguo;He, Jianguo;Yu, Jiqing;Han, Jiuduan;Lou, Yujuan&lt;/_translated_author&gt;&lt;/Details&gt;&lt;Extra&gt;&lt;DBUID&gt;{0DA6E8B8-3A61-49AD-9027-1BB1B3F94C4B}&lt;/DBUID&gt;&lt;/Extra&gt;&lt;/Item&gt;&lt;/References&gt;&lt;/Group&gt;&lt;/Citation&gt;_x000a_"/>
    <w:docVar w:name="NE.Ref{E63E81D7-C07E-4FC5-8132-F818754C11EC}" w:val=" ADDIN NE.Ref.{E63E81D7-C07E-4FC5-8132-F818754C11EC}&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E6E430B3-8652-4646-882F-CC27AE684871}" w:val=" ADDIN NE.Ref.{E6E430B3-8652-4646-882F-CC27AE684871}&lt;Citation&gt;&lt;Group&gt;&lt;References&gt;&lt;Item&gt;&lt;ID&gt;3&lt;/ID&gt;&lt;UID&gt;{415C0B6A-71B5-4651-B803-42EB584B8276}&lt;/UID&gt;&lt;Title&gt;大气可吸入颗粒物一次源排放清单编制技术指南（试行）&lt;/Title&gt;&lt;Template&gt;Standard&lt;/Template&gt;&lt;Star&gt;0&lt;/Star&gt;&lt;Tag&gt;0&lt;/Tag&gt;&lt;Author&gt;环境保护部&lt;/Author&gt;&lt;Year&gt;2014&lt;/Year&gt;&lt;Details&gt;&lt;_accessed&gt;60544403&lt;/_accessed&gt;&lt;_created&gt;60463628&lt;/_created&gt;&lt;_modified&gt;60464816&lt;/_modified&gt;&lt;_translated_author&gt;Huan, Jingbaohubu&lt;/_translated_author&gt;&lt;/Details&gt;&lt;Extra&gt;&lt;DBUID&gt;{0DA6E8B8-3A61-49AD-9027-1BB1B3F94C4B}&lt;/DBUID&gt;&lt;/Extra&gt;&lt;/Item&gt;&lt;/References&gt;&lt;/Group&gt;&lt;Group&gt;&lt;References&gt;&lt;Item&gt;&lt;ID&gt;4&lt;/ID&gt;&lt;UID&gt;{E57F084E-0472-493F-A584-41A59FE7A954}&lt;/UID&gt;&lt;Title&gt;大气细颗粒物一次源排放清单编制技术指南（试行）&lt;/Title&gt;&lt;Template&gt;Standard&lt;/Template&gt;&lt;Star&gt;0&lt;/Star&gt;&lt;Tag&gt;0&lt;/Tag&gt;&lt;Author&gt;环境保护部&lt;/Author&gt;&lt;Year&gt;2014&lt;/Year&gt;&lt;Details&gt;&lt;_created&gt;60463628&lt;/_created&gt;&lt;_modified&gt;60465005&lt;/_modified&gt;&lt;_translated_author&gt;Huan, Jingbaohubu&lt;/_translated_author&gt;&lt;/Details&gt;&lt;Extra&gt;&lt;DBUID&gt;{0DA6E8B8-3A61-49AD-9027-1BB1B3F94C4B}&lt;/DBUID&gt;&lt;/Extra&gt;&lt;/Item&gt;&lt;/References&gt;&lt;/Group&gt;&lt;/Citation&gt;_x000a_"/>
    <w:docVar w:name="NE.Ref{E73106DC-7EC9-4018-B706-6A23C7E3A8A7}" w:val=" ADDIN NE.Ref.{E73106DC-7EC9-4018-B706-6A23C7E3A8A7}&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E7FBE97F-68AF-4C2D-87C2-95413B13A351}" w:val=" ADDIN NE.Ref.{E7FBE97F-68AF-4C2D-87C2-95413B13A351}&lt;Citation&gt;&lt;Group&gt;&lt;References&gt;&lt;Item&gt;&lt;ID&gt;80&lt;/ID&gt;&lt;UID&gt;{64C5E12E-9E33-400F-8DDC-CCBB31ECFE19}&lt;/UID&gt;&lt;Title&gt;中国涂料工业年鉴2012&lt;/Title&gt;&lt;Template&gt;Book&lt;/Template&gt;&lt;Star&gt;0&lt;/Star&gt;&lt;Tag&gt;0&lt;/Tag&gt;&lt;Author&gt;中国涂料工业协会&lt;/Author&gt;&lt;Year&gt;2012&lt;/Year&gt;&lt;Details&gt;&lt;_created&gt;60501151&lt;/_created&gt;&lt;_modified&gt;60501152&lt;/_modified&gt;&lt;_accessed&gt;60501172&lt;/_accessed&gt;&lt;_translated_author&gt;Zhong, Guotuliaogongyexiehui&lt;/_translated_author&gt;&lt;/Details&gt;&lt;Extra&gt;&lt;DBUID&gt;{0DA6E8B8-3A61-49AD-9027-1BB1B3F94C4B}&lt;/DBUID&gt;&lt;/Extra&gt;&lt;/Item&gt;&lt;/References&gt;&lt;/Group&gt;&lt;/Citation&gt;_x000a_"/>
    <w:docVar w:name="NE.Ref{E8386247-19AB-41C5-9C15-F81187319632}" w:val=" ADDIN NE.Ref.{E8386247-19AB-41C5-9C15-F81187319632}&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EA677A3A-C5D4-46A0-99EC-E61883696486}" w:val=" ADDIN NE.Ref.{EA677A3A-C5D4-46A0-99EC-E61883696486}&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EA8FED2A-08B9-422D-9715-3CF6D6F4B1DF}" w:val=" ADDIN NE.Ref.{EA8FED2A-08B9-422D-9715-3CF6D6F4B1DF}&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EAA74743-28D9-43CC-9F16-5D322682E9D1}" w:val=" ADDIN NE.Ref.{EAA74743-28D9-43CC-9F16-5D322682E9D1}&lt;Citation&gt;&lt;Group&gt;&lt;References&gt;&lt;Item&gt;&lt;ID&gt;77&lt;/ID&gt;&lt;UID&gt;{307BD7D1-0C2D-440B-A6AC-A67984718E31}&lt;/UID&gt;&lt;Title&gt;中国多尺度排放清单模型 (Multi-resolution Emission Inventory for China)&lt;/Title&gt;&lt;Template&gt;Web Page&lt;/Template&gt;&lt;Star&gt;0&lt;/Star&gt;&lt;Tag&gt;0&lt;/Tag&gt;&lt;Author&gt;清华大学&lt;/Author&gt;&lt;Year&gt;2012&lt;/Year&gt;&lt;Details&gt;&lt;_accessed&gt;60492224&lt;/_accessed&gt;&lt;_created&gt;60492222&lt;/_created&gt;&lt;_modified&gt;60505295&lt;/_modified&gt;&lt;_url&gt;http://www.meicmodel.org/&lt;/_url&gt;&lt;_translated_author&gt;Qing, Huadaxue&lt;/_translated_author&gt;&lt;/Details&gt;&lt;Extra&gt;&lt;DBUID&gt;{0DA6E8B8-3A61-49AD-9027-1BB1B3F94C4B}&lt;/DBUID&gt;&lt;/Extra&gt;&lt;/Item&gt;&lt;/References&gt;&lt;/Group&gt;&lt;/Citation&gt;_x000a_"/>
    <w:docVar w:name="NE.Ref{EAFF03CE-D09E-4CBE-B0F8-D28E00C8F2B1}" w:val=" ADDIN NE.Ref.{EAFF03CE-D09E-4CBE-B0F8-D28E00C8F2B1}&lt;Citation&gt;&lt;Group&gt;&lt;References&gt;&lt;Item&gt;&lt;ID&gt;28&lt;/ID&gt;&lt;UID&gt;{6F2D9302-FDAD-4171-BDA1-B4B5B67E9C12}&lt;/UID&gt;&lt;Title&gt;北京铺装道路交通扬尘排放规律研究&lt;/Title&gt;&lt;Template&gt;Journal Article&lt;/Template&gt;&lt;Star&gt;0&lt;/Star&gt;&lt;Tag&gt;0&lt;/Tag&gt;&lt;Author&gt;樊守彬; 田刚; 李钢; 邵霞&lt;/Author&gt;&lt;Year&gt;2007&lt;/Year&gt;&lt;Details&gt;&lt;_accessed&gt;60463746&lt;/_accessed&gt;&lt;_author_aff&gt;北京市环境保护科学研究院; 北京市环境保护科学研究院 北京100037; 北京100037&lt;/_author_aff&gt;&lt;_cate&gt;X513&lt;/_cate&gt;&lt;_cited_count&gt;10&lt;/_cited_count&gt;&lt;_created&gt;60463746&lt;/_created&gt;&lt;_funding&gt;北京市科技计划项目(H030630540430);国家科技基础性工作和社会公益研究专项(2003DEB5J059)&lt;/_funding&gt;&lt;_issue&gt;10&lt;/_issue&gt;&lt;_journal&gt;环境科学&lt;/_journal&gt;&lt;_keywords&gt;交通扬尘; 尘负荷; 排放因子; 铺装道路&lt;/_keywords&gt;&lt;_modified&gt;60463746&lt;/_modified&gt;&lt;_ref_count&gt;27&lt;/_ref_count&gt;&lt;_translated_author&gt;FAN, Shou-bin; TIAN, Gang; LI, Gang; SHAO, Xia&lt;/_translated_author&gt;&lt;_url&gt;http://www.cnki.net/KCMS/detail/detail.aspx?filename=hjkz200710043&amp;amp;dbcode=CJFQ&amp;amp;dbname=CJFD2007&lt;/_url&gt;&lt;/Details&gt;&lt;Extra&gt;&lt;DBUID&gt;{0DA6E8B8-3A61-49AD-9027-1BB1B3F94C4B}&lt;/DBUID&gt;&lt;/Extra&gt;&lt;/Item&gt;&lt;/References&gt;&lt;/Group&gt;&lt;/Citation&gt;_x000a_"/>
    <w:docVar w:name="NE.Ref{EB2FEF88-0528-478B-B49C-A3B0149A82E7}" w:val=" ADDIN NE.Ref.{EB2FEF88-0528-478B-B49C-A3B0149A82E7}&lt;Citation&gt;&lt;Group&gt;&lt;References&gt;&lt;Item&gt;&lt;ID&gt;8&lt;/ID&gt;&lt;UID&gt;{DAE5546E-C958-48C7-AC41-B4DEA2FF5516}&lt;/UID&gt;&lt;Title&gt;深圳市挥发性有机物（VOC）排放重点行业调研报告&lt;/Title&gt;&lt;Template&gt;Report&lt;/Template&gt;&lt;Star&gt;0&lt;/Star&gt;&lt;Tag&gt;0&lt;/Tag&gt;&lt;Author&gt;北京大学&lt;/Author&gt;&lt;Year&gt;2010&lt;/Year&gt;&lt;Details&gt;&lt;_created&gt;60463628&lt;/_created&gt;&lt;_modified&gt;60463628&lt;/_modified&gt;&lt;_place_published&gt;北京&lt;/_place_published&gt;&lt;_translated_author&gt;Bei, Jingdaxue&lt;/_translated_author&gt;&lt;/Details&gt;&lt;Extra&gt;&lt;DBUID&gt;{0DA6E8B8-3A61-49AD-9027-1BB1B3F94C4B}&lt;/DBUID&gt;&lt;/Extra&gt;&lt;/Item&gt;&lt;/References&gt;&lt;/Group&gt;&lt;/Citation&gt;_x000a_"/>
    <w:docVar w:name="NE.Ref{EBC2BC78-B580-4673-BEF2-3AA86D173FD9}" w:val=" ADDIN NE.Ref.{EBC2BC78-B580-4673-BEF2-3AA86D173FD9}&lt;Citation&gt;&lt;Group&gt;&lt;References&gt;&lt;Item&gt;&lt;ID&gt;7&lt;/ID&gt;&lt;UID&gt;{BD9BF6D2-F5BD-4E52-A587-6BB13834F2D1}&lt;/UID&gt;&lt;Title&gt;空气污染物排放量推估手册&lt;/Title&gt;&lt;Template&gt;Standard&lt;/Template&gt;&lt;Star&gt;0&lt;/Star&gt;&lt;Tag&gt;0&lt;/Tag&gt;&lt;Author&gt;台湾环保署&lt;/Author&gt;&lt;Year&gt;2006&lt;/Year&gt;&lt;Details&gt;&lt;_created&gt;60463628&lt;/_created&gt;&lt;_modified&gt;60464816&lt;/_modified&gt;&lt;_translated_author&gt;Tai, Wanhuanbaoshu&lt;/_translated_author&gt;&lt;/Details&gt;&lt;Extra&gt;&lt;DBUID&gt;{0DA6E8B8-3A61-49AD-9027-1BB1B3F94C4B}&lt;/DBUID&gt;&lt;/Extra&gt;&lt;/Item&gt;&lt;/References&gt;&lt;/Group&gt;&lt;/Citation&gt;_x000a_"/>
    <w:docVar w:name="NE.Ref{EBD2F763-68BF-4D65-B63C-4067DCAD2D94}" w:val=" ADDIN NE.Ref.{EBD2F763-68BF-4D65-B63C-4067DCAD2D94}&lt;Citation&gt;&lt;Group&gt;&lt;References&gt;&lt;Item&gt;&lt;ID&gt;134&lt;/ID&gt;&lt;UID&gt;{DF74DC0F-A141-442B-90A7-E8D76A560C78}&lt;/UID&gt;&lt;Title&gt;潮州统计年鉴2015&lt;/Title&gt;&lt;Template&gt;Book&lt;/Template&gt;&lt;Star&gt;0&lt;/Star&gt;&lt;Tag&gt;0&lt;/Tag&gt;&lt;Author&gt;潮州市统计局; 国家统计局潮州调查队&lt;/Author&gt;&lt;Year&gt;2015&lt;/Year&gt;&lt;Details&gt;&lt;_accessed&gt;61293121&lt;/_accessed&gt;&lt;_created&gt;61293121&lt;/_created&gt;&lt;_modified&gt;61293121&lt;/_modified&gt;&lt;_place_published&gt;潮州&lt;/_place_published&gt;&lt;_translated_author&gt;Chao, Zhoushitongjiju;Guo, Jiatongjijuchaozhoudiaochadui&lt;/_translated_author&gt;&lt;/Details&gt;&lt;Extra&gt;&lt;DBUID&gt;{0DA6E8B8-3A61-49AD-9027-1BB1B3F94C4B}&lt;/DBUID&gt;&lt;/Extra&gt;&lt;/Item&gt;&lt;/References&gt;&lt;/Group&gt;&lt;/Citation&gt;_x000a_"/>
    <w:docVar w:name="NE.Ref{EC218B9F-B16D-4F6C-A7AA-CC46F1F959B5}" w:val=" ADDIN NE.Ref.{EC218B9F-B16D-4F6C-A7AA-CC46F1F959B5}&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EC8D5C5D-EA71-4683-A419-4AAA5CF65402}" w:val=" ADDIN NE.Ref.{EC8D5C5D-EA71-4683-A419-4AAA5CF65402}&lt;Citation&gt;&lt;Group&gt;&lt;References&gt;&lt;Item&gt;&lt;ID&gt;94&lt;/ID&gt;&lt;UID&gt;{C3CB12B5-8832-4ACE-B409-0E638D0C2A11}&lt;/UID&gt;&lt;Title&gt;2012年全国机场生产统计公报&lt;/Title&gt;&lt;Template&gt;Web Page&lt;/Template&gt;&lt;Star&gt;0&lt;/Star&gt;&lt;Tag&gt;0&lt;/Tag&gt;&lt;Author&gt;中国民航局&lt;/Author&gt;&lt;Year&gt;2012&lt;/Year&gt;&lt;Details&gt;&lt;_accessed&gt;60502536&lt;/_accessed&gt;&lt;_created&gt;60502536&lt;/_created&gt;&lt;_modified&gt;60502536&lt;/_modified&gt;&lt;_url&gt;http://www.caac.gov.cn&lt;/_url&gt;&lt;_translated_author&gt;Zhong, Guominhangju&lt;/_translated_author&gt;&lt;/Details&gt;&lt;Extra&gt;&lt;DBUID&gt;{0DA6E8B8-3A61-49AD-9027-1BB1B3F94C4B}&lt;/DBUID&gt;&lt;/Extra&gt;&lt;/Item&gt;&lt;/References&gt;&lt;/Group&gt;&lt;/Citation&gt;_x000a_"/>
    <w:docVar w:name="NE.Ref{ED8F556C-A18F-4EA2-A49B-C5C6A50057AA}" w:val=" ADDIN NE.Ref.{ED8F556C-A18F-4EA2-A49B-C5C6A50057AA}&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EE23E2C5-E5E2-4524-A5F4-93A0BBF290E1}" w:val=" ADDIN NE.Ref.{EE23E2C5-E5E2-4524-A5F4-93A0BBF290E1}&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EE5C1090-D870-44C6-9D6D-5964DF029965}" w:val=" ADDIN NE.Ref.{EE5C1090-D870-44C6-9D6D-5964DF029965}&lt;Citation&gt;&lt;Group&gt;&lt;References&gt;&lt;Item&gt;&lt;ID&gt;135&lt;/ID&gt;&lt;UID&gt;{20A0F6D8-EE2A-4DFD-9906-0081D1FDABC1}&lt;/UID&gt;&lt;Title&gt;珠江三角洲大气排放源清单与时空分配模型建立&lt;/Title&gt;&lt;Template&gt;Journal Article&lt;/Template&gt;&lt;Star&gt;0&lt;/Star&gt;&lt;Tag&gt;0&lt;/Tag&gt;&lt;Author&gt;杨柳林; 曾武涛; 张永波; 刘乙敏; 廖程浩; 甘云霞; 邓雪娇&lt;/Author&gt;&lt;Year&gt;2015&lt;/Year&gt;&lt;Details&gt;&lt;_collection_scope&gt;中国科技核心期刊;中文核心期刊;CSCD;EI;&lt;/_collection_scope&gt;&lt;_created&gt;61293126&lt;/_created&gt;&lt;_issue&gt;12&lt;/_issue&gt;&lt;_journal&gt;中国环境科学&lt;/_journal&gt;&lt;_modified&gt;61293126&lt;/_modified&gt;&lt;_pages&gt;3521-3534&lt;/_pages&gt;&lt;_volume&gt;35&lt;/_volume&gt;&lt;_translated_author&gt;Yang, Liulin;Ceng, Wutao;Zhang, Yongbo;Liu, Yimin;Liao, Chenghao;Gan, Yunxia;Deng, Xuejiao&lt;/_translated_author&gt;&lt;/Details&gt;&lt;Extra&gt;&lt;DBUID&gt;{0DA6E8B8-3A61-49AD-9027-1BB1B3F94C4B}&lt;/DBUID&gt;&lt;/Extra&gt;&lt;/Item&gt;&lt;/References&gt;&lt;/Group&gt;&lt;/Citation&gt;_x000a_"/>
    <w:docVar w:name="NE.Ref{EE95EC0E-D0D3-48AC-B915-D676290C688C}" w:val=" ADDIN NE.Ref.{EE95EC0E-D0D3-48AC-B915-D676290C688C}&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EECBCE8D-F411-4742-95D9-1B0644CE618D}" w:val=" ADDIN NE.Ref.{EECBCE8D-F411-4742-95D9-1B0644CE618D}&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EECDB012-D2B8-4897-8834-A61318230D47}" w:val=" ADDIN NE.Ref.{EECDB012-D2B8-4897-8834-A61318230D47}&lt;Citation&gt;&lt;Group&gt;&lt;References&gt;&lt;Item&gt;&lt;ID&gt;7&lt;/ID&gt;&lt;UID&gt;{BD9BF6D2-F5BD-4E52-A587-6BB13834F2D1}&lt;/UID&gt;&lt;Title&gt;空气污染物排放量推估手册&lt;/Title&gt;&lt;Template&gt;Standard&lt;/Template&gt;&lt;Star&gt;0&lt;/Star&gt;&lt;Tag&gt;0&lt;/Tag&gt;&lt;Author&gt;台湾环保署&lt;/Author&gt;&lt;Year&gt;2006&lt;/Year&gt;&lt;Details&gt;&lt;_created&gt;60463628&lt;/_created&gt;&lt;_modified&gt;60464816&lt;/_modified&gt;&lt;_translated_author&gt;Tai, Wanhuanbaoshu&lt;/_translated_author&gt;&lt;/Details&gt;&lt;Extra&gt;&lt;DBUID&gt;{0DA6E8B8-3A61-49AD-9027-1BB1B3F94C4B}&lt;/DBUID&gt;&lt;/Extra&gt;&lt;/Item&gt;&lt;/References&gt;&lt;/Group&gt;&lt;/Citation&gt;_x000a_"/>
    <w:docVar w:name="NE.Ref{EF5562E8-F823-4D61-87D2-59FA8CBCCC7B}" w:val=" ADDIN NE.Ref.{EF5562E8-F823-4D61-87D2-59FA8CBCCC7B}&lt;Citation&gt;&lt;Group&gt;&lt;References&gt;&lt;Item&gt;&lt;ID&gt;75&lt;/ID&gt;&lt;UID&gt;{7DD10B3F-A17C-45F0-8587-8B75BF69DBC5}&lt;/UID&gt;&lt;Title&gt;广东农村统计年鉴2013&lt;/Title&gt;&lt;Template&gt;Book&lt;/Template&gt;&lt;Star&gt;0&lt;/Star&gt;&lt;Tag&gt;0&lt;/Tag&gt;&lt;Author&gt;广东农村统计年鉴编辑委员会&lt;/Author&gt;&lt;Year&gt;2013&lt;/Year&gt;&lt;Details&gt;&lt;_accessed&gt;60502165&lt;/_accessed&gt;&lt;_created&gt;60466451&lt;/_created&gt;&lt;_isbn&gt;978-7-5037-7289-4&lt;/_isbn&gt;&lt;_modified&gt;60505295&lt;/_modified&gt;&lt;_place_published&gt;北京&lt;/_place_published&gt;&lt;_publisher&gt;中国统计出版社&lt;/_publisher&gt;&lt;_translated_author&gt;Guang, Dongnongcuntongjinianjianbianjiweiyuanhui&lt;/_translated_author&gt;&lt;/Details&gt;&lt;Extra&gt;&lt;DBUID&gt;{0DA6E8B8-3A61-49AD-9027-1BB1B3F94C4B}&lt;/DBUID&gt;&lt;/Extra&gt;&lt;/Item&gt;&lt;/References&gt;&lt;/Group&gt;&lt;/Citation&gt;_x000a_"/>
    <w:docVar w:name="NE.Ref{EFA21054-3E6E-4AAC-9ACA-EAC825EC8524}" w:val=" ADDIN NE.Ref.{EFA21054-3E6E-4AAC-9ACA-EAC825EC8524}&lt;Citation&gt;&lt;Group&gt;&lt;References&gt;&lt;Item&gt;&lt;ID&gt;5&lt;/ID&gt;&lt;UID&gt;{8A149BFB-154D-4002-B24F-A6F8E4764C60}&lt;/UID&gt;&lt;Title&gt;广东省工业源VOC排放系数研究报告&lt;/Title&gt;&lt;Template&gt;Report&lt;/Template&gt;&lt;Star&gt;0&lt;/Star&gt;&lt;Tag&gt;0&lt;/Tag&gt;&lt;Author&gt;广东省环境保护厅&lt;/Author&gt;&lt;Year&gt;2013&lt;/Year&gt;&lt;Details&gt;&lt;_created&gt;60463628&lt;/_created&gt;&lt;_modified&gt;60567113&lt;/_modified&gt;&lt;_place_published&gt;广州&lt;/_place_published&gt;&lt;_translated_author&gt;Guang, Dongshenghuanjingbaohuting&lt;/_translated_author&gt;&lt;/Details&gt;&lt;Extra&gt;&lt;DBUID&gt;{0DA6E8B8-3A61-49AD-9027-1BB1B3F94C4B}&lt;/DBUID&gt;&lt;/Extra&gt;&lt;/Item&gt;&lt;/References&gt;&lt;/Group&gt;&lt;/Citation&gt;_x000a_"/>
    <w:docVar w:name="NE.Ref{EFA56E9A-6E4D-478B-8B3C-17A8AB5294D4}" w:val=" ADDIN NE.Ref.{EFA56E9A-6E4D-478B-8B3C-17A8AB5294D4}&lt;Citation&gt;&lt;Group&gt;&lt;References&gt;&lt;Item&gt;&lt;ID&gt;34&lt;/ID&gt;&lt;UID&gt;{0D5424B0-F625-4ACA-A2DB-E453B609E9BB}&lt;/UID&gt;&lt;Title&gt;农业机械分类(NY/T 1640-2008)&lt;/Title&gt;&lt;Template&gt;Standard&lt;/Template&gt;&lt;Star&gt;0&lt;/Star&gt;&lt;Tag&gt;0&lt;/Tag&gt;&lt;Author&gt;农业部&lt;/Author&gt;&lt;Year&gt;2008&lt;/Year&gt;&lt;Details&gt;&lt;_accessed&gt;60463763&lt;/_accessed&gt;&lt;_created&gt;60463763&lt;/_created&gt;&lt;_modified&gt;60464817&lt;/_modified&gt;&lt;_translated_author&gt;Nong, Yebu&lt;/_translated_author&gt;&lt;/Details&gt;&lt;Extra&gt;&lt;DBUID&gt;{0DA6E8B8-3A61-49AD-9027-1BB1B3F94C4B}&lt;/DBUID&gt;&lt;/Extra&gt;&lt;/Item&gt;&lt;/References&gt;&lt;/Group&gt;&lt;Group&gt;&lt;References&gt;&lt;Item&gt;&lt;ID&gt;35&lt;/ID&gt;&lt;UID&gt;{6584CCD9-9C26-41AC-98BF-18044F1E3F25}&lt;/UID&gt;&lt;Title&gt;农业机械化管理统计报表制度&lt;/Title&gt;&lt;Template&gt;Standard&lt;/Template&gt;&lt;Star&gt;0&lt;/Star&gt;&lt;Tag&gt;0&lt;/Tag&gt;&lt;Author&gt;农业部&lt;/Author&gt;&lt;Year&gt;2008&lt;/Year&gt;&lt;Details&gt;&lt;_accessed&gt;60463764&lt;/_accessed&gt;&lt;_created&gt;60463764&lt;/_created&gt;&lt;_modified&gt;60464817&lt;/_modified&gt;&lt;_translated_author&gt;Nong, Yebu&lt;/_translated_author&gt;&lt;/Details&gt;&lt;Extra&gt;&lt;DBUID&gt;{0DA6E8B8-3A61-49AD-9027-1BB1B3F94C4B}&lt;/DBUID&gt;&lt;/Extra&gt;&lt;/Item&gt;&lt;/References&gt;&lt;/Group&gt;&lt;/Citation&gt;_x000a_"/>
    <w:docVar w:name="NE.Ref{EFC4ACC5-43C8-4232-ABF1-35F0349526CA}" w:val=" ADDIN NE.Ref.{EFC4ACC5-43C8-4232-ABF1-35F0349526CA}&lt;Citation&gt;&lt;Group&gt;&lt;References&gt;&lt;Item&gt;&lt;ID&gt;1&lt;/ID&gt;&lt;UID&gt;{6B18977D-9777-462E-95F6-D25F3A60E833}&lt;/UID&gt;&lt;Title&gt;“十二五”重点区域大气污染联防联控VOCs排放清单和治理技术手册&lt;/Title&gt;&lt;Template&gt;Standard&lt;/Template&gt;&lt;Star&gt;0&lt;/Star&gt;&lt;Tag&gt;0&lt;/Tag&gt;&lt;Author&gt;环境保护部&lt;/Author&gt;&lt;Year&gt;2010&lt;/Year&gt;&lt;Details&gt;&lt;_accessed&gt;60463742&lt;/_accessed&gt;&lt;_created&gt;60463628&lt;/_created&gt;&lt;_modified&gt;60464815&lt;/_modified&gt;&lt;_translated_author&gt;Huan, Jingbaohubu&lt;/_translated_author&gt;&lt;/Details&gt;&lt;Extra&gt;&lt;DBUID&gt;{0DA6E8B8-3A61-49AD-9027-1BB1B3F94C4B}&lt;/DBUID&gt;&lt;/Extra&gt;&lt;/Item&gt;&lt;/References&gt;&lt;/Group&gt;&lt;/Citation&gt;_x000a_"/>
    <w:docVar w:name="NE.Ref{F0034A18-B41D-4161-BC49-31792B753818}" w:val=" ADDIN NE.Ref.{F0034A18-B41D-4161-BC49-31792B753818}&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F017671F-9D3F-4329-B7B9-E2B961273753}" w:val=" ADDIN NE.Ref.{F017671F-9D3F-4329-B7B9-E2B961273753}&lt;Citation&gt;&lt;Group&gt;&lt;References&gt;&lt;Item&gt;&lt;ID&gt;72&lt;/ID&gt;&lt;UID&gt;{7925F399-D529-414C-BF4B-065252241EA8}&lt;/UID&gt;&lt;Title&gt;广东统计年鉴&lt;/Title&gt;&lt;Template&gt;Book&lt;/Template&gt;&lt;Star&gt;0&lt;/Star&gt;&lt;Tag&gt;0&lt;/Tag&gt;&lt;Author&gt;广东省统计局; 国家统计局广东调查总队&lt;/Author&gt;&lt;Year&gt;2013&lt;/Year&gt;&lt;Details&gt;&lt;_accessed&gt;60465096&lt;/_accessed&gt;&lt;_created&gt;60465096&lt;/_created&gt;&lt;_modified&gt;60466472&lt;/_modified&gt;&lt;_place_published&gt;北京&lt;/_place_published&gt;&lt;_publisher&gt;中国统计出版社&lt;/_publisher&gt;&lt;_translated_author&gt;Guang, Dongshengtongjiju;Guo, Jiatongjijuguangdongdiaochazongdui&lt;/_translated_author&gt;&lt;/Details&gt;&lt;Extra&gt;&lt;DBUID&gt;{0DA6E8B8-3A61-49AD-9027-1BB1B3F94C4B}&lt;/DBUID&gt;&lt;/Extra&gt;&lt;/Item&gt;&lt;/References&gt;&lt;/Group&gt;&lt;/Citation&gt;_x000a_"/>
    <w:docVar w:name="NE.Ref{F0976C92-25E6-47C6-B031-A8324935CC94}" w:val=" ADDIN NE.Ref.{F0976C92-25E6-47C6-B031-A8324935CC94}&lt;Citation&gt;&lt;Group&gt;&lt;References&gt;&lt;Item&gt;&lt;ID&gt;3&lt;/ID&gt;&lt;UID&gt;{415C0B6A-71B5-4651-B803-42EB584B8276}&lt;/UID&gt;&lt;Title&gt;大气可吸入颗粒物一次源排放清单编制技术指南（试行）&lt;/Title&gt;&lt;Template&gt;Standard&lt;/Template&gt;&lt;Star&gt;0&lt;/Star&gt;&lt;Tag&gt;0&lt;/Tag&gt;&lt;Author&gt;环境保护部&lt;/Author&gt;&lt;Year&gt;2014&lt;/Year&gt;&lt;Details&gt;&lt;_accessed&gt;60544403&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F0AA0561-D9F9-426B-8719-BD6CD6B07860}" w:val=" ADDIN NE.Ref.{F0AA0561-D9F9-426B-8719-BD6CD6B07860}&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F135B1FB-4A82-4246-863F-E5A353B464A8}" w:val=" ADDIN NE.Ref.{F135B1FB-4A82-4246-863F-E5A353B464A8}&lt;Citation&gt;&lt;Group&gt;&lt;References&gt;&lt;Item&gt;&lt;ID&gt;48&lt;/ID&gt;&lt;UID&gt;{34FB6A5D-6933-4D72-97BD-75F4D53D4C3A}&lt;/UID&gt;&lt;Title&gt;Compilation of Air Pollutant Emission Factors, Volume 1: Stationary Point and Area Sources, Fifth Edition, AP-42.&lt;/Title&gt;&lt;Template&gt;Electronic Source&lt;/Template&gt;&lt;Star&gt;0&lt;/Star&gt;&lt;Tag&gt;0&lt;/Tag&gt;&lt;Author&gt;USEPA&lt;/Author&gt;&lt;Year&gt;1995&lt;/Year&gt;&lt;Details&gt;&lt;_accessed&gt;60464757&lt;/_accessed&gt;&lt;_created&gt;60464757&lt;/_created&gt;&lt;_modified&gt;60464831&lt;/_modified&gt;&lt;/Details&gt;&lt;Extra&gt;&lt;DBUID&gt;{0DA6E8B8-3A61-49AD-9027-1BB1B3F94C4B}&lt;/DBUID&gt;&lt;/Extra&gt;&lt;/Item&gt;&lt;/References&gt;&lt;/Group&gt;&lt;/Citation&gt;_x000a_"/>
    <w:docVar w:name="NE.Ref{F2356740-6B81-4B00-B4AC-0615FC089DD7}" w:val=" ADDIN NE.Ref.{F2356740-6B81-4B00-B4AC-0615FC089DD7}&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F2BC315A-DA54-48D0-A1C2-39EAFBCEDC82}" w:val=" ADDIN NE.Ref.{F2BC315A-DA54-48D0-A1C2-39EAFBCEDC82}&lt;Citation&gt;&lt;Group&gt;&lt;References&gt;&lt;Item&gt;&lt;ID&gt;25&lt;/ID&gt;&lt;UID&gt;{ECA6114B-06D3-472D-8E3B-4925073F2E9F}&lt;/UID&gt;&lt;Title&gt;防治城市扬尘污染技术规范（HJ/T 393-2007）&lt;/Title&gt;&lt;Template&gt;Standard&lt;/Template&gt;&lt;Star&gt;0&lt;/Star&gt;&lt;Tag&gt;0&lt;/Tag&gt;&lt;Author&gt;环境保护部&lt;/Author&gt;&lt;Year&gt;2007&lt;/Year&gt;&lt;Details&gt;&lt;_accessed&gt;60463745&lt;/_accessed&gt;&lt;_created&gt;60463726&lt;/_created&gt;&lt;_modified&gt;60464816&lt;/_modified&gt;&lt;_translated_author&gt;Huan, Jingbaohubu&lt;/_translated_author&gt;&lt;/Details&gt;&lt;Extra&gt;&lt;DBUID&gt;{0DA6E8B8-3A61-49AD-9027-1BB1B3F94C4B}&lt;/DBUID&gt;&lt;/Extra&gt;&lt;/Item&gt;&lt;/References&gt;&lt;/Group&gt;&lt;/Citation&gt;_x000a_"/>
    <w:docVar w:name="NE.Ref{F3125373-9D1D-44C4-91F3-F0424DCCB5B7}" w:val=" ADDIN NE.Ref.{F3125373-9D1D-44C4-91F3-F0424DCCB5B7}&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F42A2386-50EE-46E0-8B0D-0942D8CC66BA}" w:val=" ADDIN NE.Ref.{F42A2386-50EE-46E0-8B0D-0942D8CC66BA}&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F4505313-48B6-459D-94C2-9C5D444B3D63}" w:val=" ADDIN NE.Ref.{F4505313-48B6-459D-94C2-9C5D444B3D63}&lt;Citation&gt;&lt;Group&gt;&lt;References&gt;&lt;Item&gt;&lt;ID&gt;40&lt;/ID&gt;&lt;UID&gt;{EFEA3AF8-3FB8-499A-97EA-E41E3D4FB58E}&lt;/UID&gt;&lt;Title&gt;Particulate and Trace Gas Emissions from Open Burning of Wheat Straw and Corn Stover in China&lt;/Title&gt;&lt;Template&gt;Journal Article&lt;/Template&gt;&lt;Star&gt;0&lt;/Star&gt;&lt;Tag&gt;0&lt;/Tag&gt;&lt;Author&gt;LI, XINGHUA; WANG, SHUXIAO; DUAN, LEI&lt;/Author&gt;&lt;Year&gt;2007&lt;/Year&gt;&lt;Details&gt;&lt;_accessed&gt;60464700&lt;/_accessed&gt;&lt;_author_adr&gt;Department of Environmental Science and Engineering,Tsinghua University,Beijing 100084,P.R.China&lt;/_author_adr&gt;&lt;_created&gt;60464697&lt;/_created&gt;&lt;_db_provider&gt;北京万方数据股份有限公司&lt;/_db_provider&gt;&lt;_doi&gt;10.1021/es0705137&lt;/_doi&gt;&lt;_isbn&gt;0013-936X&lt;/_isbn&gt;&lt;_issue&gt;17&lt;/_issue&gt;&lt;_journal&gt;Environmental Science &amp;amp; Technology&lt;/_journal&gt;&lt;_language&gt;eng&lt;/_language&gt;&lt;_modified&gt;60464700&lt;/_modified&gt;&lt;_pages&gt;6052-6058&lt;/_pages&gt;&lt;_url&gt;http://d.g.wanfangdata.com.cn/NSTLQK_NSTL_QKJJ028916023.aspx&lt;/_url&gt;&lt;_volume&gt;41&lt;/_volume&gt;&lt;_impact_factor&gt;   5.393&lt;/_impact_factor&gt;&lt;_collection_scope&gt;SCI;SCIE;&lt;/_collection_scope&gt;&lt;/Details&gt;&lt;Extra&gt;&lt;DBUID&gt;{0DA6E8B8-3A61-49AD-9027-1BB1B3F94C4B}&lt;/DBUID&gt;&lt;/Extra&gt;&lt;/Item&gt;&lt;/References&gt;&lt;/Group&gt;&lt;/Citation&gt;_x000a_"/>
    <w:docVar w:name="NE.Ref{F4681F83-E75E-4418-A0EB-2CDACF0C7DD4}" w:val=" ADDIN NE.Ref.{F4681F83-E75E-4418-A0EB-2CDACF0C7DD4}&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F46D50A4-94BF-43ED-8EEF-97F08C182F41}" w:val=" ADDIN NE.Ref.{F46D50A4-94BF-43ED-8EEF-97F08C182F41}&lt;Citation&gt;&lt;Group&gt;&lt;References&gt;&lt;Item&gt;&lt;ID&gt;46&lt;/ID&gt;&lt;UID&gt;{C8D9288B-5C8B-41F7-94E1-6F827E588A70}&lt;/UID&gt;&lt;Title&gt;Source Profiles of Volatile Organic Compounds from Biomass Burning in Yangtze River Delta, China&lt;/Title&gt;&lt;Template&gt;Journal Article&lt;/Template&gt;&lt;Star&gt;0&lt;/Star&gt;&lt;Tag&gt;0&lt;/Tag&gt;&lt;Author&gt;Wang, Hongli; Lou, Shengrong; Huang, Cheng; Qiao, Liping; Tang, Xibin; Chen, Changhong; Zeng, Limin; Wang, Qian; Zhou, Min; Lu, Sihua; Yu, Xuena&lt;/Author&gt;&lt;Year&gt;2014&lt;/Year&gt;&lt;Details&gt;&lt;_accessed&gt;60464747&lt;/_accessed&gt;&lt;_created&gt;60464747&lt;/_created&gt;&lt;_issue&gt;14&lt;/_issue&gt;&lt;_journal&gt;AEROSOL AND AIR QUALITY RESEARCH&lt;/_journal&gt;&lt;_modified&gt;60613491&lt;/_modified&gt;&lt;_pages&gt;818-828&lt;/_pages&gt;&lt;_volume&gt;3&lt;/_volume&gt;&lt;_impact_factor&gt;   2.393&lt;/_impact_factor&gt;&lt;_collection_scope&gt;EI;SCIE;&lt;/_collection_scope&gt;&lt;/Details&gt;&lt;Extra&gt;&lt;DBUID&gt;{0DA6E8B8-3A61-49AD-9027-1BB1B3F94C4B}&lt;/DBUID&gt;&lt;/Extra&gt;&lt;/Item&gt;&lt;/References&gt;&lt;/Group&gt;&lt;/Citation&gt;_x000a_"/>
    <w:docVar w:name="NE.Ref{F53EB0F3-95CF-4CF0-88F5-6B9994DB1DEE}" w:val=" ADDIN NE.Ref.{F53EB0F3-95CF-4CF0-88F5-6B9994DB1DEE}&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F5E28A5E-680D-403C-B5E1-1A64D9501AA0}" w:val=" ADDIN NE.Ref.{F5E28A5E-680D-403C-B5E1-1A64D9501AA0}&lt;Citation&gt;&lt;Group&gt;&lt;References&gt;&lt;Item&gt;&lt;ID&gt;69&lt;/ID&gt;&lt;UID&gt;{F0C1EA1B-F60C-4DB1-81C7-1130EE097D50}&lt;/UID&gt;&lt;Title&gt;《广东省重点行业挥发性有机物综合整治实施方案》编制说明&lt;/Title&gt;&lt;Template&gt;Report&lt;/Template&gt;&lt;Star&gt;0&lt;/Star&gt;&lt;Tag&gt;0&lt;/Tag&gt;&lt;Author&gt;广东省环境科学研究院&lt;/Author&gt;&lt;Year&gt;2014&lt;/Year&gt;&lt;Details&gt;&lt;_accessed&gt;60465051&lt;/_accessed&gt;&lt;_created&gt;60465050&lt;/_created&gt;&lt;_modified&gt;60465051&lt;/_modified&gt;&lt;_place_published&gt;广州&lt;/_place_published&gt;&lt;_translated_author&gt;Guang, Dongshenghuanjingkexueyanjiuyuan&lt;/_translated_author&gt;&lt;/Details&gt;&lt;Extra&gt;&lt;DBUID&gt;{0DA6E8B8-3A61-49AD-9027-1BB1B3F94C4B}&lt;/DBUID&gt;&lt;/Extra&gt;&lt;/Item&gt;&lt;/References&gt;&lt;/Group&gt;&lt;/Citation&gt;_x000a_"/>
    <w:docVar w:name="NE.Ref{F5F50079-E6E2-4259-9E49-394F4F0F2611}" w:val=" ADDIN NE.Ref.{F5F50079-E6E2-4259-9E49-394F4F0F2611}&lt;Citation&gt;&lt;Group&gt;&lt;References&gt;&lt;Item&gt;&lt;ID&gt;3&lt;/ID&gt;&lt;UID&gt;{415C0B6A-71B5-4651-B803-42EB584B8276}&lt;/UID&gt;&lt;Title&gt;大气可吸入颗粒物一次源排放清单编制技术指南（试行）&lt;/Title&gt;&lt;Template&gt;Standard&lt;/Template&gt;&lt;Star&gt;0&lt;/Star&gt;&lt;Tag&gt;0&lt;/Tag&gt;&lt;Author&gt;环境保护部&lt;/Author&gt;&lt;Year&gt;2014&lt;/Year&gt;&lt;Details&gt;&lt;_created&gt;60463628&lt;/_created&gt;&lt;_modified&gt;60464816&lt;/_modified&gt;&lt;_translated_author&gt;Huan, Jingbaohubu&lt;/_translated_author&gt;&lt;/Details&gt;&lt;Extra&gt;&lt;DBUID&gt;{0DA6E8B8-3A61-49AD-9027-1BB1B3F94C4B}&lt;/DBUID&gt;&lt;/Extra&gt;&lt;/Item&gt;&lt;/References&gt;&lt;/Group&gt;&lt;Group&gt;&lt;References&gt;&lt;Item&gt;&lt;ID&gt;4&lt;/ID&gt;&lt;UID&gt;{E57F084E-0472-493F-A584-41A59FE7A954}&lt;/UID&gt;&lt;Title&gt;大气细颗粒物一次源排放清单编制技术指南（试行）&lt;/Title&gt;&lt;Template&gt;Standard&lt;/Template&gt;&lt;Star&gt;0&lt;/Star&gt;&lt;Tag&gt;0&lt;/Tag&gt;&lt;Author&gt;环境保护部&lt;/Author&gt;&lt;Year&gt;2014&lt;/Year&gt;&lt;Details&gt;&lt;_created&gt;60463628&lt;/_created&gt;&lt;_modified&gt;60465005&lt;/_modified&gt;&lt;_translated_author&gt;Huan, Jingbaohubu&lt;/_translated_author&gt;&lt;/Details&gt;&lt;Extra&gt;&lt;DBUID&gt;{0DA6E8B8-3A61-49AD-9027-1BB1B3F94C4B}&lt;/DBUID&gt;&lt;/Extra&gt;&lt;/Item&gt;&lt;/References&gt;&lt;/Group&gt;&lt;/Citation&gt;_x000a_"/>
    <w:docVar w:name="NE.Ref{F644CE89-C2E2-412D-8D42-5D89F413F2FD}" w:val=" ADDIN NE.Ref.{F644CE89-C2E2-412D-8D42-5D89F413F2FD}&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F6972DC1-A590-45E9-8911-5314D648BCEB}" w:val=" ADDIN NE.Ref.{F6972DC1-A590-45E9-8911-5314D648BCEB}&lt;Citation&gt;&lt;Group&gt;&lt;References&gt;&lt;Item&gt;&lt;ID&gt;5&lt;/ID&gt;&lt;UID&gt;{8A149BFB-154D-4002-B24F-A6F8E4764C60}&lt;/UID&gt;&lt;Title&gt;广东省工业源VOCs排放系数研究报告&lt;/Title&gt;&lt;Template&gt;Report&lt;/Template&gt;&lt;Star&gt;0&lt;/Star&gt;&lt;Tag&gt;0&lt;/Tag&gt;&lt;Author&gt;广东省环境保护厅&lt;/Author&gt;&lt;Year&gt;2013&lt;/Year&gt;&lt;Details&gt;&lt;_created&gt;60463628&lt;/_created&gt;&lt;_modified&gt;60463628&lt;/_modified&gt;&lt;_place_published&gt;广州&lt;/_place_published&gt;&lt;_translated_author&gt;Guang, Dongshenghuanjingbaohuting&lt;/_translated_author&gt;&lt;/Details&gt;&lt;Extra&gt;&lt;DBUID&gt;{0DA6E8B8-3A61-49AD-9027-1BB1B3F94C4B}&lt;/DBUID&gt;&lt;/Extra&gt;&lt;/Item&gt;&lt;/References&gt;&lt;/Group&gt;&lt;/Citation&gt;_x000a_"/>
    <w:docVar w:name="NE.Ref{F86F69EC-9D8E-4155-827C-52FCFC9B477B}" w:val=" ADDIN NE.Ref.{F86F69EC-9D8E-4155-827C-52FCFC9B477B}&lt;Citation&gt;&lt;Group&gt;&lt;References&gt;&lt;Item&gt;&lt;ID&gt;78&lt;/ID&gt;&lt;UID&gt;{5E66D8FF-A277-4EC1-9979-594CD305BD91}&lt;/UID&gt;&lt;Title&gt;广东工业统计年鉴2013&lt;/Title&gt;&lt;Template&gt;Book&lt;/Template&gt;&lt;Star&gt;0&lt;/Star&gt;&lt;Tag&gt;0&lt;/Tag&gt;&lt;Author&gt;广东省统计局&lt;/Author&gt;&lt;Year&gt;2013&lt;/Year&gt;&lt;Details&gt;&lt;_accessed&gt;60501142&lt;/_accessed&gt;&lt;_created&gt;60501142&lt;/_created&gt;&lt;_modified&gt;60501142&lt;/_modified&gt;&lt;_translated_author&gt;Guang, Dongshengtongjiju&lt;/_translated_author&gt;&lt;/Details&gt;&lt;Extra&gt;&lt;DBUID&gt;{0DA6E8B8-3A61-49AD-9027-1BB1B3F94C4B}&lt;/DBUID&gt;&lt;/Extra&gt;&lt;/Item&gt;&lt;/References&gt;&lt;/Group&gt;&lt;/Citation&gt;_x000a_"/>
    <w:docVar w:name="NE.Ref{F8D77E1C-C9F6-4A2B-82B4-76E389A0E9DE}" w:val=" ADDIN NE.Ref.{F8D77E1C-C9F6-4A2B-82B4-76E389A0E9DE}&lt;Citation&gt;&lt;Group&gt;&lt;References&gt;&lt;Item&gt;&lt;ID&gt;7&lt;/ID&gt;&lt;UID&gt;{BD9BF6D2-F5BD-4E52-A587-6BB13834F2D1}&lt;/UID&gt;&lt;Title&gt;空气污染物排放量推估手册&lt;/Title&gt;&lt;Template&gt;Standard&lt;/Template&gt;&lt;Star&gt;0&lt;/Star&gt;&lt;Tag&gt;0&lt;/Tag&gt;&lt;Author&gt;台湾环保署&lt;/Author&gt;&lt;Year&gt;2006&lt;/Year&gt;&lt;Details&gt;&lt;_created&gt;60463628&lt;/_created&gt;&lt;_modified&gt;60464816&lt;/_modified&gt;&lt;_translated_author&gt;Tai, Wanhuanbaoshu&lt;/_translated_author&gt;&lt;/Details&gt;&lt;Extra&gt;&lt;DBUID&gt;{0DA6E8B8-3A61-49AD-9027-1BB1B3F94C4B}&lt;/DBUID&gt;&lt;/Extra&gt;&lt;/Item&gt;&lt;/References&gt;&lt;/Group&gt;&lt;/Citation&gt;_x000a_"/>
    <w:docVar w:name="NE.Ref{F9A771EB-9405-4850-9858-2C87819AD66C}" w:val=" ADDIN NE.Ref.{F9A771EB-9405-4850-9858-2C87819AD66C}&lt;Citation&gt;&lt;Group&gt;&lt;References&gt;&lt;Item&gt;&lt;ID&gt;32&lt;/ID&gt;&lt;UID&gt;{2CE0A59C-9ADC-4FA1-AA22-36E718F363FC}&lt;/UID&gt;&lt;Title&gt;煤炭装卸、堆放起尘规律及煤尘扩散规律的研究&lt;/Title&gt;&lt;Template&gt;Journal Article&lt;/Template&gt;&lt;Star&gt;0&lt;/Star&gt;&lt;Tag&gt;0&lt;/Tag&gt;&lt;Author&gt;王宝章; 齐鸣; 徐铀; 全贵均; 马乾初; 施立人; 丁日方&lt;/Author&gt;&lt;Year&gt;1986&lt;/Year&gt;&lt;Details&gt;&lt;_accessed&gt;60463756&lt;/_accessed&gt;&lt;_author_aff&gt;交通部水运研究所; 武汉水运工程学院; 武汉水运工程学院&lt;/_author_aff&gt;&lt;_created&gt;60463755&lt;/_created&gt;&lt;_journal&gt;交通环保&lt;/_journal&gt;&lt;_keywords&gt;混合煤; 起动风速; 经验公式; 煤堆; 装卸工艺; 降尘量; 粒径分布; 煤颗粒; 地形模型; 山西大同&lt;/_keywords&gt;&lt;_modified&gt;60463756&lt;/_modified&gt;&lt;_ref_count&gt;8&lt;/_ref_count&gt;&lt;_url&gt;http://www.cnki.net/KCMS/detail/detail.aspx?filename=jthb1986z1000&amp;amp;dbcode=CJFQ&amp;amp;dbname=CJFD8589&lt;/_url&gt;&lt;_translated_author&gt;Wang, Baozhang;Qi, Ming;Xu, You;Quan, Guijun;Ma, Qianchu;Shi, Liren;Ding, Rifang&lt;/_translated_author&gt;&lt;/Details&gt;&lt;Extra&gt;&lt;DBUID&gt;{0DA6E8B8-3A61-49AD-9027-1BB1B3F94C4B}&lt;/DBUID&gt;&lt;/Extra&gt;&lt;/Item&gt;&lt;/References&gt;&lt;/Group&gt;&lt;/Citation&gt;_x000a_"/>
    <w:docVar w:name="NE.Ref{FC999C29-5BFA-497A-8E7A-A3457EC096E1}" w:val=" ADDIN NE.Ref.{FC999C29-5BFA-497A-8E7A-A3457EC096E1}&lt;Citation&gt;&lt;Group&gt;&lt;References&gt;&lt;Item&gt;&lt;ID&gt;26&lt;/ID&gt;&lt;UID&gt;{6FE02087-B23D-4E7B-A16A-A67DD292326F}&lt;/UID&gt;&lt;Title&gt;城市地面扬尘的估算与分布特征研究&lt;/Title&gt;&lt;Template&gt;Thesis&lt;/Template&gt;&lt;Star&gt;0&lt;/Star&gt;&lt;Tag&gt;0&lt;/Tag&gt;&lt;Author&gt;黄嫣旻&lt;/Author&gt;&lt;Year&gt;2006&lt;/Year&gt;&lt;Details&gt;&lt;_accessed&gt;60463730&lt;/_accessed&gt;&lt;_cate&gt;X513&lt;/_cate&gt;&lt;_cited_count&gt;13&lt;/_cited_count&gt;&lt;_created&gt;60463730&lt;/_created&gt;&lt;_keywords&gt;城市地面扬尘; 扬尘量估算; 空间统计; 空气动力学粒径; 激光粒度仪; 重金属; 分布特征; 上海; 吴淞工业区&lt;/_keywords&gt;&lt;_modified&gt;60463730&lt;/_modified&gt;&lt;_publisher&gt;华东师范大学&lt;/_publisher&gt;&lt;_ref_count&gt;57&lt;/_ref_count&gt;&lt;_section&gt;环境科学&lt;/_section&gt;&lt;_tertiary_author&gt;束炯&lt;/_tertiary_author&gt;&lt;_url&gt;http://www.cnki.net/KCMS/detail/detail.aspx?ref=kcms&amp;amp;docid=2006124002.nh&amp;amp;uid=; http://www.cnki.net/KCMS/detail/detail.aspx?filename=2006124002.nh&amp;amp;dbcode=CMFD&amp;amp;dbname=CMFD9908&lt;/_url&gt;&lt;_volume&gt;硕士&lt;/_volume&gt;&lt;_translated_author&gt;Huang, Yanmin&lt;/_translated_author&gt;&lt;/Details&gt;&lt;Extra&gt;&lt;DBUID&gt;{0DA6E8B8-3A61-49AD-9027-1BB1B3F94C4B}&lt;/DBUID&gt;&lt;/Extra&gt;&lt;/Item&gt;&lt;/References&gt;&lt;/Group&gt;&lt;/Citation&gt;_x000a_"/>
    <w:docVar w:name="NE.Ref{FE06A6D6-CB2C-4CE2-9363-92ED6360E318}" w:val=" ADDIN NE.Ref.{FE06A6D6-CB2C-4CE2-9363-92ED6360E318}&lt;Citation&gt;&lt;Group&gt;&lt;References&gt;&lt;Item&gt;&lt;ID&gt;365&lt;/ID&gt;&lt;UID&gt;{55054E48-EAD3-4934-91B5-DA4E272DE897}&lt;/UID&gt;&lt;Title&gt;大气挥发性有机物源排放清单编制技术指南(试行)&lt;/Title&gt;&lt;Template&gt;Standard&lt;/Template&gt;&lt;Star&gt;0&lt;/Star&gt;&lt;Tag&gt;0&lt;/Tag&gt;&lt;Author&gt;环境保护部&lt;/Author&gt;&lt;Year&gt;2014&lt;/Year&gt;&lt;Details&gt;&lt;_accessed&gt;60463514&lt;/_accessed&gt;&lt;_created&gt;60463514&lt;/_created&gt;&lt;_modified&gt;60463514&lt;/_modified&gt;&lt;_translated_author&gt;Huan, Jingbaohubu&lt;/_translated_author&gt;&lt;/Details&gt;&lt;Extra&gt;&lt;DBUID&gt;{0C8895AB-960A-4B76-A0DA-38D8A76C4C8B}&lt;/DBUID&gt;&lt;/Extra&gt;&lt;/Item&gt;&lt;/References&gt;&lt;/Group&gt;&lt;/Citation&gt;_x000a_"/>
    <w:docVar w:name="NE.Ref{FE07AA78-AB7C-42D8-AB3A-69290A7F9153}" w:val=" ADDIN NE.Ref.{FE07AA78-AB7C-42D8-AB3A-69290A7F9153}&lt;Citation&gt;&lt;Group&gt;&lt;References&gt;&lt;Item&gt;&lt;ID&gt;137&lt;/ID&gt;&lt;UID&gt;{8180C448-A21F-4043-9073-AE05CD28F039}&lt;/UID&gt;&lt;Title&gt;广东工业统计年鉴2015&lt;/Title&gt;&lt;Template&gt;Book&lt;/Template&gt;&lt;Star&gt;0&lt;/Star&gt;&lt;Tag&gt;0&lt;/Tag&gt;&lt;Author&gt;广东省统计局&lt;/Author&gt;&lt;Year&gt;2015&lt;/Year&gt;&lt;Details&gt;&lt;_accessed&gt;61305087&lt;/_accessed&gt;&lt;_created&gt;60501142&lt;/_created&gt;&lt;_modified&gt;61305087&lt;/_modified&gt;&lt;_translated_author&gt;Guang, Dongshengtongjiju&lt;/_translated_author&gt;&lt;/Details&gt;&lt;Extra&gt;&lt;DBUID&gt;{0DA6E8B8-3A61-49AD-9027-1BB1B3F94C4B}&lt;/DBUID&gt;&lt;/Extra&gt;&lt;/Item&gt;&lt;/References&gt;&lt;/Group&gt;&lt;Group&gt;&lt;References&gt;&lt;Item&gt;&lt;ID&gt;138&lt;/ID&gt;&lt;UID&gt;{9FFF55B8-7600-4965-850D-9F593B05872A}&lt;/UID&gt;&lt;Title&gt;广东农村统计年鉴2015&lt;/Title&gt;&lt;Template&gt;Book&lt;/Template&gt;&lt;Star&gt;0&lt;/Star&gt;&lt;Tag&gt;0&lt;/Tag&gt;&lt;Author&gt;广东农村统计年鉴编辑委员会&lt;/Author&gt;&lt;Year&gt;2015&lt;/Year&gt;&lt;Details&gt;&lt;_accessed&gt;61305088&lt;/_accessed&gt;&lt;_created&gt;60466451&lt;/_created&gt;&lt;_isbn&gt;978-7-5037-7289-4&lt;/_isbn&gt;&lt;_modified&gt;61305088&lt;/_modified&gt;&lt;_place_published&gt;北京&lt;/_place_published&gt;&lt;_publisher&gt;中国统计出版社&lt;/_publisher&gt;&lt;_translated_author&gt;Guang, Dongnongcuntongjinianjianbianjiweiyuanhui&lt;/_translated_author&gt;&lt;/Details&gt;&lt;Extra&gt;&lt;DBUID&gt;{0DA6E8B8-3A61-49AD-9027-1BB1B3F94C4B}&lt;/DBUID&gt;&lt;/Extra&gt;&lt;/Item&gt;&lt;/References&gt;&lt;/Group&gt;&lt;Group&gt;&lt;References&gt;&lt;Item&gt;&lt;ID&gt;140&lt;/ID&gt;&lt;UID&gt;{858E9EBB-810E-4D1B-9568-AD9AFCD94189}&lt;/UID&gt;&lt;Title&gt;中国工业统计年鉴. 2015&lt;/Title&gt;&lt;Template&gt;Book&lt;/Template&gt;&lt;Star&gt;0&lt;/Star&gt;&lt;Tag&gt;0&lt;/Tag&gt;&lt;Author&gt;国家统计局&lt;/Author&gt;&lt;Year&gt;2015&lt;/Year&gt;&lt;Details&gt;&lt;_publisher&gt;中国统计出版社&lt;/_publisher&gt;&lt;_created&gt;61305103&lt;/_created&gt;&lt;_modified&gt;61305104&lt;/_modified&gt;&lt;_translated_author&gt;Guo, Jiatongjiju&lt;/_translated_author&gt;&lt;/Details&gt;&lt;Extra&gt;&lt;DBUID&gt;{0DA6E8B8-3A61-49AD-9027-1BB1B3F94C4B}&lt;/DBUID&gt;&lt;/Extra&gt;&lt;/Item&gt;&lt;/References&gt;&lt;/Group&gt;&lt;Group&gt;&lt;References&gt;&lt;Item&gt;&lt;ID&gt;141&lt;/ID&gt;&lt;UID&gt;{B31CED3C-1FA5-472F-AA06-B8B02F544FE7}&lt;/UID&gt;&lt;Title&gt;中国农村统计年鉴. 2015&lt;/Title&gt;&lt;Template&gt;Book&lt;/Template&gt;&lt;Star&gt;0&lt;/Star&gt;&lt;Tag&gt;0&lt;/Tag&gt;&lt;Author&gt;国家统计局农村社会经济调查司&lt;/Author&gt;&lt;Year&gt;2015&lt;/Year&gt;&lt;Details&gt;&lt;_publisher&gt;中国统计出版社&lt;/_publisher&gt;&lt;_created&gt;61305105&lt;/_created&gt;&lt;_modified&gt;61305107&lt;/_modified&gt;&lt;_translated_author&gt;Guo, Jiatongjijunongcunshehuijingjidiaochasi&lt;/_translated_author&gt;&lt;/Details&gt;&lt;Extra&gt;&lt;DBUID&gt;{0DA6E8B8-3A61-49AD-9027-1BB1B3F94C4B}&lt;/DBUID&gt;&lt;/Extra&gt;&lt;/Item&gt;&lt;/References&gt;&lt;/Group&gt;&lt;/Citation&gt;_x000a_"/>
    <w:docVar w:name="NE.Ref{FE5B201F-2E67-4852-8A4E-1B40E04AB319}" w:val=" ADDIN NE.Ref.{FE5B201F-2E67-4852-8A4E-1B40E04AB319}&lt;Citation&gt;&lt;Group&gt;&lt;References&gt;&lt;Item&gt;&lt;ID&gt;3&lt;/ID&gt;&lt;UID&gt;{415C0B6A-71B5-4651-B803-42EB584B8276}&lt;/UID&gt;&lt;Title&gt;大气可吸入颗粒物一次源排放清单编制技术指南（试行）&lt;/Title&gt;&lt;Template&gt;Standard&lt;/Template&gt;&lt;Star&gt;0&lt;/Star&gt;&lt;Tag&gt;0&lt;/Tag&gt;&lt;Author&gt;环境保护部&lt;/Author&gt;&lt;Year&gt;2014&lt;/Year&gt;&lt;Details&gt;&lt;_created&gt;60463628&lt;/_created&gt;&lt;_modified&gt;60464816&lt;/_modified&gt;&lt;_translated_author&gt;Huan, Jingbaohubu&lt;/_translated_author&gt;&lt;/Details&gt;&lt;Extra&gt;&lt;DBUID&gt;{0DA6E8B8-3A61-49AD-9027-1BB1B3F94C4B}&lt;/DBUID&gt;&lt;/Extra&gt;&lt;/Item&gt;&lt;/References&gt;&lt;/Group&gt;&lt;Group&gt;&lt;References&gt;&lt;Item&gt;&lt;ID&gt;4&lt;/ID&gt;&lt;UID&gt;{E57F084E-0472-493F-A584-41A59FE7A954}&lt;/UID&gt;&lt;Title&gt;大气细颗粒物一次源排放清单编制技术指南（试行）&lt;/Title&gt;&lt;Template&gt;Standard&lt;/Template&gt;&lt;Star&gt;0&lt;/Star&gt;&lt;Tag&gt;0&lt;/Tag&gt;&lt;Author&gt;环境保护部&lt;/Author&gt;&lt;Year&gt;2014&lt;/Year&gt;&lt;Details&gt;&lt;_created&gt;60463628&lt;/_created&gt;&lt;_modified&gt;60465005&lt;/_modified&gt;&lt;_translated_author&gt;Huan, Jingbaohubu&lt;/_translated_author&gt;&lt;/Details&gt;&lt;Extra&gt;&lt;DBUID&gt;{0DA6E8B8-3A61-49AD-9027-1BB1B3F94C4B}&lt;/DBUID&gt;&lt;/Extra&gt;&lt;/Item&gt;&lt;/References&gt;&lt;/Group&gt;&lt;/Citation&gt;_x000a_"/>
    <w:docVar w:name="NE.Ref{FEBD8914-B76F-410B-BA04-C4563C4984DB}" w:val=" ADDIN NE.Ref.{FEBD8914-B76F-410B-BA04-C4563C4984DB}&lt;Citation&gt;&lt;Group&gt;&lt;References&gt;&lt;Item&gt;&lt;ID&gt;16&lt;/ID&gt;&lt;UID&gt;{9668BF7B-2520-4A80-BFE8-D1AE0A6FBE2B}&lt;/UID&gt;&lt;Title&gt;中国加油站VOC排放污染现状及控制&lt;/Title&gt;&lt;Template&gt;Journal Article&lt;/Template&gt;&lt;Star&gt;0&lt;/Star&gt;&lt;Tag&gt;0&lt;/Tag&gt;&lt;Author&gt;沈旻嘉; 郝吉明; 王丽涛&lt;/Author&gt;&lt;Year&gt;2006&lt;/Year&gt;&lt;Details&gt;&lt;_accessed&gt;60463630&lt;/_accessed&gt;&lt;_author_aff&gt;清华大学环境科学与工程系; 清华大学环境科学与工程系 北京100084; 北京100084&lt;/_author_aff&gt;&lt;_cate&gt;X51&lt;/_cate&gt;&lt;_cited_count&gt;3&lt;/_cited_count&gt;&lt;_created&gt;60463630&lt;/_created&gt;&lt;_issue&gt;08&lt;/_issue&gt;&lt;_journal&gt;环境科学&lt;/_journal&gt;&lt;_keywords&gt;加油站; 挥发性有机物; 排放清单; 油气回收装置&lt;/_keywords&gt;&lt;_modified&gt;60463630&lt;/_modified&gt;&lt;_ref_count&gt;63&lt;/_ref_count&gt;&lt;_translated_author&gt;SHEN, Min-jia; HAO, Ji-ming; WANG, Li-tao&lt;/_translated_author&gt;&lt;_url&gt;http://www.cnki.net/KCMS/detail/detail.aspx?filename=hjkz200608000&amp;amp;dbcode=CJFQ&amp;amp;dbname=CJFD2006&lt;/_url&gt;&lt;/Details&gt;&lt;Extra&gt;&lt;DBUID&gt;{0DA6E8B8-3A61-49AD-9027-1BB1B3F94C4B}&lt;/DBUID&gt;&lt;/Extra&gt;&lt;/Item&gt;&lt;/References&gt;&lt;/Group&gt;&lt;/Citation&gt;_x000a_"/>
    <w:docVar w:name="NE.Ref{FF5F9925-582F-4458-B7BA-CB99B53B6F7D}" w:val=" ADDIN NE.Ref.{FF5F9925-582F-4458-B7BA-CB99B53B6F7D}&lt;Citation&gt;&lt;Group&gt;&lt;References&gt;&lt;Item&gt;&lt;ID&gt;132&lt;/ID&gt;&lt;UID&gt;{B2159BFD-C3C8-4B12-8D2F-4BA2094F9046}&lt;/UID&gt;&lt;Title&gt;The Port Of Los Angeles Inventory of Air Emissions For Calendar Year 2012&lt;/Title&gt;&lt;Template&gt;Report&lt;/Template&gt;&lt;Star&gt;0&lt;/Star&gt;&lt;Tag&gt;0&lt;/Tag&gt;&lt;Author&gt;SCGLLC&lt;/Author&gt;&lt;Year&gt;2012&lt;/Year&gt;&lt;Details&gt;&lt;_accessed&gt;61279860&lt;/_accessed&gt;&lt;_created&gt;61279860&lt;/_created&gt;&lt;_modified&gt;61279881&lt;/_modified&gt;&lt;_publisher&gt;Starcrest Consulting Group, LLC&lt;/_publisher&gt;&lt;/Details&gt;&lt;Extra&gt;&lt;DBUID&gt;{0DA6E8B8-3A61-49AD-9027-1BB1B3F94C4B}&lt;/DBUID&gt;&lt;/Extra&gt;&lt;/Item&gt;&lt;/References&gt;&lt;/Group&gt;&lt;/Citation&gt;_x000a_"/>
    <w:docVar w:name="NE.Ref{FFBF9ACF-C9A0-46BA-A596-F05E936ED837}" w:val=" ADDIN NE.Ref.{FFBF9ACF-C9A0-46BA-A596-F05E936ED837}&lt;Citation&gt;&lt;Group&gt;&lt;References&gt;&lt;Item&gt;&lt;ID&gt;37&lt;/ID&gt;&lt;UID&gt;{A9D71192-30DB-443C-B4D1-1DD91046DCFC}&lt;/UID&gt;&lt;Title&gt;生物质燃烧源大气污染物排放清单编制技术指南（试行）&lt;/Title&gt;&lt;Template&gt;Standard&lt;/Template&gt;&lt;Star&gt;0&lt;/Star&gt;&lt;Tag&gt;0&lt;/Tag&gt;&lt;Author&gt;环境保护部&lt;/Author&gt;&lt;Year&gt;2014&lt;/Year&gt;&lt;Details&gt;&lt;_accessed&gt;60463766&lt;/_accessed&gt;&lt;_created&gt;60463766&lt;/_created&gt;&lt;_modified&gt;60464817&lt;/_modified&gt;&lt;_translated_author&gt;Huan, Jingbaohubu&lt;/_translated_author&gt;&lt;/Details&gt;&lt;Extra&gt;&lt;DBUID&gt;{0DA6E8B8-3A61-49AD-9027-1BB1B3F94C4B}&lt;/DBUID&gt;&lt;/Extra&gt;&lt;/Item&gt;&lt;/References&gt;&lt;/Group&gt;&lt;/Citation&gt;_x000a_"/>
    <w:docVar w:name="NE.Ref{FFC41692-2DEE-48BC-9971-003C41280660}" w:val=" ADDIN NE.Ref.{FFC41692-2DEE-48BC-9971-003C41280660}&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Ref{FFCED11E-29F9-4327-ACD8-8B3A9F7FC318}" w:val=" ADDIN NE.Ref.{FFCED11E-29F9-4327-ACD8-8B3A9F7FC318}&lt;Citation&gt;&lt;Group&gt;&lt;References&gt;&lt;Item&gt;&lt;ID&gt;2&lt;/ID&gt;&lt;UID&gt;{0516AD8A-A270-4402-965C-50EDA8496005}&lt;/UID&gt;&lt;Title&gt;大气挥发性有机物源排放清单编制技术指南(试行)&lt;/Title&gt;&lt;Template&gt;Standard&lt;/Template&gt;&lt;Star&gt;0&lt;/Star&gt;&lt;Tag&gt;0&lt;/Tag&gt;&lt;Author&gt;环境保护部&lt;/Author&gt;&lt;Year&gt;2014&lt;/Year&gt;&lt;Details&gt;&lt;_accessed&gt;60502478&lt;/_accessed&gt;&lt;_created&gt;60463628&lt;/_created&gt;&lt;_modified&gt;60464816&lt;/_modified&gt;&lt;_translated_author&gt;Huan, Jingbaohubu&lt;/_translated_author&gt;&lt;/Details&gt;&lt;Extra&gt;&lt;DBUID&gt;{0DA6E8B8-3A61-49AD-9027-1BB1B3F94C4B}&lt;/DBUID&gt;&lt;/Extra&gt;&lt;/Item&gt;&lt;/References&gt;&lt;/Group&gt;&lt;/Citation&gt;_x000a_"/>
    <w:docVar w:name="ne_docsoft" w:val="MSWord"/>
    <w:docVar w:name="ne_docversion" w:val="NoteExpress 2.0"/>
    <w:docVar w:name="ne_stylename" w:val="my环境科学学报"/>
  </w:docVars>
  <w:rsids>
    <w:rsidRoot w:val="002E0EA3"/>
    <w:rsid w:val="000003D6"/>
    <w:rsid w:val="00000982"/>
    <w:rsid w:val="0000135F"/>
    <w:rsid w:val="00001C56"/>
    <w:rsid w:val="00001DF7"/>
    <w:rsid w:val="00001E9E"/>
    <w:rsid w:val="00001FD5"/>
    <w:rsid w:val="00002081"/>
    <w:rsid w:val="000022F9"/>
    <w:rsid w:val="000033F7"/>
    <w:rsid w:val="00003BFD"/>
    <w:rsid w:val="00003DC3"/>
    <w:rsid w:val="00004595"/>
    <w:rsid w:val="000049D3"/>
    <w:rsid w:val="000053BB"/>
    <w:rsid w:val="00005878"/>
    <w:rsid w:val="00005E98"/>
    <w:rsid w:val="00006219"/>
    <w:rsid w:val="000062C2"/>
    <w:rsid w:val="00006916"/>
    <w:rsid w:val="00006A1F"/>
    <w:rsid w:val="000108A1"/>
    <w:rsid w:val="0001122B"/>
    <w:rsid w:val="0001155F"/>
    <w:rsid w:val="0001170B"/>
    <w:rsid w:val="00012D11"/>
    <w:rsid w:val="00013715"/>
    <w:rsid w:val="000137BE"/>
    <w:rsid w:val="000138F2"/>
    <w:rsid w:val="00013961"/>
    <w:rsid w:val="00013CE3"/>
    <w:rsid w:val="000144A7"/>
    <w:rsid w:val="0001499A"/>
    <w:rsid w:val="00014EB9"/>
    <w:rsid w:val="00015D77"/>
    <w:rsid w:val="000163DB"/>
    <w:rsid w:val="0001686D"/>
    <w:rsid w:val="00016DB7"/>
    <w:rsid w:val="000172B1"/>
    <w:rsid w:val="0002030E"/>
    <w:rsid w:val="0002093D"/>
    <w:rsid w:val="00020C26"/>
    <w:rsid w:val="000212E0"/>
    <w:rsid w:val="00021ADC"/>
    <w:rsid w:val="00021E85"/>
    <w:rsid w:val="000228F7"/>
    <w:rsid w:val="00022BDF"/>
    <w:rsid w:val="00022E15"/>
    <w:rsid w:val="000234AF"/>
    <w:rsid w:val="00023505"/>
    <w:rsid w:val="00023670"/>
    <w:rsid w:val="000247D9"/>
    <w:rsid w:val="0002489F"/>
    <w:rsid w:val="00024C50"/>
    <w:rsid w:val="00024F76"/>
    <w:rsid w:val="0002550B"/>
    <w:rsid w:val="00025574"/>
    <w:rsid w:val="00025DFC"/>
    <w:rsid w:val="00026B3D"/>
    <w:rsid w:val="00027DF2"/>
    <w:rsid w:val="0003025D"/>
    <w:rsid w:val="000308DC"/>
    <w:rsid w:val="0003102C"/>
    <w:rsid w:val="00031AF4"/>
    <w:rsid w:val="000321C1"/>
    <w:rsid w:val="000335B1"/>
    <w:rsid w:val="00033EB6"/>
    <w:rsid w:val="000340F4"/>
    <w:rsid w:val="0003438F"/>
    <w:rsid w:val="00034914"/>
    <w:rsid w:val="0003494C"/>
    <w:rsid w:val="000355FF"/>
    <w:rsid w:val="000358AB"/>
    <w:rsid w:val="00035C55"/>
    <w:rsid w:val="00035F4D"/>
    <w:rsid w:val="000364FD"/>
    <w:rsid w:val="000369D9"/>
    <w:rsid w:val="00036A60"/>
    <w:rsid w:val="00036B45"/>
    <w:rsid w:val="00037032"/>
    <w:rsid w:val="000375A6"/>
    <w:rsid w:val="000378A2"/>
    <w:rsid w:val="00037D94"/>
    <w:rsid w:val="000404C7"/>
    <w:rsid w:val="00040C59"/>
    <w:rsid w:val="00040DBD"/>
    <w:rsid w:val="00041C48"/>
    <w:rsid w:val="000423DC"/>
    <w:rsid w:val="00042B90"/>
    <w:rsid w:val="00043E24"/>
    <w:rsid w:val="000440B7"/>
    <w:rsid w:val="00044C58"/>
    <w:rsid w:val="00045242"/>
    <w:rsid w:val="000452CA"/>
    <w:rsid w:val="000456C6"/>
    <w:rsid w:val="00045A42"/>
    <w:rsid w:val="00046D25"/>
    <w:rsid w:val="00046D4C"/>
    <w:rsid w:val="00046F38"/>
    <w:rsid w:val="0004760D"/>
    <w:rsid w:val="000500E6"/>
    <w:rsid w:val="00050D97"/>
    <w:rsid w:val="000512E8"/>
    <w:rsid w:val="000526C0"/>
    <w:rsid w:val="00052C0D"/>
    <w:rsid w:val="00053087"/>
    <w:rsid w:val="00053669"/>
    <w:rsid w:val="000540B7"/>
    <w:rsid w:val="000549E3"/>
    <w:rsid w:val="00054A80"/>
    <w:rsid w:val="00054C39"/>
    <w:rsid w:val="00055252"/>
    <w:rsid w:val="0005601D"/>
    <w:rsid w:val="00056162"/>
    <w:rsid w:val="000562A0"/>
    <w:rsid w:val="000563BD"/>
    <w:rsid w:val="000563FE"/>
    <w:rsid w:val="00056F37"/>
    <w:rsid w:val="000571F9"/>
    <w:rsid w:val="00057F66"/>
    <w:rsid w:val="0006155A"/>
    <w:rsid w:val="000616DC"/>
    <w:rsid w:val="0006188D"/>
    <w:rsid w:val="000622EE"/>
    <w:rsid w:val="000628CF"/>
    <w:rsid w:val="0006292D"/>
    <w:rsid w:val="00062A2F"/>
    <w:rsid w:val="00062BE8"/>
    <w:rsid w:val="00062F17"/>
    <w:rsid w:val="00063135"/>
    <w:rsid w:val="000638D5"/>
    <w:rsid w:val="00063ABE"/>
    <w:rsid w:val="00063D5E"/>
    <w:rsid w:val="00064071"/>
    <w:rsid w:val="000641E3"/>
    <w:rsid w:val="0006449B"/>
    <w:rsid w:val="000649A2"/>
    <w:rsid w:val="00065D7F"/>
    <w:rsid w:val="00065E76"/>
    <w:rsid w:val="00066A41"/>
    <w:rsid w:val="00067C86"/>
    <w:rsid w:val="0007072C"/>
    <w:rsid w:val="00070C53"/>
    <w:rsid w:val="00070DE3"/>
    <w:rsid w:val="00070FF0"/>
    <w:rsid w:val="000716AF"/>
    <w:rsid w:val="00071FF3"/>
    <w:rsid w:val="00072052"/>
    <w:rsid w:val="000727D8"/>
    <w:rsid w:val="0007352A"/>
    <w:rsid w:val="0007413B"/>
    <w:rsid w:val="00074901"/>
    <w:rsid w:val="00075A4C"/>
    <w:rsid w:val="00076117"/>
    <w:rsid w:val="00076BC5"/>
    <w:rsid w:val="0007749E"/>
    <w:rsid w:val="00077AE5"/>
    <w:rsid w:val="000801EA"/>
    <w:rsid w:val="00080376"/>
    <w:rsid w:val="00080D2B"/>
    <w:rsid w:val="0008181D"/>
    <w:rsid w:val="00081F94"/>
    <w:rsid w:val="000820DA"/>
    <w:rsid w:val="0008211E"/>
    <w:rsid w:val="000834D0"/>
    <w:rsid w:val="00083D55"/>
    <w:rsid w:val="000840F4"/>
    <w:rsid w:val="000846CA"/>
    <w:rsid w:val="000859DA"/>
    <w:rsid w:val="00085D42"/>
    <w:rsid w:val="00086430"/>
    <w:rsid w:val="00086641"/>
    <w:rsid w:val="00086879"/>
    <w:rsid w:val="00086B94"/>
    <w:rsid w:val="00086D81"/>
    <w:rsid w:val="000870CB"/>
    <w:rsid w:val="00087412"/>
    <w:rsid w:val="0009048E"/>
    <w:rsid w:val="00091041"/>
    <w:rsid w:val="00091206"/>
    <w:rsid w:val="000916B3"/>
    <w:rsid w:val="00092321"/>
    <w:rsid w:val="00092B51"/>
    <w:rsid w:val="000933FD"/>
    <w:rsid w:val="00093634"/>
    <w:rsid w:val="00094F41"/>
    <w:rsid w:val="000959A8"/>
    <w:rsid w:val="00095A9D"/>
    <w:rsid w:val="00095D12"/>
    <w:rsid w:val="00096117"/>
    <w:rsid w:val="000962A4"/>
    <w:rsid w:val="00096336"/>
    <w:rsid w:val="0009649D"/>
    <w:rsid w:val="00096EA4"/>
    <w:rsid w:val="00097097"/>
    <w:rsid w:val="0009791C"/>
    <w:rsid w:val="000A02DE"/>
    <w:rsid w:val="000A0AFC"/>
    <w:rsid w:val="000A141E"/>
    <w:rsid w:val="000A1C2F"/>
    <w:rsid w:val="000A1C9F"/>
    <w:rsid w:val="000A29CB"/>
    <w:rsid w:val="000A2A70"/>
    <w:rsid w:val="000A33AE"/>
    <w:rsid w:val="000A3652"/>
    <w:rsid w:val="000A3852"/>
    <w:rsid w:val="000A38E4"/>
    <w:rsid w:val="000A3D17"/>
    <w:rsid w:val="000A3E4E"/>
    <w:rsid w:val="000A4603"/>
    <w:rsid w:val="000A4FFF"/>
    <w:rsid w:val="000A58F8"/>
    <w:rsid w:val="000A5F6A"/>
    <w:rsid w:val="000A5F77"/>
    <w:rsid w:val="000A6704"/>
    <w:rsid w:val="000B0191"/>
    <w:rsid w:val="000B11A9"/>
    <w:rsid w:val="000B1C3A"/>
    <w:rsid w:val="000B2598"/>
    <w:rsid w:val="000B26E7"/>
    <w:rsid w:val="000B27D5"/>
    <w:rsid w:val="000B342E"/>
    <w:rsid w:val="000B3805"/>
    <w:rsid w:val="000B3C23"/>
    <w:rsid w:val="000B3D3C"/>
    <w:rsid w:val="000B3F00"/>
    <w:rsid w:val="000B51E5"/>
    <w:rsid w:val="000B641A"/>
    <w:rsid w:val="000B6423"/>
    <w:rsid w:val="000B6695"/>
    <w:rsid w:val="000B6734"/>
    <w:rsid w:val="000B691B"/>
    <w:rsid w:val="000B6F49"/>
    <w:rsid w:val="000B73ED"/>
    <w:rsid w:val="000B7C33"/>
    <w:rsid w:val="000B7EF6"/>
    <w:rsid w:val="000C00AF"/>
    <w:rsid w:val="000C02EC"/>
    <w:rsid w:val="000C112F"/>
    <w:rsid w:val="000C1AD9"/>
    <w:rsid w:val="000C1B70"/>
    <w:rsid w:val="000C1EF0"/>
    <w:rsid w:val="000C2325"/>
    <w:rsid w:val="000C2420"/>
    <w:rsid w:val="000C252B"/>
    <w:rsid w:val="000C2542"/>
    <w:rsid w:val="000C2BDC"/>
    <w:rsid w:val="000C2D60"/>
    <w:rsid w:val="000C2E8A"/>
    <w:rsid w:val="000C32F2"/>
    <w:rsid w:val="000C3537"/>
    <w:rsid w:val="000C3755"/>
    <w:rsid w:val="000C4368"/>
    <w:rsid w:val="000C4F22"/>
    <w:rsid w:val="000C51C8"/>
    <w:rsid w:val="000C528D"/>
    <w:rsid w:val="000C5618"/>
    <w:rsid w:val="000C594D"/>
    <w:rsid w:val="000C5C8D"/>
    <w:rsid w:val="000C5DA4"/>
    <w:rsid w:val="000C67DF"/>
    <w:rsid w:val="000C70E5"/>
    <w:rsid w:val="000C7BFC"/>
    <w:rsid w:val="000D01B4"/>
    <w:rsid w:val="000D074C"/>
    <w:rsid w:val="000D1E4D"/>
    <w:rsid w:val="000D202C"/>
    <w:rsid w:val="000D20DE"/>
    <w:rsid w:val="000D26F2"/>
    <w:rsid w:val="000D2BC4"/>
    <w:rsid w:val="000D2EFE"/>
    <w:rsid w:val="000D3207"/>
    <w:rsid w:val="000D44C1"/>
    <w:rsid w:val="000D462C"/>
    <w:rsid w:val="000D4E04"/>
    <w:rsid w:val="000D5433"/>
    <w:rsid w:val="000D674C"/>
    <w:rsid w:val="000D694A"/>
    <w:rsid w:val="000D6952"/>
    <w:rsid w:val="000D7139"/>
    <w:rsid w:val="000D7730"/>
    <w:rsid w:val="000D7CF5"/>
    <w:rsid w:val="000D7DA1"/>
    <w:rsid w:val="000D7DB4"/>
    <w:rsid w:val="000D7E9F"/>
    <w:rsid w:val="000E0F87"/>
    <w:rsid w:val="000E1317"/>
    <w:rsid w:val="000E1715"/>
    <w:rsid w:val="000E1D26"/>
    <w:rsid w:val="000E1EDF"/>
    <w:rsid w:val="000E26D3"/>
    <w:rsid w:val="000E2FE9"/>
    <w:rsid w:val="000E3486"/>
    <w:rsid w:val="000E364B"/>
    <w:rsid w:val="000E3674"/>
    <w:rsid w:val="000E3C94"/>
    <w:rsid w:val="000E474C"/>
    <w:rsid w:val="000E5BDB"/>
    <w:rsid w:val="000E5E20"/>
    <w:rsid w:val="000E6D1D"/>
    <w:rsid w:val="000E6FC0"/>
    <w:rsid w:val="000E72C6"/>
    <w:rsid w:val="000E766F"/>
    <w:rsid w:val="000E7BDB"/>
    <w:rsid w:val="000F0326"/>
    <w:rsid w:val="000F041F"/>
    <w:rsid w:val="000F0469"/>
    <w:rsid w:val="000F158B"/>
    <w:rsid w:val="000F17E2"/>
    <w:rsid w:val="000F240D"/>
    <w:rsid w:val="000F29ED"/>
    <w:rsid w:val="000F3087"/>
    <w:rsid w:val="000F31F5"/>
    <w:rsid w:val="000F3256"/>
    <w:rsid w:val="000F33A3"/>
    <w:rsid w:val="000F3AF5"/>
    <w:rsid w:val="000F3FFA"/>
    <w:rsid w:val="000F51A0"/>
    <w:rsid w:val="000F55B0"/>
    <w:rsid w:val="000F59A1"/>
    <w:rsid w:val="000F625B"/>
    <w:rsid w:val="000F6A75"/>
    <w:rsid w:val="000F6DB6"/>
    <w:rsid w:val="000F6FD8"/>
    <w:rsid w:val="000F76B8"/>
    <w:rsid w:val="00100299"/>
    <w:rsid w:val="00100456"/>
    <w:rsid w:val="0010087A"/>
    <w:rsid w:val="001008AB"/>
    <w:rsid w:val="001011E3"/>
    <w:rsid w:val="00101C02"/>
    <w:rsid w:val="00102284"/>
    <w:rsid w:val="0010263E"/>
    <w:rsid w:val="00102D37"/>
    <w:rsid w:val="0010348C"/>
    <w:rsid w:val="001039EF"/>
    <w:rsid w:val="00103DF3"/>
    <w:rsid w:val="0010403E"/>
    <w:rsid w:val="001044D0"/>
    <w:rsid w:val="00104A4F"/>
    <w:rsid w:val="00104C40"/>
    <w:rsid w:val="00104F7D"/>
    <w:rsid w:val="0010537B"/>
    <w:rsid w:val="00105424"/>
    <w:rsid w:val="00105A83"/>
    <w:rsid w:val="00105DA7"/>
    <w:rsid w:val="001063C7"/>
    <w:rsid w:val="00107919"/>
    <w:rsid w:val="00107DD4"/>
    <w:rsid w:val="0011008F"/>
    <w:rsid w:val="0011042A"/>
    <w:rsid w:val="0011052E"/>
    <w:rsid w:val="00110D11"/>
    <w:rsid w:val="00110DDF"/>
    <w:rsid w:val="001113F5"/>
    <w:rsid w:val="00111980"/>
    <w:rsid w:val="0011211A"/>
    <w:rsid w:val="001130BB"/>
    <w:rsid w:val="00113158"/>
    <w:rsid w:val="00114A1E"/>
    <w:rsid w:val="00116E6D"/>
    <w:rsid w:val="0011718A"/>
    <w:rsid w:val="00117A44"/>
    <w:rsid w:val="00117DB9"/>
    <w:rsid w:val="001202D0"/>
    <w:rsid w:val="00120987"/>
    <w:rsid w:val="001233BB"/>
    <w:rsid w:val="001233F7"/>
    <w:rsid w:val="001236F3"/>
    <w:rsid w:val="00123B0C"/>
    <w:rsid w:val="00124925"/>
    <w:rsid w:val="001249BE"/>
    <w:rsid w:val="00124A8D"/>
    <w:rsid w:val="00124E19"/>
    <w:rsid w:val="0012524A"/>
    <w:rsid w:val="00126056"/>
    <w:rsid w:val="00126987"/>
    <w:rsid w:val="00126F76"/>
    <w:rsid w:val="00127548"/>
    <w:rsid w:val="001302DB"/>
    <w:rsid w:val="00130C75"/>
    <w:rsid w:val="00130D82"/>
    <w:rsid w:val="00131864"/>
    <w:rsid w:val="00131AA6"/>
    <w:rsid w:val="0013322A"/>
    <w:rsid w:val="00133400"/>
    <w:rsid w:val="00133738"/>
    <w:rsid w:val="00133A40"/>
    <w:rsid w:val="00133E97"/>
    <w:rsid w:val="00134251"/>
    <w:rsid w:val="00134854"/>
    <w:rsid w:val="001348BF"/>
    <w:rsid w:val="001353FA"/>
    <w:rsid w:val="00135700"/>
    <w:rsid w:val="00136201"/>
    <w:rsid w:val="001366BA"/>
    <w:rsid w:val="001369B9"/>
    <w:rsid w:val="001374A7"/>
    <w:rsid w:val="001375BF"/>
    <w:rsid w:val="001404D8"/>
    <w:rsid w:val="00140608"/>
    <w:rsid w:val="0014099C"/>
    <w:rsid w:val="00140B44"/>
    <w:rsid w:val="00140B64"/>
    <w:rsid w:val="00142130"/>
    <w:rsid w:val="00142A04"/>
    <w:rsid w:val="00142AB1"/>
    <w:rsid w:val="00142F38"/>
    <w:rsid w:val="0014343B"/>
    <w:rsid w:val="00143770"/>
    <w:rsid w:val="001446EF"/>
    <w:rsid w:val="001448D0"/>
    <w:rsid w:val="00144A4E"/>
    <w:rsid w:val="00144D3E"/>
    <w:rsid w:val="00145AAD"/>
    <w:rsid w:val="00146301"/>
    <w:rsid w:val="001466F1"/>
    <w:rsid w:val="00146726"/>
    <w:rsid w:val="001469D5"/>
    <w:rsid w:val="00146BB4"/>
    <w:rsid w:val="00146DB8"/>
    <w:rsid w:val="00146EE6"/>
    <w:rsid w:val="00150F48"/>
    <w:rsid w:val="001514E3"/>
    <w:rsid w:val="00151699"/>
    <w:rsid w:val="00151899"/>
    <w:rsid w:val="001520E5"/>
    <w:rsid w:val="001528F2"/>
    <w:rsid w:val="001528FC"/>
    <w:rsid w:val="00152B50"/>
    <w:rsid w:val="00152DB6"/>
    <w:rsid w:val="00152DCD"/>
    <w:rsid w:val="0015442E"/>
    <w:rsid w:val="001563B6"/>
    <w:rsid w:val="00156829"/>
    <w:rsid w:val="001568A8"/>
    <w:rsid w:val="001569D7"/>
    <w:rsid w:val="00156CF1"/>
    <w:rsid w:val="00156D06"/>
    <w:rsid w:val="0015750A"/>
    <w:rsid w:val="00160B78"/>
    <w:rsid w:val="00160C03"/>
    <w:rsid w:val="00161A3E"/>
    <w:rsid w:val="00163C27"/>
    <w:rsid w:val="00164C03"/>
    <w:rsid w:val="00164F96"/>
    <w:rsid w:val="00165733"/>
    <w:rsid w:val="001657F8"/>
    <w:rsid w:val="00165936"/>
    <w:rsid w:val="00165CF8"/>
    <w:rsid w:val="00166287"/>
    <w:rsid w:val="0016680E"/>
    <w:rsid w:val="00166879"/>
    <w:rsid w:val="00166AB7"/>
    <w:rsid w:val="00167593"/>
    <w:rsid w:val="0016782A"/>
    <w:rsid w:val="00167833"/>
    <w:rsid w:val="00167C18"/>
    <w:rsid w:val="00167EA3"/>
    <w:rsid w:val="00167F48"/>
    <w:rsid w:val="00170268"/>
    <w:rsid w:val="001711FA"/>
    <w:rsid w:val="00171501"/>
    <w:rsid w:val="0017159E"/>
    <w:rsid w:val="0017180C"/>
    <w:rsid w:val="00171DEA"/>
    <w:rsid w:val="00172212"/>
    <w:rsid w:val="00172AD6"/>
    <w:rsid w:val="0017364C"/>
    <w:rsid w:val="00173D91"/>
    <w:rsid w:val="0017418B"/>
    <w:rsid w:val="00175427"/>
    <w:rsid w:val="00175834"/>
    <w:rsid w:val="00176348"/>
    <w:rsid w:val="0017682C"/>
    <w:rsid w:val="00176925"/>
    <w:rsid w:val="0017694B"/>
    <w:rsid w:val="00176BA8"/>
    <w:rsid w:val="00177488"/>
    <w:rsid w:val="0018029E"/>
    <w:rsid w:val="00180537"/>
    <w:rsid w:val="0018072D"/>
    <w:rsid w:val="001812C0"/>
    <w:rsid w:val="0018152B"/>
    <w:rsid w:val="00182230"/>
    <w:rsid w:val="00182977"/>
    <w:rsid w:val="001839E1"/>
    <w:rsid w:val="001848A3"/>
    <w:rsid w:val="00187CBD"/>
    <w:rsid w:val="00187D6F"/>
    <w:rsid w:val="001900C8"/>
    <w:rsid w:val="001914C7"/>
    <w:rsid w:val="00191597"/>
    <w:rsid w:val="00191906"/>
    <w:rsid w:val="00192768"/>
    <w:rsid w:val="00192A95"/>
    <w:rsid w:val="00192CA4"/>
    <w:rsid w:val="00192D50"/>
    <w:rsid w:val="0019442C"/>
    <w:rsid w:val="00194628"/>
    <w:rsid w:val="001946B2"/>
    <w:rsid w:val="00194B15"/>
    <w:rsid w:val="00194B57"/>
    <w:rsid w:val="001959CE"/>
    <w:rsid w:val="00197E9A"/>
    <w:rsid w:val="00197F0B"/>
    <w:rsid w:val="001A01F4"/>
    <w:rsid w:val="001A084E"/>
    <w:rsid w:val="001A0A7D"/>
    <w:rsid w:val="001A0FF5"/>
    <w:rsid w:val="001A1175"/>
    <w:rsid w:val="001A1556"/>
    <w:rsid w:val="001A186C"/>
    <w:rsid w:val="001A1911"/>
    <w:rsid w:val="001A25E0"/>
    <w:rsid w:val="001A2720"/>
    <w:rsid w:val="001A27C6"/>
    <w:rsid w:val="001A28EB"/>
    <w:rsid w:val="001A2996"/>
    <w:rsid w:val="001A2DEB"/>
    <w:rsid w:val="001A360B"/>
    <w:rsid w:val="001A413C"/>
    <w:rsid w:val="001A4473"/>
    <w:rsid w:val="001A4683"/>
    <w:rsid w:val="001A5478"/>
    <w:rsid w:val="001A578D"/>
    <w:rsid w:val="001A587E"/>
    <w:rsid w:val="001A58EB"/>
    <w:rsid w:val="001A5F47"/>
    <w:rsid w:val="001A685D"/>
    <w:rsid w:val="001A6C46"/>
    <w:rsid w:val="001A77AB"/>
    <w:rsid w:val="001A7B0A"/>
    <w:rsid w:val="001B10A2"/>
    <w:rsid w:val="001B126F"/>
    <w:rsid w:val="001B1F46"/>
    <w:rsid w:val="001B2C68"/>
    <w:rsid w:val="001B36E1"/>
    <w:rsid w:val="001B3A6F"/>
    <w:rsid w:val="001B4850"/>
    <w:rsid w:val="001B4907"/>
    <w:rsid w:val="001B4D2B"/>
    <w:rsid w:val="001B599D"/>
    <w:rsid w:val="001B59F4"/>
    <w:rsid w:val="001B5C8F"/>
    <w:rsid w:val="001B5E94"/>
    <w:rsid w:val="001B6408"/>
    <w:rsid w:val="001B68E1"/>
    <w:rsid w:val="001B6E33"/>
    <w:rsid w:val="001B6EC3"/>
    <w:rsid w:val="001B7B83"/>
    <w:rsid w:val="001C08A2"/>
    <w:rsid w:val="001C1549"/>
    <w:rsid w:val="001C15EF"/>
    <w:rsid w:val="001C1933"/>
    <w:rsid w:val="001C1975"/>
    <w:rsid w:val="001C1B54"/>
    <w:rsid w:val="001C1EFC"/>
    <w:rsid w:val="001C27DB"/>
    <w:rsid w:val="001C2AFA"/>
    <w:rsid w:val="001C2C5E"/>
    <w:rsid w:val="001C2DF4"/>
    <w:rsid w:val="001C3C06"/>
    <w:rsid w:val="001C4282"/>
    <w:rsid w:val="001C47A1"/>
    <w:rsid w:val="001C4B43"/>
    <w:rsid w:val="001C4BF4"/>
    <w:rsid w:val="001C5802"/>
    <w:rsid w:val="001C590C"/>
    <w:rsid w:val="001C6269"/>
    <w:rsid w:val="001C6391"/>
    <w:rsid w:val="001C668A"/>
    <w:rsid w:val="001C6A76"/>
    <w:rsid w:val="001C70F0"/>
    <w:rsid w:val="001C77C9"/>
    <w:rsid w:val="001C786B"/>
    <w:rsid w:val="001C7B85"/>
    <w:rsid w:val="001C7F86"/>
    <w:rsid w:val="001D0B0B"/>
    <w:rsid w:val="001D0EF3"/>
    <w:rsid w:val="001D1560"/>
    <w:rsid w:val="001D15CC"/>
    <w:rsid w:val="001D1A0B"/>
    <w:rsid w:val="001D1F96"/>
    <w:rsid w:val="001D221F"/>
    <w:rsid w:val="001D289D"/>
    <w:rsid w:val="001D2FB8"/>
    <w:rsid w:val="001D378A"/>
    <w:rsid w:val="001D3B5B"/>
    <w:rsid w:val="001D4117"/>
    <w:rsid w:val="001D42B1"/>
    <w:rsid w:val="001D43D5"/>
    <w:rsid w:val="001D4C9D"/>
    <w:rsid w:val="001D55C3"/>
    <w:rsid w:val="001D5A74"/>
    <w:rsid w:val="001D5B8B"/>
    <w:rsid w:val="001D613D"/>
    <w:rsid w:val="001D6327"/>
    <w:rsid w:val="001D6833"/>
    <w:rsid w:val="001D6E8D"/>
    <w:rsid w:val="001D797C"/>
    <w:rsid w:val="001D7CEF"/>
    <w:rsid w:val="001D7E19"/>
    <w:rsid w:val="001E06BC"/>
    <w:rsid w:val="001E0BC8"/>
    <w:rsid w:val="001E15E3"/>
    <w:rsid w:val="001E199B"/>
    <w:rsid w:val="001E2970"/>
    <w:rsid w:val="001E32D5"/>
    <w:rsid w:val="001E32FC"/>
    <w:rsid w:val="001E33C3"/>
    <w:rsid w:val="001E349E"/>
    <w:rsid w:val="001E3714"/>
    <w:rsid w:val="001E3BCD"/>
    <w:rsid w:val="001E4334"/>
    <w:rsid w:val="001E4689"/>
    <w:rsid w:val="001E5B1F"/>
    <w:rsid w:val="001E5D13"/>
    <w:rsid w:val="001E5F6A"/>
    <w:rsid w:val="001E674C"/>
    <w:rsid w:val="001E6A77"/>
    <w:rsid w:val="001E6C9E"/>
    <w:rsid w:val="001E730F"/>
    <w:rsid w:val="001E7861"/>
    <w:rsid w:val="001F063B"/>
    <w:rsid w:val="001F11A3"/>
    <w:rsid w:val="001F12AF"/>
    <w:rsid w:val="001F1842"/>
    <w:rsid w:val="001F1BC7"/>
    <w:rsid w:val="001F1DFD"/>
    <w:rsid w:val="001F1EC3"/>
    <w:rsid w:val="001F2489"/>
    <w:rsid w:val="001F2EE5"/>
    <w:rsid w:val="001F3202"/>
    <w:rsid w:val="001F328F"/>
    <w:rsid w:val="001F342F"/>
    <w:rsid w:val="001F354C"/>
    <w:rsid w:val="001F380A"/>
    <w:rsid w:val="001F3933"/>
    <w:rsid w:val="001F448F"/>
    <w:rsid w:val="001F4B45"/>
    <w:rsid w:val="001F5030"/>
    <w:rsid w:val="001F5244"/>
    <w:rsid w:val="001F5F93"/>
    <w:rsid w:val="001F6099"/>
    <w:rsid w:val="001F6339"/>
    <w:rsid w:val="002000CB"/>
    <w:rsid w:val="00200C49"/>
    <w:rsid w:val="00200E75"/>
    <w:rsid w:val="00201B2C"/>
    <w:rsid w:val="00201BD6"/>
    <w:rsid w:val="0020445B"/>
    <w:rsid w:val="002046D9"/>
    <w:rsid w:val="0020515C"/>
    <w:rsid w:val="002056D4"/>
    <w:rsid w:val="002062F1"/>
    <w:rsid w:val="00206AD5"/>
    <w:rsid w:val="00207199"/>
    <w:rsid w:val="0020775D"/>
    <w:rsid w:val="00207DA3"/>
    <w:rsid w:val="00210167"/>
    <w:rsid w:val="0021135E"/>
    <w:rsid w:val="00211513"/>
    <w:rsid w:val="002115C5"/>
    <w:rsid w:val="00211B5B"/>
    <w:rsid w:val="0021280E"/>
    <w:rsid w:val="00212AAE"/>
    <w:rsid w:val="00212CE1"/>
    <w:rsid w:val="00213322"/>
    <w:rsid w:val="00213A47"/>
    <w:rsid w:val="002140F6"/>
    <w:rsid w:val="0021499F"/>
    <w:rsid w:val="00214A6D"/>
    <w:rsid w:val="0021577B"/>
    <w:rsid w:val="002159F5"/>
    <w:rsid w:val="00215DA5"/>
    <w:rsid w:val="0021661C"/>
    <w:rsid w:val="002168FE"/>
    <w:rsid w:val="00216930"/>
    <w:rsid w:val="00216B8A"/>
    <w:rsid w:val="00216D63"/>
    <w:rsid w:val="00216DD2"/>
    <w:rsid w:val="002174FA"/>
    <w:rsid w:val="0021770D"/>
    <w:rsid w:val="002178E0"/>
    <w:rsid w:val="0021797D"/>
    <w:rsid w:val="00220A3F"/>
    <w:rsid w:val="002217E3"/>
    <w:rsid w:val="00221B36"/>
    <w:rsid w:val="002221A1"/>
    <w:rsid w:val="00222A09"/>
    <w:rsid w:val="00222A68"/>
    <w:rsid w:val="00222E37"/>
    <w:rsid w:val="00223A63"/>
    <w:rsid w:val="00223EFF"/>
    <w:rsid w:val="00224107"/>
    <w:rsid w:val="00224D42"/>
    <w:rsid w:val="002252DD"/>
    <w:rsid w:val="002254D1"/>
    <w:rsid w:val="002262CF"/>
    <w:rsid w:val="002263FE"/>
    <w:rsid w:val="00227D2F"/>
    <w:rsid w:val="00230DC1"/>
    <w:rsid w:val="002316CA"/>
    <w:rsid w:val="0023175A"/>
    <w:rsid w:val="00231972"/>
    <w:rsid w:val="00231C46"/>
    <w:rsid w:val="00231EBF"/>
    <w:rsid w:val="00232216"/>
    <w:rsid w:val="00233C4E"/>
    <w:rsid w:val="002346D5"/>
    <w:rsid w:val="00234D0F"/>
    <w:rsid w:val="00234E86"/>
    <w:rsid w:val="00235274"/>
    <w:rsid w:val="002353FD"/>
    <w:rsid w:val="00235C16"/>
    <w:rsid w:val="00235F77"/>
    <w:rsid w:val="002363FE"/>
    <w:rsid w:val="0023656A"/>
    <w:rsid w:val="00236F74"/>
    <w:rsid w:val="0023747E"/>
    <w:rsid w:val="00237482"/>
    <w:rsid w:val="0023768C"/>
    <w:rsid w:val="00237B3B"/>
    <w:rsid w:val="00237E4B"/>
    <w:rsid w:val="002409BA"/>
    <w:rsid w:val="00240D7D"/>
    <w:rsid w:val="0024218F"/>
    <w:rsid w:val="002434F5"/>
    <w:rsid w:val="00244109"/>
    <w:rsid w:val="00244C66"/>
    <w:rsid w:val="00244CA0"/>
    <w:rsid w:val="0024527C"/>
    <w:rsid w:val="00246230"/>
    <w:rsid w:val="00246896"/>
    <w:rsid w:val="00247C81"/>
    <w:rsid w:val="00247E5D"/>
    <w:rsid w:val="0025000E"/>
    <w:rsid w:val="00251465"/>
    <w:rsid w:val="00252A19"/>
    <w:rsid w:val="00252A9A"/>
    <w:rsid w:val="00253389"/>
    <w:rsid w:val="0025361D"/>
    <w:rsid w:val="002545F5"/>
    <w:rsid w:val="00254828"/>
    <w:rsid w:val="00254EF2"/>
    <w:rsid w:val="00254F71"/>
    <w:rsid w:val="00255176"/>
    <w:rsid w:val="00255478"/>
    <w:rsid w:val="0025571B"/>
    <w:rsid w:val="00255E22"/>
    <w:rsid w:val="00255EA0"/>
    <w:rsid w:val="0025741F"/>
    <w:rsid w:val="00257457"/>
    <w:rsid w:val="00257DF3"/>
    <w:rsid w:val="00260716"/>
    <w:rsid w:val="00260A96"/>
    <w:rsid w:val="00260C54"/>
    <w:rsid w:val="0026182A"/>
    <w:rsid w:val="00261D84"/>
    <w:rsid w:val="00261E8A"/>
    <w:rsid w:val="0026235A"/>
    <w:rsid w:val="0026246F"/>
    <w:rsid w:val="0026256B"/>
    <w:rsid w:val="00262B2F"/>
    <w:rsid w:val="002638E9"/>
    <w:rsid w:val="00264390"/>
    <w:rsid w:val="002644E7"/>
    <w:rsid w:val="002655B4"/>
    <w:rsid w:val="00265742"/>
    <w:rsid w:val="00265969"/>
    <w:rsid w:val="00265B58"/>
    <w:rsid w:val="00265BC8"/>
    <w:rsid w:val="0026620A"/>
    <w:rsid w:val="002665D4"/>
    <w:rsid w:val="00266884"/>
    <w:rsid w:val="00266C90"/>
    <w:rsid w:val="00266EB9"/>
    <w:rsid w:val="00266EE7"/>
    <w:rsid w:val="002703A3"/>
    <w:rsid w:val="00271F1F"/>
    <w:rsid w:val="00272132"/>
    <w:rsid w:val="00272343"/>
    <w:rsid w:val="002723CC"/>
    <w:rsid w:val="00272698"/>
    <w:rsid w:val="00272CCF"/>
    <w:rsid w:val="00273398"/>
    <w:rsid w:val="0027376C"/>
    <w:rsid w:val="00273880"/>
    <w:rsid w:val="002739E9"/>
    <w:rsid w:val="00273D7C"/>
    <w:rsid w:val="00273D86"/>
    <w:rsid w:val="00273E1B"/>
    <w:rsid w:val="002740C1"/>
    <w:rsid w:val="00274857"/>
    <w:rsid w:val="00275C74"/>
    <w:rsid w:val="0027609C"/>
    <w:rsid w:val="002764FA"/>
    <w:rsid w:val="00276536"/>
    <w:rsid w:val="00276BA8"/>
    <w:rsid w:val="00276E5C"/>
    <w:rsid w:val="00277067"/>
    <w:rsid w:val="0027798F"/>
    <w:rsid w:val="002779B5"/>
    <w:rsid w:val="00277CC9"/>
    <w:rsid w:val="0028005B"/>
    <w:rsid w:val="0028064B"/>
    <w:rsid w:val="00280CBF"/>
    <w:rsid w:val="00281764"/>
    <w:rsid w:val="00282AFC"/>
    <w:rsid w:val="00282CAC"/>
    <w:rsid w:val="00282D12"/>
    <w:rsid w:val="002833D4"/>
    <w:rsid w:val="00283595"/>
    <w:rsid w:val="00283E6E"/>
    <w:rsid w:val="0028412B"/>
    <w:rsid w:val="00284677"/>
    <w:rsid w:val="002853DD"/>
    <w:rsid w:val="00285415"/>
    <w:rsid w:val="002855FE"/>
    <w:rsid w:val="0028580B"/>
    <w:rsid w:val="00285DE6"/>
    <w:rsid w:val="00285F7E"/>
    <w:rsid w:val="002861C9"/>
    <w:rsid w:val="0028638B"/>
    <w:rsid w:val="002864B6"/>
    <w:rsid w:val="002866FA"/>
    <w:rsid w:val="00287081"/>
    <w:rsid w:val="00287A4A"/>
    <w:rsid w:val="00287EC8"/>
    <w:rsid w:val="0029015E"/>
    <w:rsid w:val="0029035A"/>
    <w:rsid w:val="002906F4"/>
    <w:rsid w:val="00290D95"/>
    <w:rsid w:val="002918A0"/>
    <w:rsid w:val="00291E29"/>
    <w:rsid w:val="0029232D"/>
    <w:rsid w:val="002923F7"/>
    <w:rsid w:val="00292BC1"/>
    <w:rsid w:val="00293122"/>
    <w:rsid w:val="002935C8"/>
    <w:rsid w:val="00293CEC"/>
    <w:rsid w:val="00293D0B"/>
    <w:rsid w:val="00293F8F"/>
    <w:rsid w:val="00294575"/>
    <w:rsid w:val="002945CE"/>
    <w:rsid w:val="00294C39"/>
    <w:rsid w:val="00294C72"/>
    <w:rsid w:val="002950B5"/>
    <w:rsid w:val="00295E60"/>
    <w:rsid w:val="00295FAA"/>
    <w:rsid w:val="002961AB"/>
    <w:rsid w:val="00297DF1"/>
    <w:rsid w:val="002A0529"/>
    <w:rsid w:val="002A1051"/>
    <w:rsid w:val="002A132E"/>
    <w:rsid w:val="002A348C"/>
    <w:rsid w:val="002A3B6F"/>
    <w:rsid w:val="002A3D86"/>
    <w:rsid w:val="002A4202"/>
    <w:rsid w:val="002A5026"/>
    <w:rsid w:val="002A544E"/>
    <w:rsid w:val="002A56CE"/>
    <w:rsid w:val="002A65B9"/>
    <w:rsid w:val="002A69DE"/>
    <w:rsid w:val="002A6BB0"/>
    <w:rsid w:val="002A77A0"/>
    <w:rsid w:val="002A782A"/>
    <w:rsid w:val="002A78B6"/>
    <w:rsid w:val="002A7C55"/>
    <w:rsid w:val="002B049E"/>
    <w:rsid w:val="002B06D1"/>
    <w:rsid w:val="002B0D47"/>
    <w:rsid w:val="002B0DB4"/>
    <w:rsid w:val="002B16A1"/>
    <w:rsid w:val="002B2135"/>
    <w:rsid w:val="002B2BAD"/>
    <w:rsid w:val="002B3AC7"/>
    <w:rsid w:val="002B3AE0"/>
    <w:rsid w:val="002B3B84"/>
    <w:rsid w:val="002B40E8"/>
    <w:rsid w:val="002B491D"/>
    <w:rsid w:val="002B4E98"/>
    <w:rsid w:val="002B59D9"/>
    <w:rsid w:val="002B5E09"/>
    <w:rsid w:val="002B6ED3"/>
    <w:rsid w:val="002B7426"/>
    <w:rsid w:val="002B756F"/>
    <w:rsid w:val="002C08D4"/>
    <w:rsid w:val="002C0A0D"/>
    <w:rsid w:val="002C0A7E"/>
    <w:rsid w:val="002C0CBB"/>
    <w:rsid w:val="002C0D03"/>
    <w:rsid w:val="002C1076"/>
    <w:rsid w:val="002C14E2"/>
    <w:rsid w:val="002C21B4"/>
    <w:rsid w:val="002C24AB"/>
    <w:rsid w:val="002C29AA"/>
    <w:rsid w:val="002C319D"/>
    <w:rsid w:val="002C3350"/>
    <w:rsid w:val="002C423F"/>
    <w:rsid w:val="002C4437"/>
    <w:rsid w:val="002C48EC"/>
    <w:rsid w:val="002C4B83"/>
    <w:rsid w:val="002C4BF9"/>
    <w:rsid w:val="002C4E24"/>
    <w:rsid w:val="002C5520"/>
    <w:rsid w:val="002C56F1"/>
    <w:rsid w:val="002C5790"/>
    <w:rsid w:val="002C5F41"/>
    <w:rsid w:val="002C6603"/>
    <w:rsid w:val="002C7C74"/>
    <w:rsid w:val="002C7D94"/>
    <w:rsid w:val="002D0760"/>
    <w:rsid w:val="002D0B75"/>
    <w:rsid w:val="002D14D2"/>
    <w:rsid w:val="002D1756"/>
    <w:rsid w:val="002D1AF6"/>
    <w:rsid w:val="002D1F2B"/>
    <w:rsid w:val="002D228B"/>
    <w:rsid w:val="002D22C6"/>
    <w:rsid w:val="002D2A49"/>
    <w:rsid w:val="002D2C85"/>
    <w:rsid w:val="002D3640"/>
    <w:rsid w:val="002D3775"/>
    <w:rsid w:val="002D3D87"/>
    <w:rsid w:val="002D4EF8"/>
    <w:rsid w:val="002D50B2"/>
    <w:rsid w:val="002D57D4"/>
    <w:rsid w:val="002D5A09"/>
    <w:rsid w:val="002D6206"/>
    <w:rsid w:val="002D7829"/>
    <w:rsid w:val="002D7B08"/>
    <w:rsid w:val="002E0245"/>
    <w:rsid w:val="002E0778"/>
    <w:rsid w:val="002E0EA3"/>
    <w:rsid w:val="002E1214"/>
    <w:rsid w:val="002E1590"/>
    <w:rsid w:val="002E1CD8"/>
    <w:rsid w:val="002E2231"/>
    <w:rsid w:val="002E2828"/>
    <w:rsid w:val="002E2E1E"/>
    <w:rsid w:val="002E34A0"/>
    <w:rsid w:val="002E3593"/>
    <w:rsid w:val="002E38F9"/>
    <w:rsid w:val="002E419A"/>
    <w:rsid w:val="002E489B"/>
    <w:rsid w:val="002E4D28"/>
    <w:rsid w:val="002E50B8"/>
    <w:rsid w:val="002E611A"/>
    <w:rsid w:val="002E796F"/>
    <w:rsid w:val="002F05F5"/>
    <w:rsid w:val="002F079A"/>
    <w:rsid w:val="002F0A5D"/>
    <w:rsid w:val="002F0F18"/>
    <w:rsid w:val="002F1722"/>
    <w:rsid w:val="002F1BEA"/>
    <w:rsid w:val="002F1D22"/>
    <w:rsid w:val="002F21D8"/>
    <w:rsid w:val="002F269B"/>
    <w:rsid w:val="002F27CD"/>
    <w:rsid w:val="002F3773"/>
    <w:rsid w:val="002F47D2"/>
    <w:rsid w:val="002F4E13"/>
    <w:rsid w:val="002F50E3"/>
    <w:rsid w:val="002F5126"/>
    <w:rsid w:val="002F5E29"/>
    <w:rsid w:val="002F5F80"/>
    <w:rsid w:val="002F5FCF"/>
    <w:rsid w:val="002F706C"/>
    <w:rsid w:val="002F75A9"/>
    <w:rsid w:val="0030062E"/>
    <w:rsid w:val="003007AD"/>
    <w:rsid w:val="003010B4"/>
    <w:rsid w:val="00301BF2"/>
    <w:rsid w:val="00301DB0"/>
    <w:rsid w:val="003025D0"/>
    <w:rsid w:val="00302645"/>
    <w:rsid w:val="00302D24"/>
    <w:rsid w:val="00302D4B"/>
    <w:rsid w:val="00303201"/>
    <w:rsid w:val="00303C96"/>
    <w:rsid w:val="00303D40"/>
    <w:rsid w:val="003046F4"/>
    <w:rsid w:val="003049E6"/>
    <w:rsid w:val="00304C37"/>
    <w:rsid w:val="003051AE"/>
    <w:rsid w:val="00306337"/>
    <w:rsid w:val="00306B53"/>
    <w:rsid w:val="00306DAF"/>
    <w:rsid w:val="00306DDE"/>
    <w:rsid w:val="003073C0"/>
    <w:rsid w:val="00307590"/>
    <w:rsid w:val="003075A3"/>
    <w:rsid w:val="00310475"/>
    <w:rsid w:val="0031174B"/>
    <w:rsid w:val="0031213B"/>
    <w:rsid w:val="00313104"/>
    <w:rsid w:val="00313B9F"/>
    <w:rsid w:val="00314A0D"/>
    <w:rsid w:val="00314DB7"/>
    <w:rsid w:val="00315608"/>
    <w:rsid w:val="00315DBD"/>
    <w:rsid w:val="00316C77"/>
    <w:rsid w:val="0031751B"/>
    <w:rsid w:val="003177FD"/>
    <w:rsid w:val="00317F52"/>
    <w:rsid w:val="00320211"/>
    <w:rsid w:val="00320A0E"/>
    <w:rsid w:val="00321C4E"/>
    <w:rsid w:val="00321C8F"/>
    <w:rsid w:val="003222AF"/>
    <w:rsid w:val="003225D2"/>
    <w:rsid w:val="0032314F"/>
    <w:rsid w:val="0032327C"/>
    <w:rsid w:val="00323330"/>
    <w:rsid w:val="00323CC5"/>
    <w:rsid w:val="0032444F"/>
    <w:rsid w:val="0032456C"/>
    <w:rsid w:val="00324731"/>
    <w:rsid w:val="00324C90"/>
    <w:rsid w:val="00324E8B"/>
    <w:rsid w:val="0032547E"/>
    <w:rsid w:val="00327503"/>
    <w:rsid w:val="003313B2"/>
    <w:rsid w:val="00331E15"/>
    <w:rsid w:val="00331F13"/>
    <w:rsid w:val="00332430"/>
    <w:rsid w:val="00332FD1"/>
    <w:rsid w:val="003330BB"/>
    <w:rsid w:val="00333787"/>
    <w:rsid w:val="003348C9"/>
    <w:rsid w:val="00334A93"/>
    <w:rsid w:val="00334C1C"/>
    <w:rsid w:val="0033675E"/>
    <w:rsid w:val="00336C6C"/>
    <w:rsid w:val="00336F48"/>
    <w:rsid w:val="003371B1"/>
    <w:rsid w:val="00337585"/>
    <w:rsid w:val="00337EC6"/>
    <w:rsid w:val="003400B5"/>
    <w:rsid w:val="00340100"/>
    <w:rsid w:val="00340DB4"/>
    <w:rsid w:val="00340F1B"/>
    <w:rsid w:val="00341A80"/>
    <w:rsid w:val="00341CFC"/>
    <w:rsid w:val="00342585"/>
    <w:rsid w:val="0034289B"/>
    <w:rsid w:val="0034301E"/>
    <w:rsid w:val="003439BD"/>
    <w:rsid w:val="0034414A"/>
    <w:rsid w:val="00344F57"/>
    <w:rsid w:val="00345029"/>
    <w:rsid w:val="00345471"/>
    <w:rsid w:val="00346041"/>
    <w:rsid w:val="00346280"/>
    <w:rsid w:val="003463F4"/>
    <w:rsid w:val="00347A8A"/>
    <w:rsid w:val="00347FA6"/>
    <w:rsid w:val="003501E2"/>
    <w:rsid w:val="003514FA"/>
    <w:rsid w:val="00351A35"/>
    <w:rsid w:val="00351FF8"/>
    <w:rsid w:val="003520BD"/>
    <w:rsid w:val="003520DA"/>
    <w:rsid w:val="003520E9"/>
    <w:rsid w:val="003521A7"/>
    <w:rsid w:val="00352935"/>
    <w:rsid w:val="00352BE6"/>
    <w:rsid w:val="00353D7D"/>
    <w:rsid w:val="003543A3"/>
    <w:rsid w:val="00356451"/>
    <w:rsid w:val="003572EE"/>
    <w:rsid w:val="00357678"/>
    <w:rsid w:val="00360B4C"/>
    <w:rsid w:val="00360BC9"/>
    <w:rsid w:val="00361864"/>
    <w:rsid w:val="00361C23"/>
    <w:rsid w:val="00361DB7"/>
    <w:rsid w:val="0036264C"/>
    <w:rsid w:val="003628E0"/>
    <w:rsid w:val="00362A34"/>
    <w:rsid w:val="00362AA7"/>
    <w:rsid w:val="00362B40"/>
    <w:rsid w:val="00362D9C"/>
    <w:rsid w:val="00362E3A"/>
    <w:rsid w:val="003637AD"/>
    <w:rsid w:val="00363FAF"/>
    <w:rsid w:val="00364477"/>
    <w:rsid w:val="003652F9"/>
    <w:rsid w:val="003656D5"/>
    <w:rsid w:val="0036571D"/>
    <w:rsid w:val="00365A40"/>
    <w:rsid w:val="003662A0"/>
    <w:rsid w:val="00366802"/>
    <w:rsid w:val="003668A6"/>
    <w:rsid w:val="00366EEE"/>
    <w:rsid w:val="0036757B"/>
    <w:rsid w:val="0036778B"/>
    <w:rsid w:val="00367E97"/>
    <w:rsid w:val="00370BE4"/>
    <w:rsid w:val="00370C20"/>
    <w:rsid w:val="00370E9A"/>
    <w:rsid w:val="0037116A"/>
    <w:rsid w:val="00371A91"/>
    <w:rsid w:val="00371AAD"/>
    <w:rsid w:val="00372696"/>
    <w:rsid w:val="00372FE7"/>
    <w:rsid w:val="003737E3"/>
    <w:rsid w:val="003738EB"/>
    <w:rsid w:val="00374D0B"/>
    <w:rsid w:val="00374D8C"/>
    <w:rsid w:val="00375050"/>
    <w:rsid w:val="00375435"/>
    <w:rsid w:val="00380744"/>
    <w:rsid w:val="0038177C"/>
    <w:rsid w:val="0038339A"/>
    <w:rsid w:val="003841FC"/>
    <w:rsid w:val="00384910"/>
    <w:rsid w:val="00384CD7"/>
    <w:rsid w:val="00385C8F"/>
    <w:rsid w:val="00385E76"/>
    <w:rsid w:val="003865DA"/>
    <w:rsid w:val="003867D4"/>
    <w:rsid w:val="00386892"/>
    <w:rsid w:val="00386E8C"/>
    <w:rsid w:val="00387235"/>
    <w:rsid w:val="00387FBC"/>
    <w:rsid w:val="003902E4"/>
    <w:rsid w:val="003919DD"/>
    <w:rsid w:val="0039240F"/>
    <w:rsid w:val="00392580"/>
    <w:rsid w:val="00392962"/>
    <w:rsid w:val="00392D16"/>
    <w:rsid w:val="00393450"/>
    <w:rsid w:val="003935CE"/>
    <w:rsid w:val="00393961"/>
    <w:rsid w:val="00393BEC"/>
    <w:rsid w:val="00393DEA"/>
    <w:rsid w:val="00394A1D"/>
    <w:rsid w:val="00395085"/>
    <w:rsid w:val="0039593C"/>
    <w:rsid w:val="003961D0"/>
    <w:rsid w:val="003965A4"/>
    <w:rsid w:val="003966EC"/>
    <w:rsid w:val="00396819"/>
    <w:rsid w:val="00396B62"/>
    <w:rsid w:val="00396BA8"/>
    <w:rsid w:val="00397A99"/>
    <w:rsid w:val="00397B83"/>
    <w:rsid w:val="00397CE6"/>
    <w:rsid w:val="003A056C"/>
    <w:rsid w:val="003A067B"/>
    <w:rsid w:val="003A0D11"/>
    <w:rsid w:val="003A0DDF"/>
    <w:rsid w:val="003A2E58"/>
    <w:rsid w:val="003A31E9"/>
    <w:rsid w:val="003A3559"/>
    <w:rsid w:val="003A3864"/>
    <w:rsid w:val="003A3A5C"/>
    <w:rsid w:val="003A49C0"/>
    <w:rsid w:val="003A4F8B"/>
    <w:rsid w:val="003A5789"/>
    <w:rsid w:val="003A5C89"/>
    <w:rsid w:val="003A71C0"/>
    <w:rsid w:val="003A7EAF"/>
    <w:rsid w:val="003A7F6D"/>
    <w:rsid w:val="003B0335"/>
    <w:rsid w:val="003B19D6"/>
    <w:rsid w:val="003B20C9"/>
    <w:rsid w:val="003B2207"/>
    <w:rsid w:val="003B47E9"/>
    <w:rsid w:val="003B495F"/>
    <w:rsid w:val="003B4D6E"/>
    <w:rsid w:val="003B5173"/>
    <w:rsid w:val="003B5878"/>
    <w:rsid w:val="003B5D9C"/>
    <w:rsid w:val="003B6430"/>
    <w:rsid w:val="003B66C9"/>
    <w:rsid w:val="003B66F4"/>
    <w:rsid w:val="003B6EB8"/>
    <w:rsid w:val="003B74D7"/>
    <w:rsid w:val="003B77FA"/>
    <w:rsid w:val="003B7D4F"/>
    <w:rsid w:val="003C01EB"/>
    <w:rsid w:val="003C0881"/>
    <w:rsid w:val="003C0A37"/>
    <w:rsid w:val="003C0D3B"/>
    <w:rsid w:val="003C1355"/>
    <w:rsid w:val="003C1A46"/>
    <w:rsid w:val="003C1B24"/>
    <w:rsid w:val="003C1D6B"/>
    <w:rsid w:val="003C1F1A"/>
    <w:rsid w:val="003C203F"/>
    <w:rsid w:val="003C20DC"/>
    <w:rsid w:val="003C22E4"/>
    <w:rsid w:val="003C36B6"/>
    <w:rsid w:val="003C4263"/>
    <w:rsid w:val="003C4EA1"/>
    <w:rsid w:val="003C69C8"/>
    <w:rsid w:val="003C69F8"/>
    <w:rsid w:val="003C6E20"/>
    <w:rsid w:val="003C73B5"/>
    <w:rsid w:val="003C7449"/>
    <w:rsid w:val="003C7D78"/>
    <w:rsid w:val="003D028D"/>
    <w:rsid w:val="003D08A8"/>
    <w:rsid w:val="003D0C8B"/>
    <w:rsid w:val="003D1921"/>
    <w:rsid w:val="003D1B8B"/>
    <w:rsid w:val="003D2055"/>
    <w:rsid w:val="003D209A"/>
    <w:rsid w:val="003D23FD"/>
    <w:rsid w:val="003D33A1"/>
    <w:rsid w:val="003D35EC"/>
    <w:rsid w:val="003D45B8"/>
    <w:rsid w:val="003D470C"/>
    <w:rsid w:val="003D4988"/>
    <w:rsid w:val="003D4FCF"/>
    <w:rsid w:val="003D5316"/>
    <w:rsid w:val="003D587A"/>
    <w:rsid w:val="003D6035"/>
    <w:rsid w:val="003D61E3"/>
    <w:rsid w:val="003D79F8"/>
    <w:rsid w:val="003D7B0C"/>
    <w:rsid w:val="003E0064"/>
    <w:rsid w:val="003E036C"/>
    <w:rsid w:val="003E0729"/>
    <w:rsid w:val="003E0F6B"/>
    <w:rsid w:val="003E141F"/>
    <w:rsid w:val="003E18B2"/>
    <w:rsid w:val="003E192C"/>
    <w:rsid w:val="003E1F2E"/>
    <w:rsid w:val="003E2940"/>
    <w:rsid w:val="003E2E1E"/>
    <w:rsid w:val="003E3359"/>
    <w:rsid w:val="003E34CA"/>
    <w:rsid w:val="003E3A13"/>
    <w:rsid w:val="003E3D5F"/>
    <w:rsid w:val="003E4F10"/>
    <w:rsid w:val="003E5675"/>
    <w:rsid w:val="003E5BBA"/>
    <w:rsid w:val="003E6157"/>
    <w:rsid w:val="003E6418"/>
    <w:rsid w:val="003E6496"/>
    <w:rsid w:val="003E6E0A"/>
    <w:rsid w:val="003E7168"/>
    <w:rsid w:val="003E73E5"/>
    <w:rsid w:val="003E7BD0"/>
    <w:rsid w:val="003F0303"/>
    <w:rsid w:val="003F119B"/>
    <w:rsid w:val="003F188A"/>
    <w:rsid w:val="003F19B9"/>
    <w:rsid w:val="003F1C64"/>
    <w:rsid w:val="003F1DB3"/>
    <w:rsid w:val="003F23FE"/>
    <w:rsid w:val="003F2BA3"/>
    <w:rsid w:val="003F2CB6"/>
    <w:rsid w:val="003F31FE"/>
    <w:rsid w:val="003F368C"/>
    <w:rsid w:val="003F38B1"/>
    <w:rsid w:val="003F3BB1"/>
    <w:rsid w:val="003F3DC1"/>
    <w:rsid w:val="003F429F"/>
    <w:rsid w:val="003F58B8"/>
    <w:rsid w:val="003F5F06"/>
    <w:rsid w:val="003F64DF"/>
    <w:rsid w:val="003F6992"/>
    <w:rsid w:val="003F6CE3"/>
    <w:rsid w:val="003F6D16"/>
    <w:rsid w:val="003F6DC2"/>
    <w:rsid w:val="003F7467"/>
    <w:rsid w:val="003F7FA4"/>
    <w:rsid w:val="0040077F"/>
    <w:rsid w:val="00400EA5"/>
    <w:rsid w:val="00401321"/>
    <w:rsid w:val="004019AF"/>
    <w:rsid w:val="00401B6F"/>
    <w:rsid w:val="00401E33"/>
    <w:rsid w:val="00401EF1"/>
    <w:rsid w:val="0040232B"/>
    <w:rsid w:val="004023B2"/>
    <w:rsid w:val="004025AF"/>
    <w:rsid w:val="004041F0"/>
    <w:rsid w:val="00404522"/>
    <w:rsid w:val="00404C2E"/>
    <w:rsid w:val="0040555E"/>
    <w:rsid w:val="00405DF6"/>
    <w:rsid w:val="00405EDC"/>
    <w:rsid w:val="00406A09"/>
    <w:rsid w:val="00406BED"/>
    <w:rsid w:val="00406C2E"/>
    <w:rsid w:val="00407967"/>
    <w:rsid w:val="00407CEB"/>
    <w:rsid w:val="00407F82"/>
    <w:rsid w:val="0041018E"/>
    <w:rsid w:val="004103F8"/>
    <w:rsid w:val="0041041D"/>
    <w:rsid w:val="0041085C"/>
    <w:rsid w:val="004113C4"/>
    <w:rsid w:val="00411498"/>
    <w:rsid w:val="004118F8"/>
    <w:rsid w:val="00411B93"/>
    <w:rsid w:val="00412C09"/>
    <w:rsid w:val="0041374A"/>
    <w:rsid w:val="00413D64"/>
    <w:rsid w:val="004146BD"/>
    <w:rsid w:val="00415718"/>
    <w:rsid w:val="00415BD7"/>
    <w:rsid w:val="00415E52"/>
    <w:rsid w:val="004166B4"/>
    <w:rsid w:val="00416A63"/>
    <w:rsid w:val="00416A6E"/>
    <w:rsid w:val="0041733B"/>
    <w:rsid w:val="0041773A"/>
    <w:rsid w:val="00417D49"/>
    <w:rsid w:val="004207CB"/>
    <w:rsid w:val="00421175"/>
    <w:rsid w:val="0042135B"/>
    <w:rsid w:val="00421FE0"/>
    <w:rsid w:val="004220D6"/>
    <w:rsid w:val="00422901"/>
    <w:rsid w:val="00422936"/>
    <w:rsid w:val="00422D33"/>
    <w:rsid w:val="00423D0B"/>
    <w:rsid w:val="00423D21"/>
    <w:rsid w:val="00424351"/>
    <w:rsid w:val="004246DF"/>
    <w:rsid w:val="004249B8"/>
    <w:rsid w:val="00424FBE"/>
    <w:rsid w:val="004258E8"/>
    <w:rsid w:val="00425CBF"/>
    <w:rsid w:val="00425DBC"/>
    <w:rsid w:val="00426273"/>
    <w:rsid w:val="0042631D"/>
    <w:rsid w:val="00427F8A"/>
    <w:rsid w:val="004301E6"/>
    <w:rsid w:val="00430267"/>
    <w:rsid w:val="00430D30"/>
    <w:rsid w:val="004319DA"/>
    <w:rsid w:val="00431D7F"/>
    <w:rsid w:val="00432082"/>
    <w:rsid w:val="00432117"/>
    <w:rsid w:val="004324FE"/>
    <w:rsid w:val="00432541"/>
    <w:rsid w:val="004326AA"/>
    <w:rsid w:val="004327AA"/>
    <w:rsid w:val="00432C8A"/>
    <w:rsid w:val="00432E9C"/>
    <w:rsid w:val="0043453D"/>
    <w:rsid w:val="0043489C"/>
    <w:rsid w:val="00434AED"/>
    <w:rsid w:val="00434EA6"/>
    <w:rsid w:val="00434F87"/>
    <w:rsid w:val="00436586"/>
    <w:rsid w:val="00436668"/>
    <w:rsid w:val="00436B3D"/>
    <w:rsid w:val="00436DF9"/>
    <w:rsid w:val="00436EA2"/>
    <w:rsid w:val="00440D7B"/>
    <w:rsid w:val="0044118B"/>
    <w:rsid w:val="004412AB"/>
    <w:rsid w:val="004414F5"/>
    <w:rsid w:val="004417DB"/>
    <w:rsid w:val="00441D08"/>
    <w:rsid w:val="00442343"/>
    <w:rsid w:val="004423B0"/>
    <w:rsid w:val="004425D3"/>
    <w:rsid w:val="004426B0"/>
    <w:rsid w:val="00442800"/>
    <w:rsid w:val="0044291F"/>
    <w:rsid w:val="004431C6"/>
    <w:rsid w:val="0044339F"/>
    <w:rsid w:val="004448A5"/>
    <w:rsid w:val="00444A00"/>
    <w:rsid w:val="00445A37"/>
    <w:rsid w:val="00445D31"/>
    <w:rsid w:val="00445E8D"/>
    <w:rsid w:val="004470B2"/>
    <w:rsid w:val="00447276"/>
    <w:rsid w:val="00447525"/>
    <w:rsid w:val="00447A40"/>
    <w:rsid w:val="00447F51"/>
    <w:rsid w:val="00450AB5"/>
    <w:rsid w:val="00450DBB"/>
    <w:rsid w:val="004516A0"/>
    <w:rsid w:val="0045187F"/>
    <w:rsid w:val="004518BE"/>
    <w:rsid w:val="00451B4A"/>
    <w:rsid w:val="00452185"/>
    <w:rsid w:val="0045227C"/>
    <w:rsid w:val="00452B33"/>
    <w:rsid w:val="00452CC7"/>
    <w:rsid w:val="00454231"/>
    <w:rsid w:val="00454273"/>
    <w:rsid w:val="00454735"/>
    <w:rsid w:val="00454C0D"/>
    <w:rsid w:val="00454D86"/>
    <w:rsid w:val="00455064"/>
    <w:rsid w:val="00455B3E"/>
    <w:rsid w:val="00455E03"/>
    <w:rsid w:val="004564AE"/>
    <w:rsid w:val="00457309"/>
    <w:rsid w:val="0045738C"/>
    <w:rsid w:val="004573D0"/>
    <w:rsid w:val="0045769A"/>
    <w:rsid w:val="004576A8"/>
    <w:rsid w:val="00457764"/>
    <w:rsid w:val="00460809"/>
    <w:rsid w:val="00460B93"/>
    <w:rsid w:val="00460BD9"/>
    <w:rsid w:val="00461441"/>
    <w:rsid w:val="004614CE"/>
    <w:rsid w:val="004621D9"/>
    <w:rsid w:val="00462860"/>
    <w:rsid w:val="00462FFF"/>
    <w:rsid w:val="0046313E"/>
    <w:rsid w:val="004640C2"/>
    <w:rsid w:val="004643A9"/>
    <w:rsid w:val="0046525F"/>
    <w:rsid w:val="004654BB"/>
    <w:rsid w:val="004656EC"/>
    <w:rsid w:val="00465B05"/>
    <w:rsid w:val="00465DDB"/>
    <w:rsid w:val="00465FAF"/>
    <w:rsid w:val="00466051"/>
    <w:rsid w:val="004667F8"/>
    <w:rsid w:val="00466849"/>
    <w:rsid w:val="00466D30"/>
    <w:rsid w:val="00466D4D"/>
    <w:rsid w:val="0046708B"/>
    <w:rsid w:val="0047073C"/>
    <w:rsid w:val="00470A54"/>
    <w:rsid w:val="0047162F"/>
    <w:rsid w:val="00471A6B"/>
    <w:rsid w:val="00471D8B"/>
    <w:rsid w:val="004724FC"/>
    <w:rsid w:val="004736C8"/>
    <w:rsid w:val="00473BF2"/>
    <w:rsid w:val="0047419E"/>
    <w:rsid w:val="0047441E"/>
    <w:rsid w:val="0047473C"/>
    <w:rsid w:val="00474948"/>
    <w:rsid w:val="0047500A"/>
    <w:rsid w:val="0047567E"/>
    <w:rsid w:val="0047618F"/>
    <w:rsid w:val="004762A5"/>
    <w:rsid w:val="00476CD1"/>
    <w:rsid w:val="00476D47"/>
    <w:rsid w:val="00476EF5"/>
    <w:rsid w:val="0047717E"/>
    <w:rsid w:val="00481460"/>
    <w:rsid w:val="004822FB"/>
    <w:rsid w:val="00482340"/>
    <w:rsid w:val="00483081"/>
    <w:rsid w:val="00483291"/>
    <w:rsid w:val="004834EE"/>
    <w:rsid w:val="004837C4"/>
    <w:rsid w:val="00483B57"/>
    <w:rsid w:val="00483EC9"/>
    <w:rsid w:val="00483F57"/>
    <w:rsid w:val="00485511"/>
    <w:rsid w:val="0048645D"/>
    <w:rsid w:val="00486E8E"/>
    <w:rsid w:val="004871B5"/>
    <w:rsid w:val="004873AE"/>
    <w:rsid w:val="0048755F"/>
    <w:rsid w:val="00487792"/>
    <w:rsid w:val="00487DD4"/>
    <w:rsid w:val="00490315"/>
    <w:rsid w:val="0049079F"/>
    <w:rsid w:val="004908E9"/>
    <w:rsid w:val="00490ABD"/>
    <w:rsid w:val="00490BCB"/>
    <w:rsid w:val="00490F80"/>
    <w:rsid w:val="00491EA3"/>
    <w:rsid w:val="00492212"/>
    <w:rsid w:val="004925F0"/>
    <w:rsid w:val="004928D1"/>
    <w:rsid w:val="00492CC3"/>
    <w:rsid w:val="00494262"/>
    <w:rsid w:val="00494C09"/>
    <w:rsid w:val="00494C8E"/>
    <w:rsid w:val="0049528E"/>
    <w:rsid w:val="00495E0F"/>
    <w:rsid w:val="00495F60"/>
    <w:rsid w:val="0049659F"/>
    <w:rsid w:val="00496FC4"/>
    <w:rsid w:val="0049708D"/>
    <w:rsid w:val="00497597"/>
    <w:rsid w:val="004975F5"/>
    <w:rsid w:val="0049786D"/>
    <w:rsid w:val="004A05A7"/>
    <w:rsid w:val="004A164C"/>
    <w:rsid w:val="004A1F62"/>
    <w:rsid w:val="004A2081"/>
    <w:rsid w:val="004A24E6"/>
    <w:rsid w:val="004A25F7"/>
    <w:rsid w:val="004A2C1F"/>
    <w:rsid w:val="004A2EDA"/>
    <w:rsid w:val="004A333C"/>
    <w:rsid w:val="004A33F1"/>
    <w:rsid w:val="004A3553"/>
    <w:rsid w:val="004A3B7C"/>
    <w:rsid w:val="004A40AA"/>
    <w:rsid w:val="004A42F9"/>
    <w:rsid w:val="004A4358"/>
    <w:rsid w:val="004A4DA4"/>
    <w:rsid w:val="004A51BF"/>
    <w:rsid w:val="004A54CC"/>
    <w:rsid w:val="004A6498"/>
    <w:rsid w:val="004A693B"/>
    <w:rsid w:val="004A69AA"/>
    <w:rsid w:val="004A6F18"/>
    <w:rsid w:val="004A7224"/>
    <w:rsid w:val="004A776D"/>
    <w:rsid w:val="004A77CE"/>
    <w:rsid w:val="004A7914"/>
    <w:rsid w:val="004A7BAB"/>
    <w:rsid w:val="004B0453"/>
    <w:rsid w:val="004B085E"/>
    <w:rsid w:val="004B0AA0"/>
    <w:rsid w:val="004B2426"/>
    <w:rsid w:val="004B2501"/>
    <w:rsid w:val="004B2EEE"/>
    <w:rsid w:val="004B34F4"/>
    <w:rsid w:val="004B355D"/>
    <w:rsid w:val="004B371A"/>
    <w:rsid w:val="004B38B8"/>
    <w:rsid w:val="004B3C51"/>
    <w:rsid w:val="004B432F"/>
    <w:rsid w:val="004B4C83"/>
    <w:rsid w:val="004B5231"/>
    <w:rsid w:val="004B58C8"/>
    <w:rsid w:val="004B5E82"/>
    <w:rsid w:val="004B604F"/>
    <w:rsid w:val="004C00A6"/>
    <w:rsid w:val="004C0F91"/>
    <w:rsid w:val="004C22A0"/>
    <w:rsid w:val="004C2321"/>
    <w:rsid w:val="004C2EDA"/>
    <w:rsid w:val="004C330F"/>
    <w:rsid w:val="004C39B4"/>
    <w:rsid w:val="004C3A29"/>
    <w:rsid w:val="004C3D2C"/>
    <w:rsid w:val="004C4489"/>
    <w:rsid w:val="004C5B80"/>
    <w:rsid w:val="004C6253"/>
    <w:rsid w:val="004C672D"/>
    <w:rsid w:val="004C797D"/>
    <w:rsid w:val="004C7988"/>
    <w:rsid w:val="004D04A9"/>
    <w:rsid w:val="004D04BA"/>
    <w:rsid w:val="004D13A5"/>
    <w:rsid w:val="004D1631"/>
    <w:rsid w:val="004D1711"/>
    <w:rsid w:val="004D1C0C"/>
    <w:rsid w:val="004D1E9C"/>
    <w:rsid w:val="004D2187"/>
    <w:rsid w:val="004D27CA"/>
    <w:rsid w:val="004D2B45"/>
    <w:rsid w:val="004D3957"/>
    <w:rsid w:val="004D3CB2"/>
    <w:rsid w:val="004D402E"/>
    <w:rsid w:val="004D4111"/>
    <w:rsid w:val="004D4327"/>
    <w:rsid w:val="004D43A1"/>
    <w:rsid w:val="004D463A"/>
    <w:rsid w:val="004D4DF6"/>
    <w:rsid w:val="004D6184"/>
    <w:rsid w:val="004D679E"/>
    <w:rsid w:val="004D6980"/>
    <w:rsid w:val="004D6ADD"/>
    <w:rsid w:val="004D7D19"/>
    <w:rsid w:val="004E0822"/>
    <w:rsid w:val="004E0B28"/>
    <w:rsid w:val="004E0C88"/>
    <w:rsid w:val="004E0DCC"/>
    <w:rsid w:val="004E0FA8"/>
    <w:rsid w:val="004E12D7"/>
    <w:rsid w:val="004E1725"/>
    <w:rsid w:val="004E1883"/>
    <w:rsid w:val="004E213F"/>
    <w:rsid w:val="004E2304"/>
    <w:rsid w:val="004E36F9"/>
    <w:rsid w:val="004E3EC5"/>
    <w:rsid w:val="004E40CB"/>
    <w:rsid w:val="004E476A"/>
    <w:rsid w:val="004E4D7C"/>
    <w:rsid w:val="004E4EAD"/>
    <w:rsid w:val="004E5277"/>
    <w:rsid w:val="004E5911"/>
    <w:rsid w:val="004E5B13"/>
    <w:rsid w:val="004E7916"/>
    <w:rsid w:val="004F041B"/>
    <w:rsid w:val="004F081E"/>
    <w:rsid w:val="004F0F4D"/>
    <w:rsid w:val="004F14AB"/>
    <w:rsid w:val="004F22CE"/>
    <w:rsid w:val="004F2B99"/>
    <w:rsid w:val="004F2C7D"/>
    <w:rsid w:val="004F2CED"/>
    <w:rsid w:val="004F374E"/>
    <w:rsid w:val="004F4447"/>
    <w:rsid w:val="004F45B4"/>
    <w:rsid w:val="004F4682"/>
    <w:rsid w:val="004F4AA4"/>
    <w:rsid w:val="004F5BDE"/>
    <w:rsid w:val="004F6004"/>
    <w:rsid w:val="004F663E"/>
    <w:rsid w:val="004F752F"/>
    <w:rsid w:val="00500BFA"/>
    <w:rsid w:val="005010E0"/>
    <w:rsid w:val="00502269"/>
    <w:rsid w:val="00502B1A"/>
    <w:rsid w:val="005033FB"/>
    <w:rsid w:val="00503AB6"/>
    <w:rsid w:val="00503EBB"/>
    <w:rsid w:val="00503F91"/>
    <w:rsid w:val="00504D39"/>
    <w:rsid w:val="005055EA"/>
    <w:rsid w:val="005063C7"/>
    <w:rsid w:val="00506818"/>
    <w:rsid w:val="0050694F"/>
    <w:rsid w:val="00507321"/>
    <w:rsid w:val="00507641"/>
    <w:rsid w:val="00507784"/>
    <w:rsid w:val="00507F2F"/>
    <w:rsid w:val="00507F47"/>
    <w:rsid w:val="00507FBF"/>
    <w:rsid w:val="00510317"/>
    <w:rsid w:val="0051095E"/>
    <w:rsid w:val="00510C34"/>
    <w:rsid w:val="00511F8B"/>
    <w:rsid w:val="005121CC"/>
    <w:rsid w:val="00512230"/>
    <w:rsid w:val="00513249"/>
    <w:rsid w:val="005133E1"/>
    <w:rsid w:val="005142E2"/>
    <w:rsid w:val="00514A53"/>
    <w:rsid w:val="00514D07"/>
    <w:rsid w:val="0051562E"/>
    <w:rsid w:val="00515929"/>
    <w:rsid w:val="005159DE"/>
    <w:rsid w:val="00515AD9"/>
    <w:rsid w:val="00515B5D"/>
    <w:rsid w:val="00515B93"/>
    <w:rsid w:val="00515D6F"/>
    <w:rsid w:val="00516AB5"/>
    <w:rsid w:val="00517386"/>
    <w:rsid w:val="005177DB"/>
    <w:rsid w:val="00517A5C"/>
    <w:rsid w:val="00517D1D"/>
    <w:rsid w:val="00517DF8"/>
    <w:rsid w:val="00517F44"/>
    <w:rsid w:val="00520106"/>
    <w:rsid w:val="005205D2"/>
    <w:rsid w:val="00520FE5"/>
    <w:rsid w:val="00521CCC"/>
    <w:rsid w:val="00521E3B"/>
    <w:rsid w:val="005222B3"/>
    <w:rsid w:val="00523052"/>
    <w:rsid w:val="0052310A"/>
    <w:rsid w:val="0052335E"/>
    <w:rsid w:val="00523C89"/>
    <w:rsid w:val="00523D6F"/>
    <w:rsid w:val="00523F60"/>
    <w:rsid w:val="00523FEB"/>
    <w:rsid w:val="00524648"/>
    <w:rsid w:val="00524D53"/>
    <w:rsid w:val="005252CF"/>
    <w:rsid w:val="00525789"/>
    <w:rsid w:val="005270DC"/>
    <w:rsid w:val="00530372"/>
    <w:rsid w:val="00530D8F"/>
    <w:rsid w:val="00531162"/>
    <w:rsid w:val="005311F1"/>
    <w:rsid w:val="005315E0"/>
    <w:rsid w:val="0053170B"/>
    <w:rsid w:val="005330CC"/>
    <w:rsid w:val="005336B3"/>
    <w:rsid w:val="0053372A"/>
    <w:rsid w:val="00533934"/>
    <w:rsid w:val="00533DA0"/>
    <w:rsid w:val="0053445A"/>
    <w:rsid w:val="00534784"/>
    <w:rsid w:val="005348F8"/>
    <w:rsid w:val="00534A0E"/>
    <w:rsid w:val="005357C7"/>
    <w:rsid w:val="00535F8C"/>
    <w:rsid w:val="005364C5"/>
    <w:rsid w:val="00537306"/>
    <w:rsid w:val="00537386"/>
    <w:rsid w:val="00537A0A"/>
    <w:rsid w:val="00537EC8"/>
    <w:rsid w:val="00537FA6"/>
    <w:rsid w:val="00540B29"/>
    <w:rsid w:val="005412A1"/>
    <w:rsid w:val="005422E4"/>
    <w:rsid w:val="00542DE1"/>
    <w:rsid w:val="00543072"/>
    <w:rsid w:val="00543DAC"/>
    <w:rsid w:val="00543EE8"/>
    <w:rsid w:val="005444C9"/>
    <w:rsid w:val="00544900"/>
    <w:rsid w:val="005450F0"/>
    <w:rsid w:val="00545A4D"/>
    <w:rsid w:val="005461AC"/>
    <w:rsid w:val="005461E8"/>
    <w:rsid w:val="005462D3"/>
    <w:rsid w:val="005465D2"/>
    <w:rsid w:val="00546981"/>
    <w:rsid w:val="00546D49"/>
    <w:rsid w:val="00546F8E"/>
    <w:rsid w:val="0054703B"/>
    <w:rsid w:val="005477B1"/>
    <w:rsid w:val="00547C5E"/>
    <w:rsid w:val="00550B82"/>
    <w:rsid w:val="00551214"/>
    <w:rsid w:val="0055182E"/>
    <w:rsid w:val="005518B2"/>
    <w:rsid w:val="005519E3"/>
    <w:rsid w:val="005519F3"/>
    <w:rsid w:val="00551CA6"/>
    <w:rsid w:val="00552816"/>
    <w:rsid w:val="005529A6"/>
    <w:rsid w:val="00552D2D"/>
    <w:rsid w:val="00552EA3"/>
    <w:rsid w:val="00552EEA"/>
    <w:rsid w:val="00553265"/>
    <w:rsid w:val="00553358"/>
    <w:rsid w:val="00553E4A"/>
    <w:rsid w:val="00553FD0"/>
    <w:rsid w:val="00555199"/>
    <w:rsid w:val="00555BA7"/>
    <w:rsid w:val="00555BB1"/>
    <w:rsid w:val="005562CF"/>
    <w:rsid w:val="00556445"/>
    <w:rsid w:val="00556641"/>
    <w:rsid w:val="00556FEF"/>
    <w:rsid w:val="00557330"/>
    <w:rsid w:val="0055741D"/>
    <w:rsid w:val="005574E5"/>
    <w:rsid w:val="00557577"/>
    <w:rsid w:val="00557E7D"/>
    <w:rsid w:val="0056030C"/>
    <w:rsid w:val="005614AD"/>
    <w:rsid w:val="00561835"/>
    <w:rsid w:val="00561D71"/>
    <w:rsid w:val="0056243B"/>
    <w:rsid w:val="00562927"/>
    <w:rsid w:val="00563C4C"/>
    <w:rsid w:val="00563EA6"/>
    <w:rsid w:val="00564590"/>
    <w:rsid w:val="00564CD8"/>
    <w:rsid w:val="00565482"/>
    <w:rsid w:val="00565A14"/>
    <w:rsid w:val="005665CD"/>
    <w:rsid w:val="00566757"/>
    <w:rsid w:val="005669B7"/>
    <w:rsid w:val="0056761B"/>
    <w:rsid w:val="00567A44"/>
    <w:rsid w:val="00567D17"/>
    <w:rsid w:val="00570AF6"/>
    <w:rsid w:val="00570FED"/>
    <w:rsid w:val="005717AE"/>
    <w:rsid w:val="00571825"/>
    <w:rsid w:val="005718A1"/>
    <w:rsid w:val="005718A2"/>
    <w:rsid w:val="005719C1"/>
    <w:rsid w:val="00571C9D"/>
    <w:rsid w:val="00571CBF"/>
    <w:rsid w:val="00571FBC"/>
    <w:rsid w:val="0057240D"/>
    <w:rsid w:val="00573E81"/>
    <w:rsid w:val="0057416C"/>
    <w:rsid w:val="005741D7"/>
    <w:rsid w:val="00574497"/>
    <w:rsid w:val="00574981"/>
    <w:rsid w:val="00574A66"/>
    <w:rsid w:val="00575677"/>
    <w:rsid w:val="00575D20"/>
    <w:rsid w:val="00575FDA"/>
    <w:rsid w:val="00576BF7"/>
    <w:rsid w:val="005800C3"/>
    <w:rsid w:val="005801FC"/>
    <w:rsid w:val="00580202"/>
    <w:rsid w:val="00580A2E"/>
    <w:rsid w:val="005816CB"/>
    <w:rsid w:val="00581AF3"/>
    <w:rsid w:val="00582E3B"/>
    <w:rsid w:val="0058301C"/>
    <w:rsid w:val="00583F87"/>
    <w:rsid w:val="0058413B"/>
    <w:rsid w:val="005841EB"/>
    <w:rsid w:val="0058542D"/>
    <w:rsid w:val="005858F7"/>
    <w:rsid w:val="00585C65"/>
    <w:rsid w:val="005863D6"/>
    <w:rsid w:val="00586600"/>
    <w:rsid w:val="00591DD0"/>
    <w:rsid w:val="0059206B"/>
    <w:rsid w:val="005925F3"/>
    <w:rsid w:val="0059275B"/>
    <w:rsid w:val="0059327B"/>
    <w:rsid w:val="00593C66"/>
    <w:rsid w:val="0059463A"/>
    <w:rsid w:val="00594A55"/>
    <w:rsid w:val="00594B3E"/>
    <w:rsid w:val="005951D0"/>
    <w:rsid w:val="00595F31"/>
    <w:rsid w:val="00596C05"/>
    <w:rsid w:val="005979EA"/>
    <w:rsid w:val="00597D42"/>
    <w:rsid w:val="005A001B"/>
    <w:rsid w:val="005A0366"/>
    <w:rsid w:val="005A0D99"/>
    <w:rsid w:val="005A0F96"/>
    <w:rsid w:val="005A1DC2"/>
    <w:rsid w:val="005A3D3B"/>
    <w:rsid w:val="005A4142"/>
    <w:rsid w:val="005A42DB"/>
    <w:rsid w:val="005A47AF"/>
    <w:rsid w:val="005A4EE5"/>
    <w:rsid w:val="005A5660"/>
    <w:rsid w:val="005A5745"/>
    <w:rsid w:val="005A645D"/>
    <w:rsid w:val="005A67A3"/>
    <w:rsid w:val="005A685D"/>
    <w:rsid w:val="005A6959"/>
    <w:rsid w:val="005A699B"/>
    <w:rsid w:val="005A745F"/>
    <w:rsid w:val="005A758F"/>
    <w:rsid w:val="005A765E"/>
    <w:rsid w:val="005A778B"/>
    <w:rsid w:val="005A77F5"/>
    <w:rsid w:val="005A7B03"/>
    <w:rsid w:val="005A7FA3"/>
    <w:rsid w:val="005B052E"/>
    <w:rsid w:val="005B066C"/>
    <w:rsid w:val="005B0C04"/>
    <w:rsid w:val="005B0EAA"/>
    <w:rsid w:val="005B1160"/>
    <w:rsid w:val="005B1496"/>
    <w:rsid w:val="005B14D9"/>
    <w:rsid w:val="005B217D"/>
    <w:rsid w:val="005B218B"/>
    <w:rsid w:val="005B26F8"/>
    <w:rsid w:val="005B284E"/>
    <w:rsid w:val="005B2C56"/>
    <w:rsid w:val="005B38E7"/>
    <w:rsid w:val="005B45D7"/>
    <w:rsid w:val="005B4989"/>
    <w:rsid w:val="005B499C"/>
    <w:rsid w:val="005B4C16"/>
    <w:rsid w:val="005B5B84"/>
    <w:rsid w:val="005B7580"/>
    <w:rsid w:val="005B75E6"/>
    <w:rsid w:val="005B772C"/>
    <w:rsid w:val="005B7CD1"/>
    <w:rsid w:val="005C053D"/>
    <w:rsid w:val="005C0F7B"/>
    <w:rsid w:val="005C1337"/>
    <w:rsid w:val="005C14D9"/>
    <w:rsid w:val="005C228C"/>
    <w:rsid w:val="005C26B3"/>
    <w:rsid w:val="005C31EB"/>
    <w:rsid w:val="005C3696"/>
    <w:rsid w:val="005C45E6"/>
    <w:rsid w:val="005C502B"/>
    <w:rsid w:val="005C60B4"/>
    <w:rsid w:val="005C6745"/>
    <w:rsid w:val="005C6782"/>
    <w:rsid w:val="005C70BA"/>
    <w:rsid w:val="005C7A75"/>
    <w:rsid w:val="005D1451"/>
    <w:rsid w:val="005D17B0"/>
    <w:rsid w:val="005D1B6A"/>
    <w:rsid w:val="005D1BF6"/>
    <w:rsid w:val="005D290E"/>
    <w:rsid w:val="005D29D6"/>
    <w:rsid w:val="005D4165"/>
    <w:rsid w:val="005D50C8"/>
    <w:rsid w:val="005D6D90"/>
    <w:rsid w:val="005D7668"/>
    <w:rsid w:val="005E02F0"/>
    <w:rsid w:val="005E087A"/>
    <w:rsid w:val="005E0BE8"/>
    <w:rsid w:val="005E0F3F"/>
    <w:rsid w:val="005E1172"/>
    <w:rsid w:val="005E144A"/>
    <w:rsid w:val="005E1E43"/>
    <w:rsid w:val="005E2795"/>
    <w:rsid w:val="005E2DED"/>
    <w:rsid w:val="005E3698"/>
    <w:rsid w:val="005E3900"/>
    <w:rsid w:val="005E4274"/>
    <w:rsid w:val="005E47EF"/>
    <w:rsid w:val="005E4E55"/>
    <w:rsid w:val="005E4EF4"/>
    <w:rsid w:val="005E5FD9"/>
    <w:rsid w:val="005E666F"/>
    <w:rsid w:val="005E6886"/>
    <w:rsid w:val="005E6FD6"/>
    <w:rsid w:val="005E7C4E"/>
    <w:rsid w:val="005E7FD6"/>
    <w:rsid w:val="005F03FF"/>
    <w:rsid w:val="005F0543"/>
    <w:rsid w:val="005F058B"/>
    <w:rsid w:val="005F0C34"/>
    <w:rsid w:val="005F13F9"/>
    <w:rsid w:val="005F1462"/>
    <w:rsid w:val="005F163E"/>
    <w:rsid w:val="005F16CC"/>
    <w:rsid w:val="005F1904"/>
    <w:rsid w:val="005F1D3E"/>
    <w:rsid w:val="005F260C"/>
    <w:rsid w:val="005F2C1F"/>
    <w:rsid w:val="005F2CE9"/>
    <w:rsid w:val="005F3271"/>
    <w:rsid w:val="005F3522"/>
    <w:rsid w:val="005F3A03"/>
    <w:rsid w:val="005F4033"/>
    <w:rsid w:val="005F4D81"/>
    <w:rsid w:val="005F710B"/>
    <w:rsid w:val="005F7520"/>
    <w:rsid w:val="005F7C8C"/>
    <w:rsid w:val="0060057F"/>
    <w:rsid w:val="00600A02"/>
    <w:rsid w:val="00600AED"/>
    <w:rsid w:val="00600FDD"/>
    <w:rsid w:val="00601A63"/>
    <w:rsid w:val="00601A74"/>
    <w:rsid w:val="00601AB1"/>
    <w:rsid w:val="0060208E"/>
    <w:rsid w:val="006025BE"/>
    <w:rsid w:val="0060458E"/>
    <w:rsid w:val="00604670"/>
    <w:rsid w:val="00604780"/>
    <w:rsid w:val="00604972"/>
    <w:rsid w:val="006055D4"/>
    <w:rsid w:val="00605EB2"/>
    <w:rsid w:val="0060617A"/>
    <w:rsid w:val="00606A44"/>
    <w:rsid w:val="0061062A"/>
    <w:rsid w:val="00610823"/>
    <w:rsid w:val="00610A2A"/>
    <w:rsid w:val="00611A84"/>
    <w:rsid w:val="00611F7E"/>
    <w:rsid w:val="0061338F"/>
    <w:rsid w:val="00613451"/>
    <w:rsid w:val="006137A8"/>
    <w:rsid w:val="006139D1"/>
    <w:rsid w:val="00614424"/>
    <w:rsid w:val="00614F25"/>
    <w:rsid w:val="00615BBB"/>
    <w:rsid w:val="00616198"/>
    <w:rsid w:val="00616614"/>
    <w:rsid w:val="006173E4"/>
    <w:rsid w:val="00617D9C"/>
    <w:rsid w:val="0062023C"/>
    <w:rsid w:val="0062044B"/>
    <w:rsid w:val="0062064B"/>
    <w:rsid w:val="006215EB"/>
    <w:rsid w:val="00622475"/>
    <w:rsid w:val="00623376"/>
    <w:rsid w:val="00623813"/>
    <w:rsid w:val="00624282"/>
    <w:rsid w:val="006242E7"/>
    <w:rsid w:val="006244D0"/>
    <w:rsid w:val="00624E57"/>
    <w:rsid w:val="0062538A"/>
    <w:rsid w:val="00625FD5"/>
    <w:rsid w:val="00626249"/>
    <w:rsid w:val="00626596"/>
    <w:rsid w:val="00627045"/>
    <w:rsid w:val="00627286"/>
    <w:rsid w:val="0062764D"/>
    <w:rsid w:val="006279C2"/>
    <w:rsid w:val="00627CEE"/>
    <w:rsid w:val="00627E39"/>
    <w:rsid w:val="00630299"/>
    <w:rsid w:val="0063073D"/>
    <w:rsid w:val="00630866"/>
    <w:rsid w:val="00630C43"/>
    <w:rsid w:val="00630C7A"/>
    <w:rsid w:val="00630D3D"/>
    <w:rsid w:val="00631B1F"/>
    <w:rsid w:val="00631B5E"/>
    <w:rsid w:val="00633AAE"/>
    <w:rsid w:val="0063409A"/>
    <w:rsid w:val="00634120"/>
    <w:rsid w:val="00634170"/>
    <w:rsid w:val="006348F3"/>
    <w:rsid w:val="0063499C"/>
    <w:rsid w:val="00635034"/>
    <w:rsid w:val="0063535D"/>
    <w:rsid w:val="006354C8"/>
    <w:rsid w:val="00636BE0"/>
    <w:rsid w:val="006404B6"/>
    <w:rsid w:val="00640755"/>
    <w:rsid w:val="006426AE"/>
    <w:rsid w:val="006428FC"/>
    <w:rsid w:val="00642B70"/>
    <w:rsid w:val="00642B9D"/>
    <w:rsid w:val="00642CDA"/>
    <w:rsid w:val="0064396C"/>
    <w:rsid w:val="00643A48"/>
    <w:rsid w:val="00643DB4"/>
    <w:rsid w:val="00643DBE"/>
    <w:rsid w:val="00644091"/>
    <w:rsid w:val="00644270"/>
    <w:rsid w:val="00644D10"/>
    <w:rsid w:val="00644E1F"/>
    <w:rsid w:val="00645040"/>
    <w:rsid w:val="006455E9"/>
    <w:rsid w:val="00645EF3"/>
    <w:rsid w:val="006467A0"/>
    <w:rsid w:val="00646B9A"/>
    <w:rsid w:val="006472F9"/>
    <w:rsid w:val="00650223"/>
    <w:rsid w:val="0065038C"/>
    <w:rsid w:val="00650490"/>
    <w:rsid w:val="006506A0"/>
    <w:rsid w:val="00650705"/>
    <w:rsid w:val="0065070F"/>
    <w:rsid w:val="00650823"/>
    <w:rsid w:val="006521A8"/>
    <w:rsid w:val="006522AA"/>
    <w:rsid w:val="006523A3"/>
    <w:rsid w:val="0065296F"/>
    <w:rsid w:val="00652D2D"/>
    <w:rsid w:val="00652F6D"/>
    <w:rsid w:val="0065340C"/>
    <w:rsid w:val="00653ABE"/>
    <w:rsid w:val="00654CC5"/>
    <w:rsid w:val="00654E04"/>
    <w:rsid w:val="006554D0"/>
    <w:rsid w:val="00655804"/>
    <w:rsid w:val="00655A26"/>
    <w:rsid w:val="00655BF8"/>
    <w:rsid w:val="006563F4"/>
    <w:rsid w:val="006564C3"/>
    <w:rsid w:val="006565F9"/>
    <w:rsid w:val="006569D9"/>
    <w:rsid w:val="00656B3D"/>
    <w:rsid w:val="00657168"/>
    <w:rsid w:val="00657758"/>
    <w:rsid w:val="00657CD2"/>
    <w:rsid w:val="0066033C"/>
    <w:rsid w:val="0066064F"/>
    <w:rsid w:val="00660953"/>
    <w:rsid w:val="00660C20"/>
    <w:rsid w:val="00661B4D"/>
    <w:rsid w:val="00661D9F"/>
    <w:rsid w:val="006621CA"/>
    <w:rsid w:val="00663478"/>
    <w:rsid w:val="006635F1"/>
    <w:rsid w:val="006636A9"/>
    <w:rsid w:val="006639C3"/>
    <w:rsid w:val="00663CF7"/>
    <w:rsid w:val="0066482B"/>
    <w:rsid w:val="00664ECB"/>
    <w:rsid w:val="006655E0"/>
    <w:rsid w:val="0066594A"/>
    <w:rsid w:val="0066644A"/>
    <w:rsid w:val="0066749F"/>
    <w:rsid w:val="00667EF2"/>
    <w:rsid w:val="0067030B"/>
    <w:rsid w:val="00671F8C"/>
    <w:rsid w:val="00672733"/>
    <w:rsid w:val="00672856"/>
    <w:rsid w:val="00673034"/>
    <w:rsid w:val="006733FC"/>
    <w:rsid w:val="006739D6"/>
    <w:rsid w:val="00673A42"/>
    <w:rsid w:val="00673E8F"/>
    <w:rsid w:val="00673F72"/>
    <w:rsid w:val="00674427"/>
    <w:rsid w:val="00675167"/>
    <w:rsid w:val="00675599"/>
    <w:rsid w:val="00676297"/>
    <w:rsid w:val="00677588"/>
    <w:rsid w:val="006775C4"/>
    <w:rsid w:val="00677687"/>
    <w:rsid w:val="006778B8"/>
    <w:rsid w:val="00677B92"/>
    <w:rsid w:val="00677E65"/>
    <w:rsid w:val="00677EEA"/>
    <w:rsid w:val="00680151"/>
    <w:rsid w:val="00680232"/>
    <w:rsid w:val="00680472"/>
    <w:rsid w:val="00680C0F"/>
    <w:rsid w:val="00681012"/>
    <w:rsid w:val="0068169C"/>
    <w:rsid w:val="006819E6"/>
    <w:rsid w:val="00681BA9"/>
    <w:rsid w:val="00682729"/>
    <w:rsid w:val="006829CF"/>
    <w:rsid w:val="00682C87"/>
    <w:rsid w:val="006839E3"/>
    <w:rsid w:val="006846B5"/>
    <w:rsid w:val="006846D2"/>
    <w:rsid w:val="00684705"/>
    <w:rsid w:val="00684A20"/>
    <w:rsid w:val="00684BB3"/>
    <w:rsid w:val="00684F71"/>
    <w:rsid w:val="00684FE4"/>
    <w:rsid w:val="00685B0C"/>
    <w:rsid w:val="00687C85"/>
    <w:rsid w:val="00687D56"/>
    <w:rsid w:val="00690598"/>
    <w:rsid w:val="006915A8"/>
    <w:rsid w:val="0069172A"/>
    <w:rsid w:val="0069189F"/>
    <w:rsid w:val="00691DC9"/>
    <w:rsid w:val="00691F27"/>
    <w:rsid w:val="0069203E"/>
    <w:rsid w:val="006925FB"/>
    <w:rsid w:val="006926DE"/>
    <w:rsid w:val="00693E25"/>
    <w:rsid w:val="00693F2F"/>
    <w:rsid w:val="0069417D"/>
    <w:rsid w:val="00694322"/>
    <w:rsid w:val="00695FB5"/>
    <w:rsid w:val="00696890"/>
    <w:rsid w:val="00696D68"/>
    <w:rsid w:val="006972E6"/>
    <w:rsid w:val="00697CC6"/>
    <w:rsid w:val="00697EA6"/>
    <w:rsid w:val="006A023E"/>
    <w:rsid w:val="006A031C"/>
    <w:rsid w:val="006A095D"/>
    <w:rsid w:val="006A09CC"/>
    <w:rsid w:val="006A0CEE"/>
    <w:rsid w:val="006A1821"/>
    <w:rsid w:val="006A26A7"/>
    <w:rsid w:val="006A34FD"/>
    <w:rsid w:val="006A3DE1"/>
    <w:rsid w:val="006A4726"/>
    <w:rsid w:val="006A49E2"/>
    <w:rsid w:val="006A4D60"/>
    <w:rsid w:val="006A4FDB"/>
    <w:rsid w:val="006A5250"/>
    <w:rsid w:val="006A59D4"/>
    <w:rsid w:val="006A5B90"/>
    <w:rsid w:val="006A5E5F"/>
    <w:rsid w:val="006A5F25"/>
    <w:rsid w:val="006A623D"/>
    <w:rsid w:val="006A64DE"/>
    <w:rsid w:val="006A6884"/>
    <w:rsid w:val="006A6D61"/>
    <w:rsid w:val="006A73DD"/>
    <w:rsid w:val="006A7889"/>
    <w:rsid w:val="006B08BF"/>
    <w:rsid w:val="006B0B0C"/>
    <w:rsid w:val="006B11CB"/>
    <w:rsid w:val="006B1EA1"/>
    <w:rsid w:val="006B22DB"/>
    <w:rsid w:val="006B2F2B"/>
    <w:rsid w:val="006B2F2C"/>
    <w:rsid w:val="006B30B2"/>
    <w:rsid w:val="006B33A4"/>
    <w:rsid w:val="006B350B"/>
    <w:rsid w:val="006B42A5"/>
    <w:rsid w:val="006B450E"/>
    <w:rsid w:val="006B469F"/>
    <w:rsid w:val="006B4B54"/>
    <w:rsid w:val="006B5669"/>
    <w:rsid w:val="006B5677"/>
    <w:rsid w:val="006B5774"/>
    <w:rsid w:val="006B5F50"/>
    <w:rsid w:val="006B6466"/>
    <w:rsid w:val="006B6DFF"/>
    <w:rsid w:val="006B744B"/>
    <w:rsid w:val="006B7B18"/>
    <w:rsid w:val="006C0A7E"/>
    <w:rsid w:val="006C11AC"/>
    <w:rsid w:val="006C18C5"/>
    <w:rsid w:val="006C19B9"/>
    <w:rsid w:val="006C1DA9"/>
    <w:rsid w:val="006C3008"/>
    <w:rsid w:val="006C307E"/>
    <w:rsid w:val="006C3756"/>
    <w:rsid w:val="006C3A85"/>
    <w:rsid w:val="006C3B51"/>
    <w:rsid w:val="006C3BE6"/>
    <w:rsid w:val="006C3F51"/>
    <w:rsid w:val="006C4118"/>
    <w:rsid w:val="006C412D"/>
    <w:rsid w:val="006C419D"/>
    <w:rsid w:val="006C4361"/>
    <w:rsid w:val="006C4BEB"/>
    <w:rsid w:val="006C4D35"/>
    <w:rsid w:val="006C53E6"/>
    <w:rsid w:val="006C5C08"/>
    <w:rsid w:val="006C5D7F"/>
    <w:rsid w:val="006C677E"/>
    <w:rsid w:val="006C6A11"/>
    <w:rsid w:val="006C6C40"/>
    <w:rsid w:val="006C6C9C"/>
    <w:rsid w:val="006C7276"/>
    <w:rsid w:val="006C7B78"/>
    <w:rsid w:val="006C7EA0"/>
    <w:rsid w:val="006D0C73"/>
    <w:rsid w:val="006D0D07"/>
    <w:rsid w:val="006D1674"/>
    <w:rsid w:val="006D1A1F"/>
    <w:rsid w:val="006D1B9C"/>
    <w:rsid w:val="006D34E8"/>
    <w:rsid w:val="006D3A8C"/>
    <w:rsid w:val="006D4ACE"/>
    <w:rsid w:val="006D5662"/>
    <w:rsid w:val="006D6311"/>
    <w:rsid w:val="006D63BF"/>
    <w:rsid w:val="006D648D"/>
    <w:rsid w:val="006D7132"/>
    <w:rsid w:val="006D7312"/>
    <w:rsid w:val="006D7395"/>
    <w:rsid w:val="006D792A"/>
    <w:rsid w:val="006E099B"/>
    <w:rsid w:val="006E0B12"/>
    <w:rsid w:val="006E15E2"/>
    <w:rsid w:val="006E2F8F"/>
    <w:rsid w:val="006E373A"/>
    <w:rsid w:val="006E3AD8"/>
    <w:rsid w:val="006E4402"/>
    <w:rsid w:val="006E4421"/>
    <w:rsid w:val="006E466A"/>
    <w:rsid w:val="006E48DA"/>
    <w:rsid w:val="006E4AC6"/>
    <w:rsid w:val="006E4BC4"/>
    <w:rsid w:val="006E5415"/>
    <w:rsid w:val="006E647F"/>
    <w:rsid w:val="006E6A30"/>
    <w:rsid w:val="006E70D3"/>
    <w:rsid w:val="006E75A2"/>
    <w:rsid w:val="006E7A41"/>
    <w:rsid w:val="006E7AE6"/>
    <w:rsid w:val="006F00A2"/>
    <w:rsid w:val="006F0E21"/>
    <w:rsid w:val="006F10FB"/>
    <w:rsid w:val="006F14AD"/>
    <w:rsid w:val="006F1DA8"/>
    <w:rsid w:val="006F229B"/>
    <w:rsid w:val="006F292D"/>
    <w:rsid w:val="006F2F71"/>
    <w:rsid w:val="006F461F"/>
    <w:rsid w:val="006F4C81"/>
    <w:rsid w:val="006F5396"/>
    <w:rsid w:val="006F561E"/>
    <w:rsid w:val="006F5D58"/>
    <w:rsid w:val="006F5FA6"/>
    <w:rsid w:val="006F7157"/>
    <w:rsid w:val="006F732A"/>
    <w:rsid w:val="006F75D3"/>
    <w:rsid w:val="007001BF"/>
    <w:rsid w:val="007005DC"/>
    <w:rsid w:val="00700CDB"/>
    <w:rsid w:val="00700F34"/>
    <w:rsid w:val="0070147B"/>
    <w:rsid w:val="00701A40"/>
    <w:rsid w:val="00701DF1"/>
    <w:rsid w:val="00702E56"/>
    <w:rsid w:val="0070339A"/>
    <w:rsid w:val="007041DF"/>
    <w:rsid w:val="007042BA"/>
    <w:rsid w:val="0070434E"/>
    <w:rsid w:val="00704A64"/>
    <w:rsid w:val="007052F3"/>
    <w:rsid w:val="007055F6"/>
    <w:rsid w:val="00706423"/>
    <w:rsid w:val="00706997"/>
    <w:rsid w:val="00706B8E"/>
    <w:rsid w:val="00710506"/>
    <w:rsid w:val="00711468"/>
    <w:rsid w:val="007115F9"/>
    <w:rsid w:val="00712287"/>
    <w:rsid w:val="007125C8"/>
    <w:rsid w:val="00712789"/>
    <w:rsid w:val="00712ACB"/>
    <w:rsid w:val="00712E00"/>
    <w:rsid w:val="007141B9"/>
    <w:rsid w:val="0071442A"/>
    <w:rsid w:val="0071507F"/>
    <w:rsid w:val="007150EA"/>
    <w:rsid w:val="00715729"/>
    <w:rsid w:val="00715BBD"/>
    <w:rsid w:val="00715F62"/>
    <w:rsid w:val="0071638D"/>
    <w:rsid w:val="00716436"/>
    <w:rsid w:val="00716653"/>
    <w:rsid w:val="00716782"/>
    <w:rsid w:val="00717358"/>
    <w:rsid w:val="0072049E"/>
    <w:rsid w:val="007204D5"/>
    <w:rsid w:val="0072095F"/>
    <w:rsid w:val="007210CB"/>
    <w:rsid w:val="00721175"/>
    <w:rsid w:val="00721E11"/>
    <w:rsid w:val="00721E37"/>
    <w:rsid w:val="00721E78"/>
    <w:rsid w:val="00722BD5"/>
    <w:rsid w:val="0072366F"/>
    <w:rsid w:val="007238FF"/>
    <w:rsid w:val="00723A50"/>
    <w:rsid w:val="00724461"/>
    <w:rsid w:val="00724BB7"/>
    <w:rsid w:val="00724D14"/>
    <w:rsid w:val="00725B90"/>
    <w:rsid w:val="00725C29"/>
    <w:rsid w:val="00725F69"/>
    <w:rsid w:val="00725F7D"/>
    <w:rsid w:val="007261EE"/>
    <w:rsid w:val="0072643D"/>
    <w:rsid w:val="007265A2"/>
    <w:rsid w:val="00726AD7"/>
    <w:rsid w:val="00726CCC"/>
    <w:rsid w:val="0072726B"/>
    <w:rsid w:val="00727278"/>
    <w:rsid w:val="0072730A"/>
    <w:rsid w:val="0073032C"/>
    <w:rsid w:val="00730733"/>
    <w:rsid w:val="00730806"/>
    <w:rsid w:val="007310A3"/>
    <w:rsid w:val="0073113F"/>
    <w:rsid w:val="0073187D"/>
    <w:rsid w:val="00731993"/>
    <w:rsid w:val="00731CBA"/>
    <w:rsid w:val="007332E0"/>
    <w:rsid w:val="007339CE"/>
    <w:rsid w:val="007345C0"/>
    <w:rsid w:val="007352A2"/>
    <w:rsid w:val="00736661"/>
    <w:rsid w:val="0073685D"/>
    <w:rsid w:val="00736F21"/>
    <w:rsid w:val="007374A8"/>
    <w:rsid w:val="00737653"/>
    <w:rsid w:val="00737909"/>
    <w:rsid w:val="007379CC"/>
    <w:rsid w:val="007408C9"/>
    <w:rsid w:val="00740E3F"/>
    <w:rsid w:val="0074180B"/>
    <w:rsid w:val="00741A67"/>
    <w:rsid w:val="0074213F"/>
    <w:rsid w:val="0074256F"/>
    <w:rsid w:val="007428AC"/>
    <w:rsid w:val="00742A71"/>
    <w:rsid w:val="00742AFA"/>
    <w:rsid w:val="00742CE8"/>
    <w:rsid w:val="00743490"/>
    <w:rsid w:val="00743B47"/>
    <w:rsid w:val="00744608"/>
    <w:rsid w:val="007448DC"/>
    <w:rsid w:val="007450E8"/>
    <w:rsid w:val="007452D4"/>
    <w:rsid w:val="0074550F"/>
    <w:rsid w:val="00745CC3"/>
    <w:rsid w:val="00745E30"/>
    <w:rsid w:val="00745ECE"/>
    <w:rsid w:val="00746231"/>
    <w:rsid w:val="00746A36"/>
    <w:rsid w:val="00746A89"/>
    <w:rsid w:val="00746ECF"/>
    <w:rsid w:val="00747743"/>
    <w:rsid w:val="00747C5E"/>
    <w:rsid w:val="00747D55"/>
    <w:rsid w:val="00747F81"/>
    <w:rsid w:val="00751B36"/>
    <w:rsid w:val="007526C9"/>
    <w:rsid w:val="0075283E"/>
    <w:rsid w:val="007528D4"/>
    <w:rsid w:val="00752C2D"/>
    <w:rsid w:val="00752E6A"/>
    <w:rsid w:val="00752E7B"/>
    <w:rsid w:val="00753039"/>
    <w:rsid w:val="00753294"/>
    <w:rsid w:val="00753489"/>
    <w:rsid w:val="0075349E"/>
    <w:rsid w:val="007536D5"/>
    <w:rsid w:val="00753A2D"/>
    <w:rsid w:val="00754088"/>
    <w:rsid w:val="00754623"/>
    <w:rsid w:val="007559E2"/>
    <w:rsid w:val="007601A1"/>
    <w:rsid w:val="0076089E"/>
    <w:rsid w:val="00761A6D"/>
    <w:rsid w:val="007628CA"/>
    <w:rsid w:val="00763460"/>
    <w:rsid w:val="0076389F"/>
    <w:rsid w:val="0076414A"/>
    <w:rsid w:val="007642A5"/>
    <w:rsid w:val="007646B9"/>
    <w:rsid w:val="0076487A"/>
    <w:rsid w:val="00764A8B"/>
    <w:rsid w:val="00765395"/>
    <w:rsid w:val="00765F9D"/>
    <w:rsid w:val="00766513"/>
    <w:rsid w:val="00766927"/>
    <w:rsid w:val="00766F09"/>
    <w:rsid w:val="00767721"/>
    <w:rsid w:val="00767EC4"/>
    <w:rsid w:val="00770606"/>
    <w:rsid w:val="00770B02"/>
    <w:rsid w:val="00770EEC"/>
    <w:rsid w:val="00771C18"/>
    <w:rsid w:val="0077299B"/>
    <w:rsid w:val="007736C9"/>
    <w:rsid w:val="007737AA"/>
    <w:rsid w:val="00774E08"/>
    <w:rsid w:val="00774FB0"/>
    <w:rsid w:val="00775169"/>
    <w:rsid w:val="0077644A"/>
    <w:rsid w:val="007766CC"/>
    <w:rsid w:val="0077672E"/>
    <w:rsid w:val="00776B63"/>
    <w:rsid w:val="0077714F"/>
    <w:rsid w:val="007775A2"/>
    <w:rsid w:val="00777BC9"/>
    <w:rsid w:val="00777DB5"/>
    <w:rsid w:val="007802ED"/>
    <w:rsid w:val="0078046C"/>
    <w:rsid w:val="007806F5"/>
    <w:rsid w:val="00780A84"/>
    <w:rsid w:val="007813BE"/>
    <w:rsid w:val="007815B5"/>
    <w:rsid w:val="007820C0"/>
    <w:rsid w:val="007824BE"/>
    <w:rsid w:val="00782B3D"/>
    <w:rsid w:val="00782E56"/>
    <w:rsid w:val="0078353A"/>
    <w:rsid w:val="0078362A"/>
    <w:rsid w:val="00783C6E"/>
    <w:rsid w:val="00784122"/>
    <w:rsid w:val="00784CB7"/>
    <w:rsid w:val="0078510A"/>
    <w:rsid w:val="007855B5"/>
    <w:rsid w:val="00785D40"/>
    <w:rsid w:val="0078672E"/>
    <w:rsid w:val="0078738F"/>
    <w:rsid w:val="00787E2B"/>
    <w:rsid w:val="00787F3B"/>
    <w:rsid w:val="007900CF"/>
    <w:rsid w:val="00790784"/>
    <w:rsid w:val="00790C49"/>
    <w:rsid w:val="007912F0"/>
    <w:rsid w:val="0079134F"/>
    <w:rsid w:val="007917B0"/>
    <w:rsid w:val="0079186F"/>
    <w:rsid w:val="00792371"/>
    <w:rsid w:val="00792431"/>
    <w:rsid w:val="0079265A"/>
    <w:rsid w:val="007926FE"/>
    <w:rsid w:val="00792A30"/>
    <w:rsid w:val="00792AC3"/>
    <w:rsid w:val="00792B13"/>
    <w:rsid w:val="007934BB"/>
    <w:rsid w:val="00793615"/>
    <w:rsid w:val="00793B5F"/>
    <w:rsid w:val="00794424"/>
    <w:rsid w:val="0079452F"/>
    <w:rsid w:val="00795162"/>
    <w:rsid w:val="00795381"/>
    <w:rsid w:val="00795D1C"/>
    <w:rsid w:val="0079685A"/>
    <w:rsid w:val="00796B21"/>
    <w:rsid w:val="00796BB3"/>
    <w:rsid w:val="007A023D"/>
    <w:rsid w:val="007A070C"/>
    <w:rsid w:val="007A0D13"/>
    <w:rsid w:val="007A25BC"/>
    <w:rsid w:val="007A2CF7"/>
    <w:rsid w:val="007A2D7B"/>
    <w:rsid w:val="007A2E84"/>
    <w:rsid w:val="007A334A"/>
    <w:rsid w:val="007A4076"/>
    <w:rsid w:val="007A50AF"/>
    <w:rsid w:val="007A6B45"/>
    <w:rsid w:val="007A6C22"/>
    <w:rsid w:val="007A6FB4"/>
    <w:rsid w:val="007A7771"/>
    <w:rsid w:val="007A7CB3"/>
    <w:rsid w:val="007B061E"/>
    <w:rsid w:val="007B19B8"/>
    <w:rsid w:val="007B1FC6"/>
    <w:rsid w:val="007B2546"/>
    <w:rsid w:val="007B2D2A"/>
    <w:rsid w:val="007B2DEA"/>
    <w:rsid w:val="007B3D0E"/>
    <w:rsid w:val="007B4A19"/>
    <w:rsid w:val="007B4C16"/>
    <w:rsid w:val="007B4ED5"/>
    <w:rsid w:val="007B5D1C"/>
    <w:rsid w:val="007B670E"/>
    <w:rsid w:val="007B6D96"/>
    <w:rsid w:val="007B741F"/>
    <w:rsid w:val="007B7ABA"/>
    <w:rsid w:val="007B7D6A"/>
    <w:rsid w:val="007C0B6A"/>
    <w:rsid w:val="007C0E42"/>
    <w:rsid w:val="007C0EC2"/>
    <w:rsid w:val="007C0ED2"/>
    <w:rsid w:val="007C1117"/>
    <w:rsid w:val="007C154A"/>
    <w:rsid w:val="007C1575"/>
    <w:rsid w:val="007C161D"/>
    <w:rsid w:val="007C1897"/>
    <w:rsid w:val="007C2406"/>
    <w:rsid w:val="007C2785"/>
    <w:rsid w:val="007C2F92"/>
    <w:rsid w:val="007C33BC"/>
    <w:rsid w:val="007C3DBE"/>
    <w:rsid w:val="007C54FE"/>
    <w:rsid w:val="007C5F8F"/>
    <w:rsid w:val="007C6021"/>
    <w:rsid w:val="007C6236"/>
    <w:rsid w:val="007C6883"/>
    <w:rsid w:val="007C68BE"/>
    <w:rsid w:val="007C6C78"/>
    <w:rsid w:val="007C7E71"/>
    <w:rsid w:val="007D04CF"/>
    <w:rsid w:val="007D09E5"/>
    <w:rsid w:val="007D100F"/>
    <w:rsid w:val="007D1218"/>
    <w:rsid w:val="007D1D52"/>
    <w:rsid w:val="007D2610"/>
    <w:rsid w:val="007D2A85"/>
    <w:rsid w:val="007D2EDB"/>
    <w:rsid w:val="007D32BA"/>
    <w:rsid w:val="007D3648"/>
    <w:rsid w:val="007D3B80"/>
    <w:rsid w:val="007D3BA7"/>
    <w:rsid w:val="007D3F57"/>
    <w:rsid w:val="007D4189"/>
    <w:rsid w:val="007D45B2"/>
    <w:rsid w:val="007D4721"/>
    <w:rsid w:val="007D4983"/>
    <w:rsid w:val="007D4AAF"/>
    <w:rsid w:val="007D506F"/>
    <w:rsid w:val="007D5C95"/>
    <w:rsid w:val="007D5DA5"/>
    <w:rsid w:val="007D65EB"/>
    <w:rsid w:val="007D6605"/>
    <w:rsid w:val="007D69BF"/>
    <w:rsid w:val="007D7406"/>
    <w:rsid w:val="007D7DA6"/>
    <w:rsid w:val="007D7FFC"/>
    <w:rsid w:val="007E00D5"/>
    <w:rsid w:val="007E04C4"/>
    <w:rsid w:val="007E0CA9"/>
    <w:rsid w:val="007E1172"/>
    <w:rsid w:val="007E19BD"/>
    <w:rsid w:val="007E245B"/>
    <w:rsid w:val="007E24CA"/>
    <w:rsid w:val="007E268D"/>
    <w:rsid w:val="007E2C7B"/>
    <w:rsid w:val="007E3238"/>
    <w:rsid w:val="007E3673"/>
    <w:rsid w:val="007E377D"/>
    <w:rsid w:val="007E43C5"/>
    <w:rsid w:val="007E4815"/>
    <w:rsid w:val="007E4B32"/>
    <w:rsid w:val="007E625A"/>
    <w:rsid w:val="007E66F8"/>
    <w:rsid w:val="007E67DC"/>
    <w:rsid w:val="007E694C"/>
    <w:rsid w:val="007E78CC"/>
    <w:rsid w:val="007E7F97"/>
    <w:rsid w:val="007F056B"/>
    <w:rsid w:val="007F0D3D"/>
    <w:rsid w:val="007F0FB3"/>
    <w:rsid w:val="007F11E8"/>
    <w:rsid w:val="007F191B"/>
    <w:rsid w:val="007F2007"/>
    <w:rsid w:val="007F22E0"/>
    <w:rsid w:val="007F2A4A"/>
    <w:rsid w:val="007F31B8"/>
    <w:rsid w:val="007F35E5"/>
    <w:rsid w:val="007F3685"/>
    <w:rsid w:val="007F3760"/>
    <w:rsid w:val="007F4225"/>
    <w:rsid w:val="007F43B0"/>
    <w:rsid w:val="007F560A"/>
    <w:rsid w:val="007F5C76"/>
    <w:rsid w:val="007F5D10"/>
    <w:rsid w:val="007F6573"/>
    <w:rsid w:val="007F6C18"/>
    <w:rsid w:val="008002B4"/>
    <w:rsid w:val="008003CD"/>
    <w:rsid w:val="00800B70"/>
    <w:rsid w:val="00800C43"/>
    <w:rsid w:val="00801D56"/>
    <w:rsid w:val="008022EA"/>
    <w:rsid w:val="0080236C"/>
    <w:rsid w:val="008023F3"/>
    <w:rsid w:val="00803BFA"/>
    <w:rsid w:val="008045EC"/>
    <w:rsid w:val="00804684"/>
    <w:rsid w:val="00804FD6"/>
    <w:rsid w:val="0080514E"/>
    <w:rsid w:val="00805DDB"/>
    <w:rsid w:val="008062D4"/>
    <w:rsid w:val="008064D6"/>
    <w:rsid w:val="0080789E"/>
    <w:rsid w:val="0080797A"/>
    <w:rsid w:val="00807AE1"/>
    <w:rsid w:val="00807BA4"/>
    <w:rsid w:val="00807E07"/>
    <w:rsid w:val="00810238"/>
    <w:rsid w:val="008105C7"/>
    <w:rsid w:val="00810A98"/>
    <w:rsid w:val="00810C4F"/>
    <w:rsid w:val="008117D8"/>
    <w:rsid w:val="008121D3"/>
    <w:rsid w:val="00812770"/>
    <w:rsid w:val="00812B4F"/>
    <w:rsid w:val="00812DF0"/>
    <w:rsid w:val="008130CC"/>
    <w:rsid w:val="0081313B"/>
    <w:rsid w:val="00813B64"/>
    <w:rsid w:val="00813DD5"/>
    <w:rsid w:val="00813DD8"/>
    <w:rsid w:val="0081488D"/>
    <w:rsid w:val="008149EB"/>
    <w:rsid w:val="00814D05"/>
    <w:rsid w:val="008154F6"/>
    <w:rsid w:val="00816F67"/>
    <w:rsid w:val="008171FB"/>
    <w:rsid w:val="00817324"/>
    <w:rsid w:val="0081786A"/>
    <w:rsid w:val="00817DC0"/>
    <w:rsid w:val="00820127"/>
    <w:rsid w:val="00820488"/>
    <w:rsid w:val="008204BD"/>
    <w:rsid w:val="00820A74"/>
    <w:rsid w:val="00821FB3"/>
    <w:rsid w:val="0082218A"/>
    <w:rsid w:val="0082238F"/>
    <w:rsid w:val="008229BD"/>
    <w:rsid w:val="00823085"/>
    <w:rsid w:val="00823531"/>
    <w:rsid w:val="00824242"/>
    <w:rsid w:val="008245A3"/>
    <w:rsid w:val="008250B6"/>
    <w:rsid w:val="008250DE"/>
    <w:rsid w:val="00825764"/>
    <w:rsid w:val="00825B61"/>
    <w:rsid w:val="00826046"/>
    <w:rsid w:val="008260E7"/>
    <w:rsid w:val="00827039"/>
    <w:rsid w:val="0082777E"/>
    <w:rsid w:val="008278C8"/>
    <w:rsid w:val="0083027C"/>
    <w:rsid w:val="00830485"/>
    <w:rsid w:val="008320CC"/>
    <w:rsid w:val="0083240F"/>
    <w:rsid w:val="00832BD2"/>
    <w:rsid w:val="00833036"/>
    <w:rsid w:val="008334E6"/>
    <w:rsid w:val="00833DC5"/>
    <w:rsid w:val="00833F66"/>
    <w:rsid w:val="00834779"/>
    <w:rsid w:val="00834936"/>
    <w:rsid w:val="00834981"/>
    <w:rsid w:val="008349C4"/>
    <w:rsid w:val="00836847"/>
    <w:rsid w:val="00836E7D"/>
    <w:rsid w:val="008377CB"/>
    <w:rsid w:val="008400B8"/>
    <w:rsid w:val="00841223"/>
    <w:rsid w:val="008414E4"/>
    <w:rsid w:val="00841819"/>
    <w:rsid w:val="00841E8C"/>
    <w:rsid w:val="0084218A"/>
    <w:rsid w:val="008421D9"/>
    <w:rsid w:val="00842836"/>
    <w:rsid w:val="00842D50"/>
    <w:rsid w:val="00843696"/>
    <w:rsid w:val="0084386A"/>
    <w:rsid w:val="00843CFD"/>
    <w:rsid w:val="00843E6F"/>
    <w:rsid w:val="00843FE6"/>
    <w:rsid w:val="0084420F"/>
    <w:rsid w:val="00844754"/>
    <w:rsid w:val="008455FE"/>
    <w:rsid w:val="008467D9"/>
    <w:rsid w:val="00846AA2"/>
    <w:rsid w:val="008470C2"/>
    <w:rsid w:val="00847F0A"/>
    <w:rsid w:val="00850258"/>
    <w:rsid w:val="00850A82"/>
    <w:rsid w:val="00850C1E"/>
    <w:rsid w:val="0085106D"/>
    <w:rsid w:val="00851098"/>
    <w:rsid w:val="00851321"/>
    <w:rsid w:val="00851929"/>
    <w:rsid w:val="00852F87"/>
    <w:rsid w:val="008532D5"/>
    <w:rsid w:val="00853C8B"/>
    <w:rsid w:val="00853D00"/>
    <w:rsid w:val="00854672"/>
    <w:rsid w:val="008546BA"/>
    <w:rsid w:val="00854A91"/>
    <w:rsid w:val="0085594B"/>
    <w:rsid w:val="00857068"/>
    <w:rsid w:val="008577FF"/>
    <w:rsid w:val="00857C07"/>
    <w:rsid w:val="008610C6"/>
    <w:rsid w:val="008610C8"/>
    <w:rsid w:val="0086123C"/>
    <w:rsid w:val="00861DFA"/>
    <w:rsid w:val="008640A9"/>
    <w:rsid w:val="00864670"/>
    <w:rsid w:val="00864D05"/>
    <w:rsid w:val="00865270"/>
    <w:rsid w:val="0086532F"/>
    <w:rsid w:val="00865912"/>
    <w:rsid w:val="00865C17"/>
    <w:rsid w:val="0086719C"/>
    <w:rsid w:val="0086735A"/>
    <w:rsid w:val="00870487"/>
    <w:rsid w:val="0087059D"/>
    <w:rsid w:val="008705E8"/>
    <w:rsid w:val="00870C82"/>
    <w:rsid w:val="00870FCD"/>
    <w:rsid w:val="008716B3"/>
    <w:rsid w:val="008717CE"/>
    <w:rsid w:val="00871A1F"/>
    <w:rsid w:val="00871E21"/>
    <w:rsid w:val="00871EB4"/>
    <w:rsid w:val="008723D1"/>
    <w:rsid w:val="00874E00"/>
    <w:rsid w:val="008753EE"/>
    <w:rsid w:val="00875629"/>
    <w:rsid w:val="008757DD"/>
    <w:rsid w:val="00875C14"/>
    <w:rsid w:val="00875CA4"/>
    <w:rsid w:val="008769FF"/>
    <w:rsid w:val="00877078"/>
    <w:rsid w:val="00877D54"/>
    <w:rsid w:val="00880B72"/>
    <w:rsid w:val="008810FD"/>
    <w:rsid w:val="00881807"/>
    <w:rsid w:val="0088192E"/>
    <w:rsid w:val="00881D29"/>
    <w:rsid w:val="008826DD"/>
    <w:rsid w:val="00882C19"/>
    <w:rsid w:val="00882C94"/>
    <w:rsid w:val="00882E2A"/>
    <w:rsid w:val="00883051"/>
    <w:rsid w:val="00884295"/>
    <w:rsid w:val="00884343"/>
    <w:rsid w:val="008843C7"/>
    <w:rsid w:val="0088547B"/>
    <w:rsid w:val="0088577F"/>
    <w:rsid w:val="00885E8F"/>
    <w:rsid w:val="008864B8"/>
    <w:rsid w:val="008866AE"/>
    <w:rsid w:val="00887A43"/>
    <w:rsid w:val="00887C20"/>
    <w:rsid w:val="008901D0"/>
    <w:rsid w:val="008901F9"/>
    <w:rsid w:val="00891291"/>
    <w:rsid w:val="008916CF"/>
    <w:rsid w:val="00891CF5"/>
    <w:rsid w:val="00891D7D"/>
    <w:rsid w:val="00891FB7"/>
    <w:rsid w:val="00892504"/>
    <w:rsid w:val="00892A75"/>
    <w:rsid w:val="00892D69"/>
    <w:rsid w:val="00893032"/>
    <w:rsid w:val="00893FB1"/>
    <w:rsid w:val="00894FF1"/>
    <w:rsid w:val="00895000"/>
    <w:rsid w:val="008953A1"/>
    <w:rsid w:val="00895669"/>
    <w:rsid w:val="00895CE3"/>
    <w:rsid w:val="008966D9"/>
    <w:rsid w:val="00896781"/>
    <w:rsid w:val="00896A5B"/>
    <w:rsid w:val="00897D91"/>
    <w:rsid w:val="008A05C3"/>
    <w:rsid w:val="008A07B2"/>
    <w:rsid w:val="008A0843"/>
    <w:rsid w:val="008A0855"/>
    <w:rsid w:val="008A0A46"/>
    <w:rsid w:val="008A0A64"/>
    <w:rsid w:val="008A0B2B"/>
    <w:rsid w:val="008A17C9"/>
    <w:rsid w:val="008A1CEF"/>
    <w:rsid w:val="008A2637"/>
    <w:rsid w:val="008A2B2B"/>
    <w:rsid w:val="008A33AE"/>
    <w:rsid w:val="008A554B"/>
    <w:rsid w:val="008A5F15"/>
    <w:rsid w:val="008A6542"/>
    <w:rsid w:val="008A691C"/>
    <w:rsid w:val="008A69C6"/>
    <w:rsid w:val="008A756A"/>
    <w:rsid w:val="008A7674"/>
    <w:rsid w:val="008A7A31"/>
    <w:rsid w:val="008A7D29"/>
    <w:rsid w:val="008B004A"/>
    <w:rsid w:val="008B07F7"/>
    <w:rsid w:val="008B0DBD"/>
    <w:rsid w:val="008B0F35"/>
    <w:rsid w:val="008B107A"/>
    <w:rsid w:val="008B1423"/>
    <w:rsid w:val="008B15F7"/>
    <w:rsid w:val="008B195C"/>
    <w:rsid w:val="008B220B"/>
    <w:rsid w:val="008B2669"/>
    <w:rsid w:val="008B28EC"/>
    <w:rsid w:val="008B429B"/>
    <w:rsid w:val="008B4474"/>
    <w:rsid w:val="008B4961"/>
    <w:rsid w:val="008B4CBF"/>
    <w:rsid w:val="008B4F8D"/>
    <w:rsid w:val="008B5E83"/>
    <w:rsid w:val="008B679E"/>
    <w:rsid w:val="008B6B9B"/>
    <w:rsid w:val="008B6D11"/>
    <w:rsid w:val="008C0164"/>
    <w:rsid w:val="008C02CA"/>
    <w:rsid w:val="008C04DD"/>
    <w:rsid w:val="008C08A4"/>
    <w:rsid w:val="008C0DCE"/>
    <w:rsid w:val="008C127C"/>
    <w:rsid w:val="008C1B7E"/>
    <w:rsid w:val="008C2B50"/>
    <w:rsid w:val="008C2B57"/>
    <w:rsid w:val="008C32AE"/>
    <w:rsid w:val="008C4299"/>
    <w:rsid w:val="008C4561"/>
    <w:rsid w:val="008C4A1E"/>
    <w:rsid w:val="008C4DCB"/>
    <w:rsid w:val="008C54DE"/>
    <w:rsid w:val="008C5584"/>
    <w:rsid w:val="008C5780"/>
    <w:rsid w:val="008C597F"/>
    <w:rsid w:val="008D0303"/>
    <w:rsid w:val="008D07E4"/>
    <w:rsid w:val="008D1073"/>
    <w:rsid w:val="008D1666"/>
    <w:rsid w:val="008D191F"/>
    <w:rsid w:val="008D1C4D"/>
    <w:rsid w:val="008D1CF3"/>
    <w:rsid w:val="008D1D3C"/>
    <w:rsid w:val="008D243D"/>
    <w:rsid w:val="008D250D"/>
    <w:rsid w:val="008D3BC2"/>
    <w:rsid w:val="008D3E41"/>
    <w:rsid w:val="008D41B0"/>
    <w:rsid w:val="008D444F"/>
    <w:rsid w:val="008D4A6A"/>
    <w:rsid w:val="008D4D87"/>
    <w:rsid w:val="008D650C"/>
    <w:rsid w:val="008D6773"/>
    <w:rsid w:val="008D6C4B"/>
    <w:rsid w:val="008D6C67"/>
    <w:rsid w:val="008D6D57"/>
    <w:rsid w:val="008D70E6"/>
    <w:rsid w:val="008D71FC"/>
    <w:rsid w:val="008D7C7C"/>
    <w:rsid w:val="008D7DC1"/>
    <w:rsid w:val="008E0853"/>
    <w:rsid w:val="008E08E6"/>
    <w:rsid w:val="008E17C7"/>
    <w:rsid w:val="008E18FE"/>
    <w:rsid w:val="008E1A31"/>
    <w:rsid w:val="008E1C3A"/>
    <w:rsid w:val="008E1DF5"/>
    <w:rsid w:val="008E20D2"/>
    <w:rsid w:val="008E2504"/>
    <w:rsid w:val="008E2B2D"/>
    <w:rsid w:val="008E3634"/>
    <w:rsid w:val="008E3F36"/>
    <w:rsid w:val="008E435D"/>
    <w:rsid w:val="008E4908"/>
    <w:rsid w:val="008E5640"/>
    <w:rsid w:val="008E5845"/>
    <w:rsid w:val="008E6778"/>
    <w:rsid w:val="008E6BE3"/>
    <w:rsid w:val="008E75EC"/>
    <w:rsid w:val="008E7A43"/>
    <w:rsid w:val="008E7DFE"/>
    <w:rsid w:val="008E7F0D"/>
    <w:rsid w:val="008F0B32"/>
    <w:rsid w:val="008F0C0A"/>
    <w:rsid w:val="008F0E5B"/>
    <w:rsid w:val="008F18D9"/>
    <w:rsid w:val="008F1C12"/>
    <w:rsid w:val="008F285E"/>
    <w:rsid w:val="008F2884"/>
    <w:rsid w:val="008F3297"/>
    <w:rsid w:val="008F3C32"/>
    <w:rsid w:val="008F45CC"/>
    <w:rsid w:val="008F4E09"/>
    <w:rsid w:val="008F549A"/>
    <w:rsid w:val="008F574A"/>
    <w:rsid w:val="008F581B"/>
    <w:rsid w:val="008F6822"/>
    <w:rsid w:val="008F686F"/>
    <w:rsid w:val="008F74AE"/>
    <w:rsid w:val="008F791C"/>
    <w:rsid w:val="008F7A13"/>
    <w:rsid w:val="008F7A2C"/>
    <w:rsid w:val="009004C3"/>
    <w:rsid w:val="0090066E"/>
    <w:rsid w:val="0090078A"/>
    <w:rsid w:val="009022CB"/>
    <w:rsid w:val="00902683"/>
    <w:rsid w:val="00902719"/>
    <w:rsid w:val="00902823"/>
    <w:rsid w:val="00902908"/>
    <w:rsid w:val="00902D46"/>
    <w:rsid w:val="00903046"/>
    <w:rsid w:val="00903261"/>
    <w:rsid w:val="00903777"/>
    <w:rsid w:val="009059D5"/>
    <w:rsid w:val="00905D38"/>
    <w:rsid w:val="009069FF"/>
    <w:rsid w:val="00910463"/>
    <w:rsid w:val="00910BE7"/>
    <w:rsid w:val="009110B0"/>
    <w:rsid w:val="00912084"/>
    <w:rsid w:val="009121C2"/>
    <w:rsid w:val="00912400"/>
    <w:rsid w:val="00912756"/>
    <w:rsid w:val="0091278C"/>
    <w:rsid w:val="009129C6"/>
    <w:rsid w:val="00914251"/>
    <w:rsid w:val="009143D0"/>
    <w:rsid w:val="00914A80"/>
    <w:rsid w:val="00914C68"/>
    <w:rsid w:val="00914D2C"/>
    <w:rsid w:val="00915652"/>
    <w:rsid w:val="00915947"/>
    <w:rsid w:val="00916466"/>
    <w:rsid w:val="00916D7E"/>
    <w:rsid w:val="00917389"/>
    <w:rsid w:val="009175F4"/>
    <w:rsid w:val="0091799B"/>
    <w:rsid w:val="00917F6F"/>
    <w:rsid w:val="009205E8"/>
    <w:rsid w:val="00921B40"/>
    <w:rsid w:val="00921DEE"/>
    <w:rsid w:val="009225B0"/>
    <w:rsid w:val="00922F91"/>
    <w:rsid w:val="00923047"/>
    <w:rsid w:val="00923536"/>
    <w:rsid w:val="00923D25"/>
    <w:rsid w:val="0092414F"/>
    <w:rsid w:val="0092417D"/>
    <w:rsid w:val="009251A5"/>
    <w:rsid w:val="0092532B"/>
    <w:rsid w:val="009256ED"/>
    <w:rsid w:val="00925EFC"/>
    <w:rsid w:val="00927165"/>
    <w:rsid w:val="009300F9"/>
    <w:rsid w:val="0093025A"/>
    <w:rsid w:val="00930608"/>
    <w:rsid w:val="00930956"/>
    <w:rsid w:val="009314D3"/>
    <w:rsid w:val="00931992"/>
    <w:rsid w:val="00931DA5"/>
    <w:rsid w:val="00931DF2"/>
    <w:rsid w:val="0093274E"/>
    <w:rsid w:val="00932960"/>
    <w:rsid w:val="009346B5"/>
    <w:rsid w:val="00934E13"/>
    <w:rsid w:val="00935493"/>
    <w:rsid w:val="00935D96"/>
    <w:rsid w:val="009364E4"/>
    <w:rsid w:val="00936512"/>
    <w:rsid w:val="009375A4"/>
    <w:rsid w:val="0093761A"/>
    <w:rsid w:val="00937787"/>
    <w:rsid w:val="0093783D"/>
    <w:rsid w:val="009378B7"/>
    <w:rsid w:val="00937B1C"/>
    <w:rsid w:val="00937FA2"/>
    <w:rsid w:val="009409FC"/>
    <w:rsid w:val="009410B1"/>
    <w:rsid w:val="00941610"/>
    <w:rsid w:val="0094237D"/>
    <w:rsid w:val="00942ACE"/>
    <w:rsid w:val="00942FCC"/>
    <w:rsid w:val="00943961"/>
    <w:rsid w:val="009439E4"/>
    <w:rsid w:val="0094414C"/>
    <w:rsid w:val="009442D5"/>
    <w:rsid w:val="009443FC"/>
    <w:rsid w:val="009444E9"/>
    <w:rsid w:val="009450F8"/>
    <w:rsid w:val="00945A02"/>
    <w:rsid w:val="00945AAC"/>
    <w:rsid w:val="00946500"/>
    <w:rsid w:val="0094657C"/>
    <w:rsid w:val="00946A23"/>
    <w:rsid w:val="00947336"/>
    <w:rsid w:val="0094791C"/>
    <w:rsid w:val="0095071F"/>
    <w:rsid w:val="00951964"/>
    <w:rsid w:val="00951DD6"/>
    <w:rsid w:val="009521DB"/>
    <w:rsid w:val="00952620"/>
    <w:rsid w:val="00953089"/>
    <w:rsid w:val="00953F7D"/>
    <w:rsid w:val="00954572"/>
    <w:rsid w:val="00954A61"/>
    <w:rsid w:val="00955640"/>
    <w:rsid w:val="00955D0D"/>
    <w:rsid w:val="00956580"/>
    <w:rsid w:val="009569CD"/>
    <w:rsid w:val="00957490"/>
    <w:rsid w:val="00957FE2"/>
    <w:rsid w:val="00960547"/>
    <w:rsid w:val="0096088F"/>
    <w:rsid w:val="00960F3F"/>
    <w:rsid w:val="00960F45"/>
    <w:rsid w:val="009615BF"/>
    <w:rsid w:val="00961601"/>
    <w:rsid w:val="009618B0"/>
    <w:rsid w:val="00961B7D"/>
    <w:rsid w:val="00963143"/>
    <w:rsid w:val="00963C5D"/>
    <w:rsid w:val="0096602D"/>
    <w:rsid w:val="00966712"/>
    <w:rsid w:val="00966CE2"/>
    <w:rsid w:val="00966EC5"/>
    <w:rsid w:val="00967120"/>
    <w:rsid w:val="00967143"/>
    <w:rsid w:val="00967BDD"/>
    <w:rsid w:val="00967E96"/>
    <w:rsid w:val="0097122C"/>
    <w:rsid w:val="00971784"/>
    <w:rsid w:val="009718A8"/>
    <w:rsid w:val="009725CE"/>
    <w:rsid w:val="00972B25"/>
    <w:rsid w:val="00972F6A"/>
    <w:rsid w:val="009731B2"/>
    <w:rsid w:val="00975465"/>
    <w:rsid w:val="0097576B"/>
    <w:rsid w:val="009760ED"/>
    <w:rsid w:val="00976105"/>
    <w:rsid w:val="0097659D"/>
    <w:rsid w:val="00976C08"/>
    <w:rsid w:val="00976C9E"/>
    <w:rsid w:val="0097725E"/>
    <w:rsid w:val="0098007D"/>
    <w:rsid w:val="00980E76"/>
    <w:rsid w:val="0098108B"/>
    <w:rsid w:val="009813BF"/>
    <w:rsid w:val="00982470"/>
    <w:rsid w:val="0098299F"/>
    <w:rsid w:val="00982B34"/>
    <w:rsid w:val="00982B4E"/>
    <w:rsid w:val="009832C6"/>
    <w:rsid w:val="00985057"/>
    <w:rsid w:val="009854BD"/>
    <w:rsid w:val="0098623C"/>
    <w:rsid w:val="009864D0"/>
    <w:rsid w:val="009864E0"/>
    <w:rsid w:val="009867A0"/>
    <w:rsid w:val="009868DB"/>
    <w:rsid w:val="00986CF1"/>
    <w:rsid w:val="00987367"/>
    <w:rsid w:val="00990589"/>
    <w:rsid w:val="00990855"/>
    <w:rsid w:val="00990F05"/>
    <w:rsid w:val="00991D9E"/>
    <w:rsid w:val="00992015"/>
    <w:rsid w:val="0099236E"/>
    <w:rsid w:val="0099294E"/>
    <w:rsid w:val="00992B63"/>
    <w:rsid w:val="00992E28"/>
    <w:rsid w:val="0099302C"/>
    <w:rsid w:val="00993757"/>
    <w:rsid w:val="00993948"/>
    <w:rsid w:val="00993BE3"/>
    <w:rsid w:val="00993E2A"/>
    <w:rsid w:val="00994965"/>
    <w:rsid w:val="00995102"/>
    <w:rsid w:val="00996E01"/>
    <w:rsid w:val="00997229"/>
    <w:rsid w:val="00997B4B"/>
    <w:rsid w:val="00997F42"/>
    <w:rsid w:val="009A0013"/>
    <w:rsid w:val="009A0910"/>
    <w:rsid w:val="009A1426"/>
    <w:rsid w:val="009A1988"/>
    <w:rsid w:val="009A1E63"/>
    <w:rsid w:val="009A2053"/>
    <w:rsid w:val="009A2AAA"/>
    <w:rsid w:val="009A2B2F"/>
    <w:rsid w:val="009A3B56"/>
    <w:rsid w:val="009A4989"/>
    <w:rsid w:val="009A642D"/>
    <w:rsid w:val="009A6FDB"/>
    <w:rsid w:val="009A7626"/>
    <w:rsid w:val="009A77C8"/>
    <w:rsid w:val="009B08A5"/>
    <w:rsid w:val="009B0E53"/>
    <w:rsid w:val="009B157F"/>
    <w:rsid w:val="009B1D7F"/>
    <w:rsid w:val="009B1E8B"/>
    <w:rsid w:val="009B2146"/>
    <w:rsid w:val="009B2927"/>
    <w:rsid w:val="009B3810"/>
    <w:rsid w:val="009B4368"/>
    <w:rsid w:val="009B51E1"/>
    <w:rsid w:val="009B55E6"/>
    <w:rsid w:val="009B7278"/>
    <w:rsid w:val="009C1A67"/>
    <w:rsid w:val="009C2C1B"/>
    <w:rsid w:val="009C2EBE"/>
    <w:rsid w:val="009C2FFE"/>
    <w:rsid w:val="009C373E"/>
    <w:rsid w:val="009C3873"/>
    <w:rsid w:val="009C405D"/>
    <w:rsid w:val="009C4346"/>
    <w:rsid w:val="009C4A22"/>
    <w:rsid w:val="009C51C3"/>
    <w:rsid w:val="009C5373"/>
    <w:rsid w:val="009C54A1"/>
    <w:rsid w:val="009C5D94"/>
    <w:rsid w:val="009C65C3"/>
    <w:rsid w:val="009C6C07"/>
    <w:rsid w:val="009C701B"/>
    <w:rsid w:val="009C7723"/>
    <w:rsid w:val="009C7A66"/>
    <w:rsid w:val="009D0D72"/>
    <w:rsid w:val="009D1805"/>
    <w:rsid w:val="009D1C7F"/>
    <w:rsid w:val="009D2121"/>
    <w:rsid w:val="009D2367"/>
    <w:rsid w:val="009D246A"/>
    <w:rsid w:val="009D24BB"/>
    <w:rsid w:val="009D2777"/>
    <w:rsid w:val="009D2B50"/>
    <w:rsid w:val="009D3B4A"/>
    <w:rsid w:val="009D3E37"/>
    <w:rsid w:val="009D4129"/>
    <w:rsid w:val="009D450D"/>
    <w:rsid w:val="009D4584"/>
    <w:rsid w:val="009D4EFA"/>
    <w:rsid w:val="009D5C3F"/>
    <w:rsid w:val="009D6432"/>
    <w:rsid w:val="009D6571"/>
    <w:rsid w:val="009D6609"/>
    <w:rsid w:val="009D6681"/>
    <w:rsid w:val="009D668F"/>
    <w:rsid w:val="009D6741"/>
    <w:rsid w:val="009D7254"/>
    <w:rsid w:val="009D789B"/>
    <w:rsid w:val="009D7C74"/>
    <w:rsid w:val="009E01E3"/>
    <w:rsid w:val="009E0808"/>
    <w:rsid w:val="009E1152"/>
    <w:rsid w:val="009E14EA"/>
    <w:rsid w:val="009E1753"/>
    <w:rsid w:val="009E1C9E"/>
    <w:rsid w:val="009E1DB5"/>
    <w:rsid w:val="009E1DC5"/>
    <w:rsid w:val="009E1F9F"/>
    <w:rsid w:val="009E2DCF"/>
    <w:rsid w:val="009E3199"/>
    <w:rsid w:val="009E31FF"/>
    <w:rsid w:val="009E3E3A"/>
    <w:rsid w:val="009E4718"/>
    <w:rsid w:val="009E5206"/>
    <w:rsid w:val="009E52FC"/>
    <w:rsid w:val="009E5BAA"/>
    <w:rsid w:val="009E696C"/>
    <w:rsid w:val="009E6A43"/>
    <w:rsid w:val="009E6CCB"/>
    <w:rsid w:val="009E6E0B"/>
    <w:rsid w:val="009E7D61"/>
    <w:rsid w:val="009F0E25"/>
    <w:rsid w:val="009F2F7C"/>
    <w:rsid w:val="009F42BA"/>
    <w:rsid w:val="009F4CB2"/>
    <w:rsid w:val="009F4D67"/>
    <w:rsid w:val="009F505A"/>
    <w:rsid w:val="009F536B"/>
    <w:rsid w:val="009F5533"/>
    <w:rsid w:val="009F68E7"/>
    <w:rsid w:val="009F6A2F"/>
    <w:rsid w:val="00A0113B"/>
    <w:rsid w:val="00A01DF1"/>
    <w:rsid w:val="00A0240D"/>
    <w:rsid w:val="00A0242E"/>
    <w:rsid w:val="00A02477"/>
    <w:rsid w:val="00A02941"/>
    <w:rsid w:val="00A02C53"/>
    <w:rsid w:val="00A02CDD"/>
    <w:rsid w:val="00A02FFC"/>
    <w:rsid w:val="00A03591"/>
    <w:rsid w:val="00A049D2"/>
    <w:rsid w:val="00A053FC"/>
    <w:rsid w:val="00A05878"/>
    <w:rsid w:val="00A06885"/>
    <w:rsid w:val="00A068C1"/>
    <w:rsid w:val="00A0695D"/>
    <w:rsid w:val="00A06CC5"/>
    <w:rsid w:val="00A06D12"/>
    <w:rsid w:val="00A06F61"/>
    <w:rsid w:val="00A07AEF"/>
    <w:rsid w:val="00A100BD"/>
    <w:rsid w:val="00A10107"/>
    <w:rsid w:val="00A10397"/>
    <w:rsid w:val="00A10763"/>
    <w:rsid w:val="00A107E8"/>
    <w:rsid w:val="00A10C93"/>
    <w:rsid w:val="00A10E50"/>
    <w:rsid w:val="00A10F29"/>
    <w:rsid w:val="00A11B06"/>
    <w:rsid w:val="00A11C00"/>
    <w:rsid w:val="00A12A1C"/>
    <w:rsid w:val="00A1311B"/>
    <w:rsid w:val="00A135E9"/>
    <w:rsid w:val="00A140E8"/>
    <w:rsid w:val="00A1415E"/>
    <w:rsid w:val="00A15D95"/>
    <w:rsid w:val="00A16FF4"/>
    <w:rsid w:val="00A1704E"/>
    <w:rsid w:val="00A174D3"/>
    <w:rsid w:val="00A1754D"/>
    <w:rsid w:val="00A179E0"/>
    <w:rsid w:val="00A17E96"/>
    <w:rsid w:val="00A20406"/>
    <w:rsid w:val="00A206AB"/>
    <w:rsid w:val="00A2092E"/>
    <w:rsid w:val="00A20CD1"/>
    <w:rsid w:val="00A2126D"/>
    <w:rsid w:val="00A2179A"/>
    <w:rsid w:val="00A21A88"/>
    <w:rsid w:val="00A21B95"/>
    <w:rsid w:val="00A223E8"/>
    <w:rsid w:val="00A232C2"/>
    <w:rsid w:val="00A23673"/>
    <w:rsid w:val="00A23EDD"/>
    <w:rsid w:val="00A241BF"/>
    <w:rsid w:val="00A2457C"/>
    <w:rsid w:val="00A2503B"/>
    <w:rsid w:val="00A251A3"/>
    <w:rsid w:val="00A25302"/>
    <w:rsid w:val="00A2533B"/>
    <w:rsid w:val="00A253CE"/>
    <w:rsid w:val="00A2564B"/>
    <w:rsid w:val="00A25E72"/>
    <w:rsid w:val="00A26175"/>
    <w:rsid w:val="00A2689D"/>
    <w:rsid w:val="00A2759D"/>
    <w:rsid w:val="00A3040F"/>
    <w:rsid w:val="00A308B2"/>
    <w:rsid w:val="00A31778"/>
    <w:rsid w:val="00A31D57"/>
    <w:rsid w:val="00A32B65"/>
    <w:rsid w:val="00A33615"/>
    <w:rsid w:val="00A34D12"/>
    <w:rsid w:val="00A3500B"/>
    <w:rsid w:val="00A35013"/>
    <w:rsid w:val="00A36BC3"/>
    <w:rsid w:val="00A37A40"/>
    <w:rsid w:val="00A37A62"/>
    <w:rsid w:val="00A406E6"/>
    <w:rsid w:val="00A40723"/>
    <w:rsid w:val="00A4163F"/>
    <w:rsid w:val="00A41B16"/>
    <w:rsid w:val="00A41D13"/>
    <w:rsid w:val="00A41F77"/>
    <w:rsid w:val="00A42002"/>
    <w:rsid w:val="00A42325"/>
    <w:rsid w:val="00A425F3"/>
    <w:rsid w:val="00A43034"/>
    <w:rsid w:val="00A431C9"/>
    <w:rsid w:val="00A432A8"/>
    <w:rsid w:val="00A439FE"/>
    <w:rsid w:val="00A4421E"/>
    <w:rsid w:val="00A4423C"/>
    <w:rsid w:val="00A4432A"/>
    <w:rsid w:val="00A47BE7"/>
    <w:rsid w:val="00A5048B"/>
    <w:rsid w:val="00A50C6B"/>
    <w:rsid w:val="00A513D5"/>
    <w:rsid w:val="00A5283E"/>
    <w:rsid w:val="00A52D77"/>
    <w:rsid w:val="00A52DBD"/>
    <w:rsid w:val="00A53034"/>
    <w:rsid w:val="00A537E1"/>
    <w:rsid w:val="00A53A20"/>
    <w:rsid w:val="00A548E1"/>
    <w:rsid w:val="00A54DC2"/>
    <w:rsid w:val="00A5512A"/>
    <w:rsid w:val="00A55B7F"/>
    <w:rsid w:val="00A55DAA"/>
    <w:rsid w:val="00A6092B"/>
    <w:rsid w:val="00A60A61"/>
    <w:rsid w:val="00A60BE1"/>
    <w:rsid w:val="00A613B5"/>
    <w:rsid w:val="00A61428"/>
    <w:rsid w:val="00A616E0"/>
    <w:rsid w:val="00A61DE0"/>
    <w:rsid w:val="00A621C6"/>
    <w:rsid w:val="00A63656"/>
    <w:rsid w:val="00A63719"/>
    <w:rsid w:val="00A642EB"/>
    <w:rsid w:val="00A64797"/>
    <w:rsid w:val="00A64A0B"/>
    <w:rsid w:val="00A64E6B"/>
    <w:rsid w:val="00A65A0E"/>
    <w:rsid w:val="00A65D72"/>
    <w:rsid w:val="00A66062"/>
    <w:rsid w:val="00A66611"/>
    <w:rsid w:val="00A66981"/>
    <w:rsid w:val="00A66E4C"/>
    <w:rsid w:val="00A66EE9"/>
    <w:rsid w:val="00A67401"/>
    <w:rsid w:val="00A677E4"/>
    <w:rsid w:val="00A6780D"/>
    <w:rsid w:val="00A67E6D"/>
    <w:rsid w:val="00A7002B"/>
    <w:rsid w:val="00A71A84"/>
    <w:rsid w:val="00A71C40"/>
    <w:rsid w:val="00A71C6A"/>
    <w:rsid w:val="00A72411"/>
    <w:rsid w:val="00A7315C"/>
    <w:rsid w:val="00A7319C"/>
    <w:rsid w:val="00A73284"/>
    <w:rsid w:val="00A73690"/>
    <w:rsid w:val="00A73A00"/>
    <w:rsid w:val="00A73AA1"/>
    <w:rsid w:val="00A74F8D"/>
    <w:rsid w:val="00A74FE4"/>
    <w:rsid w:val="00A76176"/>
    <w:rsid w:val="00A76286"/>
    <w:rsid w:val="00A76935"/>
    <w:rsid w:val="00A76E4E"/>
    <w:rsid w:val="00A77908"/>
    <w:rsid w:val="00A8089A"/>
    <w:rsid w:val="00A81049"/>
    <w:rsid w:val="00A8124C"/>
    <w:rsid w:val="00A81F57"/>
    <w:rsid w:val="00A822C1"/>
    <w:rsid w:val="00A824E6"/>
    <w:rsid w:val="00A82553"/>
    <w:rsid w:val="00A82934"/>
    <w:rsid w:val="00A82F2A"/>
    <w:rsid w:val="00A83AA9"/>
    <w:rsid w:val="00A84227"/>
    <w:rsid w:val="00A84C51"/>
    <w:rsid w:val="00A85D48"/>
    <w:rsid w:val="00A85D55"/>
    <w:rsid w:val="00A86737"/>
    <w:rsid w:val="00A869A3"/>
    <w:rsid w:val="00A87B7E"/>
    <w:rsid w:val="00A90F67"/>
    <w:rsid w:val="00A90F7F"/>
    <w:rsid w:val="00A914F3"/>
    <w:rsid w:val="00A919CE"/>
    <w:rsid w:val="00A91AE6"/>
    <w:rsid w:val="00A91C58"/>
    <w:rsid w:val="00A91D93"/>
    <w:rsid w:val="00A91F8A"/>
    <w:rsid w:val="00A922A7"/>
    <w:rsid w:val="00A928EF"/>
    <w:rsid w:val="00A93243"/>
    <w:rsid w:val="00A9335E"/>
    <w:rsid w:val="00A941E0"/>
    <w:rsid w:val="00A941E7"/>
    <w:rsid w:val="00A94FD7"/>
    <w:rsid w:val="00A9720C"/>
    <w:rsid w:val="00A973FF"/>
    <w:rsid w:val="00A97BF0"/>
    <w:rsid w:val="00A97D62"/>
    <w:rsid w:val="00AA012C"/>
    <w:rsid w:val="00AA015C"/>
    <w:rsid w:val="00AA0409"/>
    <w:rsid w:val="00AA0793"/>
    <w:rsid w:val="00AA0A17"/>
    <w:rsid w:val="00AA119C"/>
    <w:rsid w:val="00AA1C18"/>
    <w:rsid w:val="00AA231E"/>
    <w:rsid w:val="00AA2D10"/>
    <w:rsid w:val="00AA352F"/>
    <w:rsid w:val="00AA45EE"/>
    <w:rsid w:val="00AA460E"/>
    <w:rsid w:val="00AA57F5"/>
    <w:rsid w:val="00AA5AAF"/>
    <w:rsid w:val="00AA60AE"/>
    <w:rsid w:val="00AA6542"/>
    <w:rsid w:val="00AA66F3"/>
    <w:rsid w:val="00AA68B9"/>
    <w:rsid w:val="00AA6A16"/>
    <w:rsid w:val="00AA6B02"/>
    <w:rsid w:val="00AA6DDF"/>
    <w:rsid w:val="00AA6E0A"/>
    <w:rsid w:val="00AA6E87"/>
    <w:rsid w:val="00AA6EEA"/>
    <w:rsid w:val="00AA71F1"/>
    <w:rsid w:val="00AA78B2"/>
    <w:rsid w:val="00AA78B8"/>
    <w:rsid w:val="00AA7AF7"/>
    <w:rsid w:val="00AA7EA8"/>
    <w:rsid w:val="00AB0494"/>
    <w:rsid w:val="00AB08E5"/>
    <w:rsid w:val="00AB0ADE"/>
    <w:rsid w:val="00AB17F6"/>
    <w:rsid w:val="00AB1AA2"/>
    <w:rsid w:val="00AB20F5"/>
    <w:rsid w:val="00AB268B"/>
    <w:rsid w:val="00AB317F"/>
    <w:rsid w:val="00AB3451"/>
    <w:rsid w:val="00AB36D0"/>
    <w:rsid w:val="00AB3926"/>
    <w:rsid w:val="00AB399B"/>
    <w:rsid w:val="00AB3E0A"/>
    <w:rsid w:val="00AB4638"/>
    <w:rsid w:val="00AB48C3"/>
    <w:rsid w:val="00AB5A33"/>
    <w:rsid w:val="00AB6243"/>
    <w:rsid w:val="00AB6C8C"/>
    <w:rsid w:val="00AB6D75"/>
    <w:rsid w:val="00AB6E4F"/>
    <w:rsid w:val="00AB72E8"/>
    <w:rsid w:val="00AB7C24"/>
    <w:rsid w:val="00AB7FE8"/>
    <w:rsid w:val="00AC0F11"/>
    <w:rsid w:val="00AC1A30"/>
    <w:rsid w:val="00AC25DE"/>
    <w:rsid w:val="00AC35BF"/>
    <w:rsid w:val="00AC3956"/>
    <w:rsid w:val="00AC3D7B"/>
    <w:rsid w:val="00AC42B8"/>
    <w:rsid w:val="00AC4350"/>
    <w:rsid w:val="00AC43F5"/>
    <w:rsid w:val="00AC45CB"/>
    <w:rsid w:val="00AC46BF"/>
    <w:rsid w:val="00AC4903"/>
    <w:rsid w:val="00AC60F7"/>
    <w:rsid w:val="00AC6457"/>
    <w:rsid w:val="00AC6928"/>
    <w:rsid w:val="00AC6C38"/>
    <w:rsid w:val="00AC7070"/>
    <w:rsid w:val="00AC7D16"/>
    <w:rsid w:val="00AD0C55"/>
    <w:rsid w:val="00AD0CE5"/>
    <w:rsid w:val="00AD10EF"/>
    <w:rsid w:val="00AD12E4"/>
    <w:rsid w:val="00AD1659"/>
    <w:rsid w:val="00AD1753"/>
    <w:rsid w:val="00AD2B75"/>
    <w:rsid w:val="00AD2D3C"/>
    <w:rsid w:val="00AD3D92"/>
    <w:rsid w:val="00AD40C3"/>
    <w:rsid w:val="00AD4310"/>
    <w:rsid w:val="00AD4B14"/>
    <w:rsid w:val="00AD5173"/>
    <w:rsid w:val="00AD5435"/>
    <w:rsid w:val="00AD587A"/>
    <w:rsid w:val="00AD5EA9"/>
    <w:rsid w:val="00AD64AF"/>
    <w:rsid w:val="00AE11DA"/>
    <w:rsid w:val="00AE1740"/>
    <w:rsid w:val="00AE1865"/>
    <w:rsid w:val="00AE1AA0"/>
    <w:rsid w:val="00AE1DEA"/>
    <w:rsid w:val="00AE1F86"/>
    <w:rsid w:val="00AE2628"/>
    <w:rsid w:val="00AE2B8A"/>
    <w:rsid w:val="00AE32F2"/>
    <w:rsid w:val="00AE3FFC"/>
    <w:rsid w:val="00AE4542"/>
    <w:rsid w:val="00AE4972"/>
    <w:rsid w:val="00AE4BB3"/>
    <w:rsid w:val="00AE59A5"/>
    <w:rsid w:val="00AE5C58"/>
    <w:rsid w:val="00AE5D26"/>
    <w:rsid w:val="00AE5F59"/>
    <w:rsid w:val="00AE622E"/>
    <w:rsid w:val="00AE6A99"/>
    <w:rsid w:val="00AE6E4F"/>
    <w:rsid w:val="00AE73B6"/>
    <w:rsid w:val="00AE7437"/>
    <w:rsid w:val="00AF10BD"/>
    <w:rsid w:val="00AF113B"/>
    <w:rsid w:val="00AF26B7"/>
    <w:rsid w:val="00AF2F2C"/>
    <w:rsid w:val="00AF3C85"/>
    <w:rsid w:val="00AF4266"/>
    <w:rsid w:val="00AF4D83"/>
    <w:rsid w:val="00AF50C9"/>
    <w:rsid w:val="00AF51CB"/>
    <w:rsid w:val="00AF5D80"/>
    <w:rsid w:val="00AF5E5C"/>
    <w:rsid w:val="00AF64FD"/>
    <w:rsid w:val="00AF681D"/>
    <w:rsid w:val="00AF6928"/>
    <w:rsid w:val="00AF69ED"/>
    <w:rsid w:val="00AF6E8A"/>
    <w:rsid w:val="00AF7167"/>
    <w:rsid w:val="00AF72D8"/>
    <w:rsid w:val="00B00280"/>
    <w:rsid w:val="00B004FA"/>
    <w:rsid w:val="00B00A5D"/>
    <w:rsid w:val="00B00D97"/>
    <w:rsid w:val="00B0156E"/>
    <w:rsid w:val="00B01854"/>
    <w:rsid w:val="00B01E09"/>
    <w:rsid w:val="00B02580"/>
    <w:rsid w:val="00B02670"/>
    <w:rsid w:val="00B0290C"/>
    <w:rsid w:val="00B029EE"/>
    <w:rsid w:val="00B03327"/>
    <w:rsid w:val="00B03A94"/>
    <w:rsid w:val="00B03B83"/>
    <w:rsid w:val="00B03B9B"/>
    <w:rsid w:val="00B03C32"/>
    <w:rsid w:val="00B050C9"/>
    <w:rsid w:val="00B058FE"/>
    <w:rsid w:val="00B05D80"/>
    <w:rsid w:val="00B06504"/>
    <w:rsid w:val="00B06656"/>
    <w:rsid w:val="00B06997"/>
    <w:rsid w:val="00B069D4"/>
    <w:rsid w:val="00B06B85"/>
    <w:rsid w:val="00B06CC0"/>
    <w:rsid w:val="00B07265"/>
    <w:rsid w:val="00B07F40"/>
    <w:rsid w:val="00B10055"/>
    <w:rsid w:val="00B116FE"/>
    <w:rsid w:val="00B11A7A"/>
    <w:rsid w:val="00B12044"/>
    <w:rsid w:val="00B12064"/>
    <w:rsid w:val="00B122BA"/>
    <w:rsid w:val="00B126D6"/>
    <w:rsid w:val="00B129B9"/>
    <w:rsid w:val="00B12AC0"/>
    <w:rsid w:val="00B13205"/>
    <w:rsid w:val="00B1350C"/>
    <w:rsid w:val="00B13526"/>
    <w:rsid w:val="00B1367B"/>
    <w:rsid w:val="00B140A7"/>
    <w:rsid w:val="00B14516"/>
    <w:rsid w:val="00B147B4"/>
    <w:rsid w:val="00B151DF"/>
    <w:rsid w:val="00B152FC"/>
    <w:rsid w:val="00B153E0"/>
    <w:rsid w:val="00B1568F"/>
    <w:rsid w:val="00B156BD"/>
    <w:rsid w:val="00B15E24"/>
    <w:rsid w:val="00B15F6A"/>
    <w:rsid w:val="00B16E35"/>
    <w:rsid w:val="00B20893"/>
    <w:rsid w:val="00B21C79"/>
    <w:rsid w:val="00B2281A"/>
    <w:rsid w:val="00B22EA4"/>
    <w:rsid w:val="00B24866"/>
    <w:rsid w:val="00B24DED"/>
    <w:rsid w:val="00B25267"/>
    <w:rsid w:val="00B255AF"/>
    <w:rsid w:val="00B259CF"/>
    <w:rsid w:val="00B261CF"/>
    <w:rsid w:val="00B26322"/>
    <w:rsid w:val="00B26EFB"/>
    <w:rsid w:val="00B26F93"/>
    <w:rsid w:val="00B27C8C"/>
    <w:rsid w:val="00B304F4"/>
    <w:rsid w:val="00B3075F"/>
    <w:rsid w:val="00B30DE1"/>
    <w:rsid w:val="00B30F13"/>
    <w:rsid w:val="00B31246"/>
    <w:rsid w:val="00B31856"/>
    <w:rsid w:val="00B31FFB"/>
    <w:rsid w:val="00B32CD6"/>
    <w:rsid w:val="00B32E94"/>
    <w:rsid w:val="00B32ED3"/>
    <w:rsid w:val="00B33AD9"/>
    <w:rsid w:val="00B35096"/>
    <w:rsid w:val="00B3585F"/>
    <w:rsid w:val="00B35915"/>
    <w:rsid w:val="00B35C96"/>
    <w:rsid w:val="00B369E1"/>
    <w:rsid w:val="00B36F90"/>
    <w:rsid w:val="00B37191"/>
    <w:rsid w:val="00B37899"/>
    <w:rsid w:val="00B403EB"/>
    <w:rsid w:val="00B40C6A"/>
    <w:rsid w:val="00B414C9"/>
    <w:rsid w:val="00B41C33"/>
    <w:rsid w:val="00B42BC7"/>
    <w:rsid w:val="00B42DAE"/>
    <w:rsid w:val="00B439DE"/>
    <w:rsid w:val="00B44BE4"/>
    <w:rsid w:val="00B44C2E"/>
    <w:rsid w:val="00B44EC1"/>
    <w:rsid w:val="00B45BA4"/>
    <w:rsid w:val="00B45CF8"/>
    <w:rsid w:val="00B464FF"/>
    <w:rsid w:val="00B467CB"/>
    <w:rsid w:val="00B46910"/>
    <w:rsid w:val="00B46DF1"/>
    <w:rsid w:val="00B4705F"/>
    <w:rsid w:val="00B477D3"/>
    <w:rsid w:val="00B478E8"/>
    <w:rsid w:val="00B50121"/>
    <w:rsid w:val="00B5019A"/>
    <w:rsid w:val="00B5024A"/>
    <w:rsid w:val="00B50755"/>
    <w:rsid w:val="00B50B1D"/>
    <w:rsid w:val="00B515F7"/>
    <w:rsid w:val="00B51AF5"/>
    <w:rsid w:val="00B52780"/>
    <w:rsid w:val="00B53CDB"/>
    <w:rsid w:val="00B53CFF"/>
    <w:rsid w:val="00B54F5E"/>
    <w:rsid w:val="00B5559D"/>
    <w:rsid w:val="00B5610D"/>
    <w:rsid w:val="00B568BD"/>
    <w:rsid w:val="00B57116"/>
    <w:rsid w:val="00B571A5"/>
    <w:rsid w:val="00B5761A"/>
    <w:rsid w:val="00B57BFD"/>
    <w:rsid w:val="00B57C16"/>
    <w:rsid w:val="00B60639"/>
    <w:rsid w:val="00B60645"/>
    <w:rsid w:val="00B60ABF"/>
    <w:rsid w:val="00B60E41"/>
    <w:rsid w:val="00B61AD4"/>
    <w:rsid w:val="00B620DF"/>
    <w:rsid w:val="00B628A7"/>
    <w:rsid w:val="00B62B6F"/>
    <w:rsid w:val="00B62C19"/>
    <w:rsid w:val="00B62EBC"/>
    <w:rsid w:val="00B64ADB"/>
    <w:rsid w:val="00B650FA"/>
    <w:rsid w:val="00B6631B"/>
    <w:rsid w:val="00B66950"/>
    <w:rsid w:val="00B66E04"/>
    <w:rsid w:val="00B67AF3"/>
    <w:rsid w:val="00B67BFB"/>
    <w:rsid w:val="00B67CE6"/>
    <w:rsid w:val="00B705C1"/>
    <w:rsid w:val="00B70D57"/>
    <w:rsid w:val="00B714FA"/>
    <w:rsid w:val="00B7178F"/>
    <w:rsid w:val="00B72021"/>
    <w:rsid w:val="00B727D6"/>
    <w:rsid w:val="00B73325"/>
    <w:rsid w:val="00B73373"/>
    <w:rsid w:val="00B736D0"/>
    <w:rsid w:val="00B73798"/>
    <w:rsid w:val="00B740D0"/>
    <w:rsid w:val="00B7516E"/>
    <w:rsid w:val="00B75D2D"/>
    <w:rsid w:val="00B760BA"/>
    <w:rsid w:val="00B7656E"/>
    <w:rsid w:val="00B76DB2"/>
    <w:rsid w:val="00B77173"/>
    <w:rsid w:val="00B777A2"/>
    <w:rsid w:val="00B779DB"/>
    <w:rsid w:val="00B80FB6"/>
    <w:rsid w:val="00B81669"/>
    <w:rsid w:val="00B817B6"/>
    <w:rsid w:val="00B81D8E"/>
    <w:rsid w:val="00B81E2C"/>
    <w:rsid w:val="00B825E8"/>
    <w:rsid w:val="00B827D3"/>
    <w:rsid w:val="00B8281C"/>
    <w:rsid w:val="00B829F3"/>
    <w:rsid w:val="00B82B2B"/>
    <w:rsid w:val="00B831B5"/>
    <w:rsid w:val="00B8360A"/>
    <w:rsid w:val="00B839F3"/>
    <w:rsid w:val="00B84201"/>
    <w:rsid w:val="00B844AF"/>
    <w:rsid w:val="00B84E39"/>
    <w:rsid w:val="00B858A8"/>
    <w:rsid w:val="00B859C3"/>
    <w:rsid w:val="00B85B75"/>
    <w:rsid w:val="00B86302"/>
    <w:rsid w:val="00B864C3"/>
    <w:rsid w:val="00B877EB"/>
    <w:rsid w:val="00B87BC2"/>
    <w:rsid w:val="00B907E7"/>
    <w:rsid w:val="00B90C8C"/>
    <w:rsid w:val="00B916C7"/>
    <w:rsid w:val="00B91A41"/>
    <w:rsid w:val="00B91CC2"/>
    <w:rsid w:val="00B921E2"/>
    <w:rsid w:val="00B928F3"/>
    <w:rsid w:val="00B92ACA"/>
    <w:rsid w:val="00B92C21"/>
    <w:rsid w:val="00B9322D"/>
    <w:rsid w:val="00B93266"/>
    <w:rsid w:val="00B93F5B"/>
    <w:rsid w:val="00B95409"/>
    <w:rsid w:val="00B958D4"/>
    <w:rsid w:val="00B95D67"/>
    <w:rsid w:val="00B965A4"/>
    <w:rsid w:val="00B96C26"/>
    <w:rsid w:val="00B96EBD"/>
    <w:rsid w:val="00B97662"/>
    <w:rsid w:val="00B9772C"/>
    <w:rsid w:val="00BA0144"/>
    <w:rsid w:val="00BA09D8"/>
    <w:rsid w:val="00BA0C00"/>
    <w:rsid w:val="00BA16AD"/>
    <w:rsid w:val="00BA1EA5"/>
    <w:rsid w:val="00BA1EDB"/>
    <w:rsid w:val="00BA29C0"/>
    <w:rsid w:val="00BA3120"/>
    <w:rsid w:val="00BA31D8"/>
    <w:rsid w:val="00BA3BAB"/>
    <w:rsid w:val="00BA4882"/>
    <w:rsid w:val="00BA4E82"/>
    <w:rsid w:val="00BA4F93"/>
    <w:rsid w:val="00BA52A0"/>
    <w:rsid w:val="00BA5A33"/>
    <w:rsid w:val="00BA5E16"/>
    <w:rsid w:val="00BA7073"/>
    <w:rsid w:val="00BA7ED7"/>
    <w:rsid w:val="00BB03DD"/>
    <w:rsid w:val="00BB057C"/>
    <w:rsid w:val="00BB0C85"/>
    <w:rsid w:val="00BB12A7"/>
    <w:rsid w:val="00BB267D"/>
    <w:rsid w:val="00BB2A70"/>
    <w:rsid w:val="00BB35A5"/>
    <w:rsid w:val="00BB3BA9"/>
    <w:rsid w:val="00BB46BF"/>
    <w:rsid w:val="00BB4C09"/>
    <w:rsid w:val="00BB5555"/>
    <w:rsid w:val="00BB59FC"/>
    <w:rsid w:val="00BB5EEB"/>
    <w:rsid w:val="00BB67AB"/>
    <w:rsid w:val="00BB6D32"/>
    <w:rsid w:val="00BB77A5"/>
    <w:rsid w:val="00BB7D77"/>
    <w:rsid w:val="00BC0109"/>
    <w:rsid w:val="00BC0116"/>
    <w:rsid w:val="00BC0990"/>
    <w:rsid w:val="00BC1555"/>
    <w:rsid w:val="00BC209B"/>
    <w:rsid w:val="00BC2948"/>
    <w:rsid w:val="00BC2E92"/>
    <w:rsid w:val="00BC2FF1"/>
    <w:rsid w:val="00BC3B07"/>
    <w:rsid w:val="00BC440D"/>
    <w:rsid w:val="00BC44D9"/>
    <w:rsid w:val="00BC465E"/>
    <w:rsid w:val="00BC47A7"/>
    <w:rsid w:val="00BC5540"/>
    <w:rsid w:val="00BC5E54"/>
    <w:rsid w:val="00BC62E2"/>
    <w:rsid w:val="00BC6930"/>
    <w:rsid w:val="00BC6CC3"/>
    <w:rsid w:val="00BC6FD6"/>
    <w:rsid w:val="00BC79CA"/>
    <w:rsid w:val="00BD005B"/>
    <w:rsid w:val="00BD0482"/>
    <w:rsid w:val="00BD0B32"/>
    <w:rsid w:val="00BD0FD2"/>
    <w:rsid w:val="00BD10CA"/>
    <w:rsid w:val="00BD1360"/>
    <w:rsid w:val="00BD16A6"/>
    <w:rsid w:val="00BD1CD3"/>
    <w:rsid w:val="00BD1E95"/>
    <w:rsid w:val="00BD1F61"/>
    <w:rsid w:val="00BD2BF4"/>
    <w:rsid w:val="00BD2CAC"/>
    <w:rsid w:val="00BD3298"/>
    <w:rsid w:val="00BD3ABA"/>
    <w:rsid w:val="00BD3EB3"/>
    <w:rsid w:val="00BD437C"/>
    <w:rsid w:val="00BD57A7"/>
    <w:rsid w:val="00BD74C0"/>
    <w:rsid w:val="00BD759E"/>
    <w:rsid w:val="00BE10BD"/>
    <w:rsid w:val="00BE1402"/>
    <w:rsid w:val="00BE17A2"/>
    <w:rsid w:val="00BE1B45"/>
    <w:rsid w:val="00BE1C03"/>
    <w:rsid w:val="00BE26AF"/>
    <w:rsid w:val="00BE334D"/>
    <w:rsid w:val="00BE33F2"/>
    <w:rsid w:val="00BE3644"/>
    <w:rsid w:val="00BE3CE5"/>
    <w:rsid w:val="00BE43C9"/>
    <w:rsid w:val="00BE440E"/>
    <w:rsid w:val="00BE451F"/>
    <w:rsid w:val="00BE4815"/>
    <w:rsid w:val="00BE4832"/>
    <w:rsid w:val="00BE4B9A"/>
    <w:rsid w:val="00BE53D7"/>
    <w:rsid w:val="00BE6024"/>
    <w:rsid w:val="00BE6B9F"/>
    <w:rsid w:val="00BE6CB8"/>
    <w:rsid w:val="00BE7CEB"/>
    <w:rsid w:val="00BF11F0"/>
    <w:rsid w:val="00BF1392"/>
    <w:rsid w:val="00BF186E"/>
    <w:rsid w:val="00BF18A7"/>
    <w:rsid w:val="00BF20D2"/>
    <w:rsid w:val="00BF22A1"/>
    <w:rsid w:val="00BF2EC8"/>
    <w:rsid w:val="00BF37CE"/>
    <w:rsid w:val="00BF40E3"/>
    <w:rsid w:val="00BF4264"/>
    <w:rsid w:val="00BF427F"/>
    <w:rsid w:val="00BF45F0"/>
    <w:rsid w:val="00BF477A"/>
    <w:rsid w:val="00BF4DAA"/>
    <w:rsid w:val="00BF558F"/>
    <w:rsid w:val="00C00295"/>
    <w:rsid w:val="00C00988"/>
    <w:rsid w:val="00C00B31"/>
    <w:rsid w:val="00C01BD6"/>
    <w:rsid w:val="00C02863"/>
    <w:rsid w:val="00C04ABC"/>
    <w:rsid w:val="00C055E8"/>
    <w:rsid w:val="00C05B01"/>
    <w:rsid w:val="00C06236"/>
    <w:rsid w:val="00C06311"/>
    <w:rsid w:val="00C06A2E"/>
    <w:rsid w:val="00C0727F"/>
    <w:rsid w:val="00C0729C"/>
    <w:rsid w:val="00C100B5"/>
    <w:rsid w:val="00C112D9"/>
    <w:rsid w:val="00C11A80"/>
    <w:rsid w:val="00C11DC3"/>
    <w:rsid w:val="00C120D5"/>
    <w:rsid w:val="00C126C8"/>
    <w:rsid w:val="00C12947"/>
    <w:rsid w:val="00C130D0"/>
    <w:rsid w:val="00C13209"/>
    <w:rsid w:val="00C1350B"/>
    <w:rsid w:val="00C13B3C"/>
    <w:rsid w:val="00C13BF5"/>
    <w:rsid w:val="00C13E0C"/>
    <w:rsid w:val="00C1439A"/>
    <w:rsid w:val="00C145DD"/>
    <w:rsid w:val="00C15947"/>
    <w:rsid w:val="00C15B31"/>
    <w:rsid w:val="00C15D00"/>
    <w:rsid w:val="00C1748A"/>
    <w:rsid w:val="00C20932"/>
    <w:rsid w:val="00C20CD9"/>
    <w:rsid w:val="00C211BD"/>
    <w:rsid w:val="00C222EC"/>
    <w:rsid w:val="00C22706"/>
    <w:rsid w:val="00C240E5"/>
    <w:rsid w:val="00C24660"/>
    <w:rsid w:val="00C24683"/>
    <w:rsid w:val="00C25243"/>
    <w:rsid w:val="00C25504"/>
    <w:rsid w:val="00C259CC"/>
    <w:rsid w:val="00C25CBB"/>
    <w:rsid w:val="00C265BA"/>
    <w:rsid w:val="00C26848"/>
    <w:rsid w:val="00C268C4"/>
    <w:rsid w:val="00C26C24"/>
    <w:rsid w:val="00C26F00"/>
    <w:rsid w:val="00C279E1"/>
    <w:rsid w:val="00C27E53"/>
    <w:rsid w:val="00C30404"/>
    <w:rsid w:val="00C30432"/>
    <w:rsid w:val="00C30533"/>
    <w:rsid w:val="00C31986"/>
    <w:rsid w:val="00C31D70"/>
    <w:rsid w:val="00C340C2"/>
    <w:rsid w:val="00C3475E"/>
    <w:rsid w:val="00C351E5"/>
    <w:rsid w:val="00C35EAA"/>
    <w:rsid w:val="00C35EB3"/>
    <w:rsid w:val="00C36258"/>
    <w:rsid w:val="00C36716"/>
    <w:rsid w:val="00C36AD0"/>
    <w:rsid w:val="00C36EDC"/>
    <w:rsid w:val="00C37185"/>
    <w:rsid w:val="00C3795F"/>
    <w:rsid w:val="00C37C77"/>
    <w:rsid w:val="00C405FD"/>
    <w:rsid w:val="00C4069D"/>
    <w:rsid w:val="00C40B00"/>
    <w:rsid w:val="00C40C6A"/>
    <w:rsid w:val="00C41C59"/>
    <w:rsid w:val="00C41E94"/>
    <w:rsid w:val="00C42D6B"/>
    <w:rsid w:val="00C4348C"/>
    <w:rsid w:val="00C437B2"/>
    <w:rsid w:val="00C446E7"/>
    <w:rsid w:val="00C446EB"/>
    <w:rsid w:val="00C44F6A"/>
    <w:rsid w:val="00C44FC1"/>
    <w:rsid w:val="00C4514E"/>
    <w:rsid w:val="00C45994"/>
    <w:rsid w:val="00C46818"/>
    <w:rsid w:val="00C50545"/>
    <w:rsid w:val="00C50B04"/>
    <w:rsid w:val="00C50D3F"/>
    <w:rsid w:val="00C50F5F"/>
    <w:rsid w:val="00C52273"/>
    <w:rsid w:val="00C52323"/>
    <w:rsid w:val="00C525ED"/>
    <w:rsid w:val="00C52619"/>
    <w:rsid w:val="00C5307C"/>
    <w:rsid w:val="00C53110"/>
    <w:rsid w:val="00C54185"/>
    <w:rsid w:val="00C54722"/>
    <w:rsid w:val="00C54C67"/>
    <w:rsid w:val="00C54E66"/>
    <w:rsid w:val="00C5557F"/>
    <w:rsid w:val="00C558EE"/>
    <w:rsid w:val="00C5598E"/>
    <w:rsid w:val="00C55DD0"/>
    <w:rsid w:val="00C56F34"/>
    <w:rsid w:val="00C5721D"/>
    <w:rsid w:val="00C572C8"/>
    <w:rsid w:val="00C57800"/>
    <w:rsid w:val="00C578ED"/>
    <w:rsid w:val="00C57AEF"/>
    <w:rsid w:val="00C57F03"/>
    <w:rsid w:val="00C600CE"/>
    <w:rsid w:val="00C600F6"/>
    <w:rsid w:val="00C608D7"/>
    <w:rsid w:val="00C6146D"/>
    <w:rsid w:val="00C6191E"/>
    <w:rsid w:val="00C61AF9"/>
    <w:rsid w:val="00C61C9D"/>
    <w:rsid w:val="00C61DC1"/>
    <w:rsid w:val="00C6259A"/>
    <w:rsid w:val="00C629F2"/>
    <w:rsid w:val="00C62EF0"/>
    <w:rsid w:val="00C63D39"/>
    <w:rsid w:val="00C63DC4"/>
    <w:rsid w:val="00C63F77"/>
    <w:rsid w:val="00C6432D"/>
    <w:rsid w:val="00C64334"/>
    <w:rsid w:val="00C65B58"/>
    <w:rsid w:val="00C65B7A"/>
    <w:rsid w:val="00C667DA"/>
    <w:rsid w:val="00C66BA0"/>
    <w:rsid w:val="00C6749E"/>
    <w:rsid w:val="00C67817"/>
    <w:rsid w:val="00C67A20"/>
    <w:rsid w:val="00C67B85"/>
    <w:rsid w:val="00C70801"/>
    <w:rsid w:val="00C70CB3"/>
    <w:rsid w:val="00C70D31"/>
    <w:rsid w:val="00C7169E"/>
    <w:rsid w:val="00C7195A"/>
    <w:rsid w:val="00C71FB0"/>
    <w:rsid w:val="00C72207"/>
    <w:rsid w:val="00C724AD"/>
    <w:rsid w:val="00C72A95"/>
    <w:rsid w:val="00C732DE"/>
    <w:rsid w:val="00C7422F"/>
    <w:rsid w:val="00C74C2B"/>
    <w:rsid w:val="00C74E3F"/>
    <w:rsid w:val="00C756ED"/>
    <w:rsid w:val="00C75AD9"/>
    <w:rsid w:val="00C75C1D"/>
    <w:rsid w:val="00C76DFE"/>
    <w:rsid w:val="00C77027"/>
    <w:rsid w:val="00C77664"/>
    <w:rsid w:val="00C77BD5"/>
    <w:rsid w:val="00C77BF2"/>
    <w:rsid w:val="00C80400"/>
    <w:rsid w:val="00C80E38"/>
    <w:rsid w:val="00C81023"/>
    <w:rsid w:val="00C8140B"/>
    <w:rsid w:val="00C81B7D"/>
    <w:rsid w:val="00C826C9"/>
    <w:rsid w:val="00C82FF3"/>
    <w:rsid w:val="00C83684"/>
    <w:rsid w:val="00C83F66"/>
    <w:rsid w:val="00C84A83"/>
    <w:rsid w:val="00C84C7C"/>
    <w:rsid w:val="00C84CF5"/>
    <w:rsid w:val="00C850D8"/>
    <w:rsid w:val="00C85C99"/>
    <w:rsid w:val="00C85DF5"/>
    <w:rsid w:val="00C860BF"/>
    <w:rsid w:val="00C8639E"/>
    <w:rsid w:val="00C8675A"/>
    <w:rsid w:val="00C8680C"/>
    <w:rsid w:val="00C869B8"/>
    <w:rsid w:val="00C86BCB"/>
    <w:rsid w:val="00C86E32"/>
    <w:rsid w:val="00C8736F"/>
    <w:rsid w:val="00C8760D"/>
    <w:rsid w:val="00C87AC4"/>
    <w:rsid w:val="00C87C5E"/>
    <w:rsid w:val="00C87EDF"/>
    <w:rsid w:val="00C9019A"/>
    <w:rsid w:val="00C903D8"/>
    <w:rsid w:val="00C90D81"/>
    <w:rsid w:val="00C9142F"/>
    <w:rsid w:val="00C92113"/>
    <w:rsid w:val="00C924D8"/>
    <w:rsid w:val="00C928DD"/>
    <w:rsid w:val="00C9344F"/>
    <w:rsid w:val="00C93E9B"/>
    <w:rsid w:val="00C94064"/>
    <w:rsid w:val="00C94576"/>
    <w:rsid w:val="00C94593"/>
    <w:rsid w:val="00C94620"/>
    <w:rsid w:val="00C94C7E"/>
    <w:rsid w:val="00C95342"/>
    <w:rsid w:val="00C95B03"/>
    <w:rsid w:val="00C95CF5"/>
    <w:rsid w:val="00C9624F"/>
    <w:rsid w:val="00C96680"/>
    <w:rsid w:val="00C9698C"/>
    <w:rsid w:val="00C96D52"/>
    <w:rsid w:val="00C96D71"/>
    <w:rsid w:val="00C97307"/>
    <w:rsid w:val="00C9752A"/>
    <w:rsid w:val="00C979B2"/>
    <w:rsid w:val="00CA0835"/>
    <w:rsid w:val="00CA0B53"/>
    <w:rsid w:val="00CA18B4"/>
    <w:rsid w:val="00CA1C75"/>
    <w:rsid w:val="00CA2392"/>
    <w:rsid w:val="00CA2B93"/>
    <w:rsid w:val="00CA3260"/>
    <w:rsid w:val="00CA44E7"/>
    <w:rsid w:val="00CA4D3E"/>
    <w:rsid w:val="00CA4DAB"/>
    <w:rsid w:val="00CA52A3"/>
    <w:rsid w:val="00CA596C"/>
    <w:rsid w:val="00CA5F95"/>
    <w:rsid w:val="00CA607B"/>
    <w:rsid w:val="00CA7107"/>
    <w:rsid w:val="00CA7352"/>
    <w:rsid w:val="00CA79EB"/>
    <w:rsid w:val="00CA7CA2"/>
    <w:rsid w:val="00CA7DFF"/>
    <w:rsid w:val="00CA7F81"/>
    <w:rsid w:val="00CB14BE"/>
    <w:rsid w:val="00CB1D37"/>
    <w:rsid w:val="00CB1E7A"/>
    <w:rsid w:val="00CB21EF"/>
    <w:rsid w:val="00CB246A"/>
    <w:rsid w:val="00CB2559"/>
    <w:rsid w:val="00CB2C39"/>
    <w:rsid w:val="00CB2D5D"/>
    <w:rsid w:val="00CB35A6"/>
    <w:rsid w:val="00CB423F"/>
    <w:rsid w:val="00CB4721"/>
    <w:rsid w:val="00CB4C30"/>
    <w:rsid w:val="00CB5345"/>
    <w:rsid w:val="00CB57B4"/>
    <w:rsid w:val="00CB6BF8"/>
    <w:rsid w:val="00CB6DA6"/>
    <w:rsid w:val="00CB6E2A"/>
    <w:rsid w:val="00CB7B8F"/>
    <w:rsid w:val="00CC000B"/>
    <w:rsid w:val="00CC0D74"/>
    <w:rsid w:val="00CC1CE0"/>
    <w:rsid w:val="00CC2063"/>
    <w:rsid w:val="00CC25FA"/>
    <w:rsid w:val="00CC2DDC"/>
    <w:rsid w:val="00CC361C"/>
    <w:rsid w:val="00CC3783"/>
    <w:rsid w:val="00CC44B9"/>
    <w:rsid w:val="00CC579F"/>
    <w:rsid w:val="00CC6417"/>
    <w:rsid w:val="00CC66E8"/>
    <w:rsid w:val="00CC6889"/>
    <w:rsid w:val="00CC688D"/>
    <w:rsid w:val="00CC6B51"/>
    <w:rsid w:val="00CC7A37"/>
    <w:rsid w:val="00CC7BFA"/>
    <w:rsid w:val="00CD012F"/>
    <w:rsid w:val="00CD0386"/>
    <w:rsid w:val="00CD0698"/>
    <w:rsid w:val="00CD0A85"/>
    <w:rsid w:val="00CD0F34"/>
    <w:rsid w:val="00CD113E"/>
    <w:rsid w:val="00CD1437"/>
    <w:rsid w:val="00CD2224"/>
    <w:rsid w:val="00CD28E0"/>
    <w:rsid w:val="00CD382F"/>
    <w:rsid w:val="00CD3C2F"/>
    <w:rsid w:val="00CD3DA7"/>
    <w:rsid w:val="00CD40BE"/>
    <w:rsid w:val="00CD4B90"/>
    <w:rsid w:val="00CD4DDD"/>
    <w:rsid w:val="00CD5099"/>
    <w:rsid w:val="00CD5A91"/>
    <w:rsid w:val="00CD5C40"/>
    <w:rsid w:val="00CD65AD"/>
    <w:rsid w:val="00CD6619"/>
    <w:rsid w:val="00CD6A4C"/>
    <w:rsid w:val="00CE0372"/>
    <w:rsid w:val="00CE0378"/>
    <w:rsid w:val="00CE03AB"/>
    <w:rsid w:val="00CE061B"/>
    <w:rsid w:val="00CE10A8"/>
    <w:rsid w:val="00CE140A"/>
    <w:rsid w:val="00CE1982"/>
    <w:rsid w:val="00CE1B6E"/>
    <w:rsid w:val="00CE22A0"/>
    <w:rsid w:val="00CE23BF"/>
    <w:rsid w:val="00CE498C"/>
    <w:rsid w:val="00CE4D6D"/>
    <w:rsid w:val="00CE5341"/>
    <w:rsid w:val="00CE5550"/>
    <w:rsid w:val="00CE598E"/>
    <w:rsid w:val="00CE5BB9"/>
    <w:rsid w:val="00CE679B"/>
    <w:rsid w:val="00CE69E6"/>
    <w:rsid w:val="00CE72A9"/>
    <w:rsid w:val="00CE72EE"/>
    <w:rsid w:val="00CE7740"/>
    <w:rsid w:val="00CF05BA"/>
    <w:rsid w:val="00CF0A44"/>
    <w:rsid w:val="00CF1256"/>
    <w:rsid w:val="00CF154D"/>
    <w:rsid w:val="00CF1B5C"/>
    <w:rsid w:val="00CF1D2C"/>
    <w:rsid w:val="00CF1EA0"/>
    <w:rsid w:val="00CF2850"/>
    <w:rsid w:val="00CF3894"/>
    <w:rsid w:val="00CF390F"/>
    <w:rsid w:val="00CF3AF7"/>
    <w:rsid w:val="00CF41B2"/>
    <w:rsid w:val="00CF432F"/>
    <w:rsid w:val="00CF4AAA"/>
    <w:rsid w:val="00CF4C10"/>
    <w:rsid w:val="00CF4D62"/>
    <w:rsid w:val="00CF4E69"/>
    <w:rsid w:val="00CF5507"/>
    <w:rsid w:val="00CF5931"/>
    <w:rsid w:val="00CF642B"/>
    <w:rsid w:val="00CF6BD7"/>
    <w:rsid w:val="00CF6BE6"/>
    <w:rsid w:val="00CF6E64"/>
    <w:rsid w:val="00D0085B"/>
    <w:rsid w:val="00D0095C"/>
    <w:rsid w:val="00D013BE"/>
    <w:rsid w:val="00D019F7"/>
    <w:rsid w:val="00D01B5E"/>
    <w:rsid w:val="00D022D9"/>
    <w:rsid w:val="00D025E1"/>
    <w:rsid w:val="00D02A4C"/>
    <w:rsid w:val="00D03BB4"/>
    <w:rsid w:val="00D047E7"/>
    <w:rsid w:val="00D049E7"/>
    <w:rsid w:val="00D05020"/>
    <w:rsid w:val="00D05CEB"/>
    <w:rsid w:val="00D06D93"/>
    <w:rsid w:val="00D072DD"/>
    <w:rsid w:val="00D07401"/>
    <w:rsid w:val="00D07DA3"/>
    <w:rsid w:val="00D1045B"/>
    <w:rsid w:val="00D10944"/>
    <w:rsid w:val="00D11340"/>
    <w:rsid w:val="00D11970"/>
    <w:rsid w:val="00D11A9C"/>
    <w:rsid w:val="00D11BA6"/>
    <w:rsid w:val="00D12656"/>
    <w:rsid w:val="00D126CC"/>
    <w:rsid w:val="00D12CAF"/>
    <w:rsid w:val="00D132BE"/>
    <w:rsid w:val="00D14BCC"/>
    <w:rsid w:val="00D15A6C"/>
    <w:rsid w:val="00D15A8B"/>
    <w:rsid w:val="00D15AC7"/>
    <w:rsid w:val="00D15FF2"/>
    <w:rsid w:val="00D16776"/>
    <w:rsid w:val="00D17A21"/>
    <w:rsid w:val="00D17E60"/>
    <w:rsid w:val="00D2002E"/>
    <w:rsid w:val="00D208A6"/>
    <w:rsid w:val="00D208F6"/>
    <w:rsid w:val="00D214DC"/>
    <w:rsid w:val="00D214E6"/>
    <w:rsid w:val="00D22108"/>
    <w:rsid w:val="00D22223"/>
    <w:rsid w:val="00D2269B"/>
    <w:rsid w:val="00D22830"/>
    <w:rsid w:val="00D229A8"/>
    <w:rsid w:val="00D2362A"/>
    <w:rsid w:val="00D23C4C"/>
    <w:rsid w:val="00D23F14"/>
    <w:rsid w:val="00D23F8F"/>
    <w:rsid w:val="00D25C0E"/>
    <w:rsid w:val="00D25D50"/>
    <w:rsid w:val="00D27182"/>
    <w:rsid w:val="00D303EA"/>
    <w:rsid w:val="00D31833"/>
    <w:rsid w:val="00D31AC0"/>
    <w:rsid w:val="00D320FD"/>
    <w:rsid w:val="00D32ABF"/>
    <w:rsid w:val="00D339D8"/>
    <w:rsid w:val="00D3405A"/>
    <w:rsid w:val="00D340D0"/>
    <w:rsid w:val="00D3418B"/>
    <w:rsid w:val="00D352DA"/>
    <w:rsid w:val="00D35445"/>
    <w:rsid w:val="00D3602E"/>
    <w:rsid w:val="00D36066"/>
    <w:rsid w:val="00D369FC"/>
    <w:rsid w:val="00D36ECE"/>
    <w:rsid w:val="00D37BFF"/>
    <w:rsid w:val="00D37F3B"/>
    <w:rsid w:val="00D40CA1"/>
    <w:rsid w:val="00D40E1B"/>
    <w:rsid w:val="00D41D45"/>
    <w:rsid w:val="00D4202B"/>
    <w:rsid w:val="00D42E16"/>
    <w:rsid w:val="00D447EB"/>
    <w:rsid w:val="00D44887"/>
    <w:rsid w:val="00D4498D"/>
    <w:rsid w:val="00D44B15"/>
    <w:rsid w:val="00D44D13"/>
    <w:rsid w:val="00D44F03"/>
    <w:rsid w:val="00D45B4A"/>
    <w:rsid w:val="00D465CD"/>
    <w:rsid w:val="00D46850"/>
    <w:rsid w:val="00D47172"/>
    <w:rsid w:val="00D4728C"/>
    <w:rsid w:val="00D47587"/>
    <w:rsid w:val="00D5064E"/>
    <w:rsid w:val="00D50F2E"/>
    <w:rsid w:val="00D51DC0"/>
    <w:rsid w:val="00D52ECE"/>
    <w:rsid w:val="00D53C37"/>
    <w:rsid w:val="00D53ED5"/>
    <w:rsid w:val="00D53F0A"/>
    <w:rsid w:val="00D543CD"/>
    <w:rsid w:val="00D54A0D"/>
    <w:rsid w:val="00D55D92"/>
    <w:rsid w:val="00D5601F"/>
    <w:rsid w:val="00D564CE"/>
    <w:rsid w:val="00D569BA"/>
    <w:rsid w:val="00D606B9"/>
    <w:rsid w:val="00D60805"/>
    <w:rsid w:val="00D608D7"/>
    <w:rsid w:val="00D61A1E"/>
    <w:rsid w:val="00D61D11"/>
    <w:rsid w:val="00D61D89"/>
    <w:rsid w:val="00D620CE"/>
    <w:rsid w:val="00D62ADD"/>
    <w:rsid w:val="00D62C6C"/>
    <w:rsid w:val="00D63529"/>
    <w:rsid w:val="00D63939"/>
    <w:rsid w:val="00D63E18"/>
    <w:rsid w:val="00D6442B"/>
    <w:rsid w:val="00D646EC"/>
    <w:rsid w:val="00D64C27"/>
    <w:rsid w:val="00D65021"/>
    <w:rsid w:val="00D65BCC"/>
    <w:rsid w:val="00D66A18"/>
    <w:rsid w:val="00D672E3"/>
    <w:rsid w:val="00D704A5"/>
    <w:rsid w:val="00D705EC"/>
    <w:rsid w:val="00D70D66"/>
    <w:rsid w:val="00D70E4F"/>
    <w:rsid w:val="00D71494"/>
    <w:rsid w:val="00D71A65"/>
    <w:rsid w:val="00D71E06"/>
    <w:rsid w:val="00D72024"/>
    <w:rsid w:val="00D7266B"/>
    <w:rsid w:val="00D734B8"/>
    <w:rsid w:val="00D73E47"/>
    <w:rsid w:val="00D7463D"/>
    <w:rsid w:val="00D74797"/>
    <w:rsid w:val="00D74D01"/>
    <w:rsid w:val="00D7508C"/>
    <w:rsid w:val="00D762F4"/>
    <w:rsid w:val="00D76440"/>
    <w:rsid w:val="00D7684B"/>
    <w:rsid w:val="00D76EC4"/>
    <w:rsid w:val="00D77E9D"/>
    <w:rsid w:val="00D8002C"/>
    <w:rsid w:val="00D80152"/>
    <w:rsid w:val="00D80C96"/>
    <w:rsid w:val="00D80CA4"/>
    <w:rsid w:val="00D81BCC"/>
    <w:rsid w:val="00D823B4"/>
    <w:rsid w:val="00D829DC"/>
    <w:rsid w:val="00D82CAD"/>
    <w:rsid w:val="00D84312"/>
    <w:rsid w:val="00D84CA6"/>
    <w:rsid w:val="00D8531C"/>
    <w:rsid w:val="00D857FF"/>
    <w:rsid w:val="00D86575"/>
    <w:rsid w:val="00D86593"/>
    <w:rsid w:val="00D868A7"/>
    <w:rsid w:val="00D873D5"/>
    <w:rsid w:val="00D87B18"/>
    <w:rsid w:val="00D87D3B"/>
    <w:rsid w:val="00D90926"/>
    <w:rsid w:val="00D91294"/>
    <w:rsid w:val="00D9141B"/>
    <w:rsid w:val="00D91804"/>
    <w:rsid w:val="00D918BD"/>
    <w:rsid w:val="00D91A5A"/>
    <w:rsid w:val="00D91BD9"/>
    <w:rsid w:val="00D91EE5"/>
    <w:rsid w:val="00D91F32"/>
    <w:rsid w:val="00D91FD4"/>
    <w:rsid w:val="00D921D9"/>
    <w:rsid w:val="00D92432"/>
    <w:rsid w:val="00D92827"/>
    <w:rsid w:val="00D928EE"/>
    <w:rsid w:val="00D92FE5"/>
    <w:rsid w:val="00D93513"/>
    <w:rsid w:val="00D9373C"/>
    <w:rsid w:val="00D9383B"/>
    <w:rsid w:val="00D93DA2"/>
    <w:rsid w:val="00D94DBD"/>
    <w:rsid w:val="00D94F00"/>
    <w:rsid w:val="00D95595"/>
    <w:rsid w:val="00D95767"/>
    <w:rsid w:val="00D9592B"/>
    <w:rsid w:val="00D96495"/>
    <w:rsid w:val="00D973B6"/>
    <w:rsid w:val="00D978CA"/>
    <w:rsid w:val="00D97C75"/>
    <w:rsid w:val="00D97C98"/>
    <w:rsid w:val="00D97FA5"/>
    <w:rsid w:val="00DA04C6"/>
    <w:rsid w:val="00DA084C"/>
    <w:rsid w:val="00DA0C45"/>
    <w:rsid w:val="00DA1253"/>
    <w:rsid w:val="00DA1389"/>
    <w:rsid w:val="00DA192E"/>
    <w:rsid w:val="00DA2374"/>
    <w:rsid w:val="00DA2679"/>
    <w:rsid w:val="00DA32BF"/>
    <w:rsid w:val="00DA3A98"/>
    <w:rsid w:val="00DA42D4"/>
    <w:rsid w:val="00DA4345"/>
    <w:rsid w:val="00DA4BA5"/>
    <w:rsid w:val="00DA4C39"/>
    <w:rsid w:val="00DA4FDD"/>
    <w:rsid w:val="00DA53DC"/>
    <w:rsid w:val="00DA5994"/>
    <w:rsid w:val="00DA5C97"/>
    <w:rsid w:val="00DA5D7C"/>
    <w:rsid w:val="00DA6973"/>
    <w:rsid w:val="00DA6AC5"/>
    <w:rsid w:val="00DA6DE8"/>
    <w:rsid w:val="00DA739E"/>
    <w:rsid w:val="00DA77C5"/>
    <w:rsid w:val="00DA796F"/>
    <w:rsid w:val="00DA7ADD"/>
    <w:rsid w:val="00DA7D77"/>
    <w:rsid w:val="00DA7E07"/>
    <w:rsid w:val="00DB07FD"/>
    <w:rsid w:val="00DB0B0A"/>
    <w:rsid w:val="00DB0C89"/>
    <w:rsid w:val="00DB1F84"/>
    <w:rsid w:val="00DB2D8A"/>
    <w:rsid w:val="00DB2E74"/>
    <w:rsid w:val="00DB35DB"/>
    <w:rsid w:val="00DB3FBA"/>
    <w:rsid w:val="00DB440D"/>
    <w:rsid w:val="00DB667C"/>
    <w:rsid w:val="00DB696F"/>
    <w:rsid w:val="00DB7045"/>
    <w:rsid w:val="00DB7AB8"/>
    <w:rsid w:val="00DC02F1"/>
    <w:rsid w:val="00DC0633"/>
    <w:rsid w:val="00DC0795"/>
    <w:rsid w:val="00DC1017"/>
    <w:rsid w:val="00DC11A3"/>
    <w:rsid w:val="00DC1ECE"/>
    <w:rsid w:val="00DC222C"/>
    <w:rsid w:val="00DC2D88"/>
    <w:rsid w:val="00DC30E7"/>
    <w:rsid w:val="00DC3481"/>
    <w:rsid w:val="00DC4253"/>
    <w:rsid w:val="00DC5A07"/>
    <w:rsid w:val="00DC5B95"/>
    <w:rsid w:val="00DC5C2B"/>
    <w:rsid w:val="00DC60A2"/>
    <w:rsid w:val="00DC6486"/>
    <w:rsid w:val="00DC6D28"/>
    <w:rsid w:val="00DD0190"/>
    <w:rsid w:val="00DD0622"/>
    <w:rsid w:val="00DD097D"/>
    <w:rsid w:val="00DD0ED1"/>
    <w:rsid w:val="00DD1530"/>
    <w:rsid w:val="00DD1B51"/>
    <w:rsid w:val="00DD341C"/>
    <w:rsid w:val="00DD389A"/>
    <w:rsid w:val="00DD4540"/>
    <w:rsid w:val="00DD5A8A"/>
    <w:rsid w:val="00DD5D77"/>
    <w:rsid w:val="00DD645E"/>
    <w:rsid w:val="00DD6C5F"/>
    <w:rsid w:val="00DD6D83"/>
    <w:rsid w:val="00DD76F4"/>
    <w:rsid w:val="00DD7805"/>
    <w:rsid w:val="00DE026B"/>
    <w:rsid w:val="00DE0DB5"/>
    <w:rsid w:val="00DE10CF"/>
    <w:rsid w:val="00DE1196"/>
    <w:rsid w:val="00DE16C6"/>
    <w:rsid w:val="00DE195C"/>
    <w:rsid w:val="00DE28D9"/>
    <w:rsid w:val="00DE3101"/>
    <w:rsid w:val="00DE33E0"/>
    <w:rsid w:val="00DE3E8C"/>
    <w:rsid w:val="00DE46F0"/>
    <w:rsid w:val="00DE4721"/>
    <w:rsid w:val="00DE4B33"/>
    <w:rsid w:val="00DE5433"/>
    <w:rsid w:val="00DE576A"/>
    <w:rsid w:val="00DE5D9A"/>
    <w:rsid w:val="00DE5E31"/>
    <w:rsid w:val="00DE60B4"/>
    <w:rsid w:val="00DE64E0"/>
    <w:rsid w:val="00DE66F6"/>
    <w:rsid w:val="00DE6EDA"/>
    <w:rsid w:val="00DE79FD"/>
    <w:rsid w:val="00DE7E42"/>
    <w:rsid w:val="00DE7F08"/>
    <w:rsid w:val="00DE7FCC"/>
    <w:rsid w:val="00DF086F"/>
    <w:rsid w:val="00DF0AF6"/>
    <w:rsid w:val="00DF1B83"/>
    <w:rsid w:val="00DF2EF8"/>
    <w:rsid w:val="00DF2FEF"/>
    <w:rsid w:val="00DF4247"/>
    <w:rsid w:val="00DF42B4"/>
    <w:rsid w:val="00DF505C"/>
    <w:rsid w:val="00DF529B"/>
    <w:rsid w:val="00DF53B2"/>
    <w:rsid w:val="00DF5D9D"/>
    <w:rsid w:val="00DF6001"/>
    <w:rsid w:val="00DF6791"/>
    <w:rsid w:val="00DF6C18"/>
    <w:rsid w:val="00DF7F61"/>
    <w:rsid w:val="00E00D57"/>
    <w:rsid w:val="00E00DF6"/>
    <w:rsid w:val="00E00FD1"/>
    <w:rsid w:val="00E01E64"/>
    <w:rsid w:val="00E01EFA"/>
    <w:rsid w:val="00E023E2"/>
    <w:rsid w:val="00E02B6F"/>
    <w:rsid w:val="00E03085"/>
    <w:rsid w:val="00E03A3F"/>
    <w:rsid w:val="00E03BB8"/>
    <w:rsid w:val="00E04672"/>
    <w:rsid w:val="00E04E05"/>
    <w:rsid w:val="00E04E5A"/>
    <w:rsid w:val="00E057B9"/>
    <w:rsid w:val="00E066FF"/>
    <w:rsid w:val="00E06E81"/>
    <w:rsid w:val="00E077A5"/>
    <w:rsid w:val="00E077F6"/>
    <w:rsid w:val="00E10459"/>
    <w:rsid w:val="00E13E5C"/>
    <w:rsid w:val="00E149B5"/>
    <w:rsid w:val="00E15558"/>
    <w:rsid w:val="00E15742"/>
    <w:rsid w:val="00E15A88"/>
    <w:rsid w:val="00E15F44"/>
    <w:rsid w:val="00E162ED"/>
    <w:rsid w:val="00E1697D"/>
    <w:rsid w:val="00E16E60"/>
    <w:rsid w:val="00E17E33"/>
    <w:rsid w:val="00E20333"/>
    <w:rsid w:val="00E20EDE"/>
    <w:rsid w:val="00E20FA7"/>
    <w:rsid w:val="00E21787"/>
    <w:rsid w:val="00E218DE"/>
    <w:rsid w:val="00E22496"/>
    <w:rsid w:val="00E2292E"/>
    <w:rsid w:val="00E22D7A"/>
    <w:rsid w:val="00E22FCB"/>
    <w:rsid w:val="00E238EF"/>
    <w:rsid w:val="00E23BF5"/>
    <w:rsid w:val="00E2413F"/>
    <w:rsid w:val="00E24496"/>
    <w:rsid w:val="00E25C93"/>
    <w:rsid w:val="00E25D7F"/>
    <w:rsid w:val="00E26702"/>
    <w:rsid w:val="00E2741E"/>
    <w:rsid w:val="00E27684"/>
    <w:rsid w:val="00E304F3"/>
    <w:rsid w:val="00E30E2C"/>
    <w:rsid w:val="00E31222"/>
    <w:rsid w:val="00E325F4"/>
    <w:rsid w:val="00E32690"/>
    <w:rsid w:val="00E3271A"/>
    <w:rsid w:val="00E33A16"/>
    <w:rsid w:val="00E33C99"/>
    <w:rsid w:val="00E34620"/>
    <w:rsid w:val="00E3496E"/>
    <w:rsid w:val="00E34F85"/>
    <w:rsid w:val="00E35D17"/>
    <w:rsid w:val="00E360C8"/>
    <w:rsid w:val="00E36101"/>
    <w:rsid w:val="00E36462"/>
    <w:rsid w:val="00E37A4D"/>
    <w:rsid w:val="00E37A8D"/>
    <w:rsid w:val="00E37FB1"/>
    <w:rsid w:val="00E4024E"/>
    <w:rsid w:val="00E40C7E"/>
    <w:rsid w:val="00E40CCC"/>
    <w:rsid w:val="00E415E0"/>
    <w:rsid w:val="00E42098"/>
    <w:rsid w:val="00E42B51"/>
    <w:rsid w:val="00E42D1C"/>
    <w:rsid w:val="00E43278"/>
    <w:rsid w:val="00E4387D"/>
    <w:rsid w:val="00E43D7B"/>
    <w:rsid w:val="00E449F1"/>
    <w:rsid w:val="00E45CB2"/>
    <w:rsid w:val="00E465C6"/>
    <w:rsid w:val="00E46700"/>
    <w:rsid w:val="00E47243"/>
    <w:rsid w:val="00E47F30"/>
    <w:rsid w:val="00E514E7"/>
    <w:rsid w:val="00E5263C"/>
    <w:rsid w:val="00E53144"/>
    <w:rsid w:val="00E536C8"/>
    <w:rsid w:val="00E53BD2"/>
    <w:rsid w:val="00E53DB3"/>
    <w:rsid w:val="00E550ED"/>
    <w:rsid w:val="00E55268"/>
    <w:rsid w:val="00E55858"/>
    <w:rsid w:val="00E5635C"/>
    <w:rsid w:val="00E573AD"/>
    <w:rsid w:val="00E57BAB"/>
    <w:rsid w:val="00E57C0D"/>
    <w:rsid w:val="00E61076"/>
    <w:rsid w:val="00E61EC5"/>
    <w:rsid w:val="00E62765"/>
    <w:rsid w:val="00E62CE7"/>
    <w:rsid w:val="00E62EB1"/>
    <w:rsid w:val="00E63868"/>
    <w:rsid w:val="00E63FA0"/>
    <w:rsid w:val="00E646C4"/>
    <w:rsid w:val="00E653C5"/>
    <w:rsid w:val="00E6540B"/>
    <w:rsid w:val="00E667C1"/>
    <w:rsid w:val="00E679D2"/>
    <w:rsid w:val="00E70285"/>
    <w:rsid w:val="00E702C3"/>
    <w:rsid w:val="00E709C5"/>
    <w:rsid w:val="00E70E46"/>
    <w:rsid w:val="00E7120A"/>
    <w:rsid w:val="00E71451"/>
    <w:rsid w:val="00E71978"/>
    <w:rsid w:val="00E71F21"/>
    <w:rsid w:val="00E725EE"/>
    <w:rsid w:val="00E727A3"/>
    <w:rsid w:val="00E731FA"/>
    <w:rsid w:val="00E735FF"/>
    <w:rsid w:val="00E752DF"/>
    <w:rsid w:val="00E75527"/>
    <w:rsid w:val="00E762B7"/>
    <w:rsid w:val="00E76387"/>
    <w:rsid w:val="00E7687B"/>
    <w:rsid w:val="00E768F6"/>
    <w:rsid w:val="00E770E4"/>
    <w:rsid w:val="00E77169"/>
    <w:rsid w:val="00E7742B"/>
    <w:rsid w:val="00E77E87"/>
    <w:rsid w:val="00E77F10"/>
    <w:rsid w:val="00E803D3"/>
    <w:rsid w:val="00E8128A"/>
    <w:rsid w:val="00E81590"/>
    <w:rsid w:val="00E8160D"/>
    <w:rsid w:val="00E81C83"/>
    <w:rsid w:val="00E820EA"/>
    <w:rsid w:val="00E829A9"/>
    <w:rsid w:val="00E82B76"/>
    <w:rsid w:val="00E82CD7"/>
    <w:rsid w:val="00E82FCB"/>
    <w:rsid w:val="00E834DD"/>
    <w:rsid w:val="00E83CBF"/>
    <w:rsid w:val="00E84B1A"/>
    <w:rsid w:val="00E84E68"/>
    <w:rsid w:val="00E85BDC"/>
    <w:rsid w:val="00E85D5A"/>
    <w:rsid w:val="00E85F6A"/>
    <w:rsid w:val="00E86084"/>
    <w:rsid w:val="00E86DE2"/>
    <w:rsid w:val="00E86E7B"/>
    <w:rsid w:val="00E8735C"/>
    <w:rsid w:val="00E8771A"/>
    <w:rsid w:val="00E87B22"/>
    <w:rsid w:val="00E9028E"/>
    <w:rsid w:val="00E9035E"/>
    <w:rsid w:val="00E9076C"/>
    <w:rsid w:val="00E91FF3"/>
    <w:rsid w:val="00E92859"/>
    <w:rsid w:val="00E928B3"/>
    <w:rsid w:val="00E92B2C"/>
    <w:rsid w:val="00E9402D"/>
    <w:rsid w:val="00E942A2"/>
    <w:rsid w:val="00E9540E"/>
    <w:rsid w:val="00E95BB3"/>
    <w:rsid w:val="00E96FEE"/>
    <w:rsid w:val="00E970A4"/>
    <w:rsid w:val="00E975CD"/>
    <w:rsid w:val="00E97C25"/>
    <w:rsid w:val="00EA001F"/>
    <w:rsid w:val="00EA02B9"/>
    <w:rsid w:val="00EA0D37"/>
    <w:rsid w:val="00EA0E96"/>
    <w:rsid w:val="00EA11EA"/>
    <w:rsid w:val="00EA156B"/>
    <w:rsid w:val="00EA2819"/>
    <w:rsid w:val="00EA2A8C"/>
    <w:rsid w:val="00EA32A3"/>
    <w:rsid w:val="00EA34FA"/>
    <w:rsid w:val="00EA3974"/>
    <w:rsid w:val="00EA42BB"/>
    <w:rsid w:val="00EA46AA"/>
    <w:rsid w:val="00EA4C67"/>
    <w:rsid w:val="00EA4E2C"/>
    <w:rsid w:val="00EA5DF5"/>
    <w:rsid w:val="00EA617E"/>
    <w:rsid w:val="00EA696E"/>
    <w:rsid w:val="00EA6990"/>
    <w:rsid w:val="00EA6E89"/>
    <w:rsid w:val="00EA76DB"/>
    <w:rsid w:val="00EB036D"/>
    <w:rsid w:val="00EB03AF"/>
    <w:rsid w:val="00EB0A36"/>
    <w:rsid w:val="00EB0AE2"/>
    <w:rsid w:val="00EB1A30"/>
    <w:rsid w:val="00EB3630"/>
    <w:rsid w:val="00EB4393"/>
    <w:rsid w:val="00EB4EAE"/>
    <w:rsid w:val="00EB5070"/>
    <w:rsid w:val="00EB53F5"/>
    <w:rsid w:val="00EB54F5"/>
    <w:rsid w:val="00EB56CA"/>
    <w:rsid w:val="00EB5BD9"/>
    <w:rsid w:val="00EB5C29"/>
    <w:rsid w:val="00EB5F99"/>
    <w:rsid w:val="00EB6C64"/>
    <w:rsid w:val="00EB75F4"/>
    <w:rsid w:val="00EC0512"/>
    <w:rsid w:val="00EC0765"/>
    <w:rsid w:val="00EC0DDA"/>
    <w:rsid w:val="00EC247E"/>
    <w:rsid w:val="00EC284A"/>
    <w:rsid w:val="00EC2C80"/>
    <w:rsid w:val="00EC2EC0"/>
    <w:rsid w:val="00EC3248"/>
    <w:rsid w:val="00EC3305"/>
    <w:rsid w:val="00EC38AF"/>
    <w:rsid w:val="00EC3A2D"/>
    <w:rsid w:val="00EC4532"/>
    <w:rsid w:val="00EC46B3"/>
    <w:rsid w:val="00EC4F98"/>
    <w:rsid w:val="00EC4FA6"/>
    <w:rsid w:val="00EC506E"/>
    <w:rsid w:val="00EC53B6"/>
    <w:rsid w:val="00EC601F"/>
    <w:rsid w:val="00EC6571"/>
    <w:rsid w:val="00EC6B1B"/>
    <w:rsid w:val="00EC6E73"/>
    <w:rsid w:val="00EC7311"/>
    <w:rsid w:val="00ED0CAA"/>
    <w:rsid w:val="00ED1E74"/>
    <w:rsid w:val="00ED300B"/>
    <w:rsid w:val="00ED3A8E"/>
    <w:rsid w:val="00ED4703"/>
    <w:rsid w:val="00ED53C0"/>
    <w:rsid w:val="00ED5786"/>
    <w:rsid w:val="00ED5CD0"/>
    <w:rsid w:val="00ED60EB"/>
    <w:rsid w:val="00ED635F"/>
    <w:rsid w:val="00ED63C2"/>
    <w:rsid w:val="00ED731B"/>
    <w:rsid w:val="00ED78DE"/>
    <w:rsid w:val="00ED7AA6"/>
    <w:rsid w:val="00EE032D"/>
    <w:rsid w:val="00EE0827"/>
    <w:rsid w:val="00EE098F"/>
    <w:rsid w:val="00EE09A9"/>
    <w:rsid w:val="00EE128E"/>
    <w:rsid w:val="00EE1438"/>
    <w:rsid w:val="00EE35C1"/>
    <w:rsid w:val="00EE371B"/>
    <w:rsid w:val="00EE53CA"/>
    <w:rsid w:val="00EE5984"/>
    <w:rsid w:val="00EE5B6E"/>
    <w:rsid w:val="00EE65B8"/>
    <w:rsid w:val="00EE7219"/>
    <w:rsid w:val="00EE7A2C"/>
    <w:rsid w:val="00EE7D55"/>
    <w:rsid w:val="00EF100A"/>
    <w:rsid w:val="00EF1646"/>
    <w:rsid w:val="00EF3320"/>
    <w:rsid w:val="00EF3877"/>
    <w:rsid w:val="00EF38C2"/>
    <w:rsid w:val="00EF416B"/>
    <w:rsid w:val="00EF4726"/>
    <w:rsid w:val="00EF4805"/>
    <w:rsid w:val="00EF5BDC"/>
    <w:rsid w:val="00EF6295"/>
    <w:rsid w:val="00EF6918"/>
    <w:rsid w:val="00EF7102"/>
    <w:rsid w:val="00F009D3"/>
    <w:rsid w:val="00F00CAD"/>
    <w:rsid w:val="00F0294D"/>
    <w:rsid w:val="00F02C95"/>
    <w:rsid w:val="00F02CAB"/>
    <w:rsid w:val="00F03381"/>
    <w:rsid w:val="00F03D46"/>
    <w:rsid w:val="00F03D87"/>
    <w:rsid w:val="00F0449B"/>
    <w:rsid w:val="00F04642"/>
    <w:rsid w:val="00F055A6"/>
    <w:rsid w:val="00F06245"/>
    <w:rsid w:val="00F06514"/>
    <w:rsid w:val="00F067B0"/>
    <w:rsid w:val="00F077BB"/>
    <w:rsid w:val="00F10BF3"/>
    <w:rsid w:val="00F114B2"/>
    <w:rsid w:val="00F11507"/>
    <w:rsid w:val="00F11604"/>
    <w:rsid w:val="00F11A17"/>
    <w:rsid w:val="00F11DAF"/>
    <w:rsid w:val="00F12536"/>
    <w:rsid w:val="00F128DC"/>
    <w:rsid w:val="00F12C93"/>
    <w:rsid w:val="00F12F24"/>
    <w:rsid w:val="00F130C6"/>
    <w:rsid w:val="00F134A3"/>
    <w:rsid w:val="00F135F8"/>
    <w:rsid w:val="00F15161"/>
    <w:rsid w:val="00F15B1F"/>
    <w:rsid w:val="00F16E3B"/>
    <w:rsid w:val="00F176D9"/>
    <w:rsid w:val="00F21777"/>
    <w:rsid w:val="00F21F93"/>
    <w:rsid w:val="00F22EAA"/>
    <w:rsid w:val="00F233A3"/>
    <w:rsid w:val="00F236CF"/>
    <w:rsid w:val="00F23CD4"/>
    <w:rsid w:val="00F24134"/>
    <w:rsid w:val="00F25708"/>
    <w:rsid w:val="00F25B67"/>
    <w:rsid w:val="00F25D70"/>
    <w:rsid w:val="00F27F88"/>
    <w:rsid w:val="00F3074B"/>
    <w:rsid w:val="00F30C74"/>
    <w:rsid w:val="00F30E02"/>
    <w:rsid w:val="00F30EDB"/>
    <w:rsid w:val="00F3185F"/>
    <w:rsid w:val="00F31F9A"/>
    <w:rsid w:val="00F327F8"/>
    <w:rsid w:val="00F32DC3"/>
    <w:rsid w:val="00F3315F"/>
    <w:rsid w:val="00F33977"/>
    <w:rsid w:val="00F33A32"/>
    <w:rsid w:val="00F341BE"/>
    <w:rsid w:val="00F35921"/>
    <w:rsid w:val="00F35B8A"/>
    <w:rsid w:val="00F36401"/>
    <w:rsid w:val="00F364D2"/>
    <w:rsid w:val="00F36BF8"/>
    <w:rsid w:val="00F37100"/>
    <w:rsid w:val="00F37A7A"/>
    <w:rsid w:val="00F40025"/>
    <w:rsid w:val="00F40330"/>
    <w:rsid w:val="00F403EB"/>
    <w:rsid w:val="00F40997"/>
    <w:rsid w:val="00F409CF"/>
    <w:rsid w:val="00F40BB2"/>
    <w:rsid w:val="00F410C3"/>
    <w:rsid w:val="00F418DE"/>
    <w:rsid w:val="00F41D23"/>
    <w:rsid w:val="00F43741"/>
    <w:rsid w:val="00F43888"/>
    <w:rsid w:val="00F439E9"/>
    <w:rsid w:val="00F43A7A"/>
    <w:rsid w:val="00F43D43"/>
    <w:rsid w:val="00F448F6"/>
    <w:rsid w:val="00F448F9"/>
    <w:rsid w:val="00F44A44"/>
    <w:rsid w:val="00F45091"/>
    <w:rsid w:val="00F46C98"/>
    <w:rsid w:val="00F47AAA"/>
    <w:rsid w:val="00F47CE2"/>
    <w:rsid w:val="00F47E8E"/>
    <w:rsid w:val="00F50B31"/>
    <w:rsid w:val="00F50CC4"/>
    <w:rsid w:val="00F51657"/>
    <w:rsid w:val="00F519B7"/>
    <w:rsid w:val="00F529DC"/>
    <w:rsid w:val="00F52B31"/>
    <w:rsid w:val="00F53017"/>
    <w:rsid w:val="00F53183"/>
    <w:rsid w:val="00F53630"/>
    <w:rsid w:val="00F538AE"/>
    <w:rsid w:val="00F54DFD"/>
    <w:rsid w:val="00F55888"/>
    <w:rsid w:val="00F5634E"/>
    <w:rsid w:val="00F56368"/>
    <w:rsid w:val="00F57804"/>
    <w:rsid w:val="00F57C9F"/>
    <w:rsid w:val="00F60400"/>
    <w:rsid w:val="00F6041A"/>
    <w:rsid w:val="00F60A80"/>
    <w:rsid w:val="00F60DC0"/>
    <w:rsid w:val="00F60E5D"/>
    <w:rsid w:val="00F62621"/>
    <w:rsid w:val="00F63B4D"/>
    <w:rsid w:val="00F63DF0"/>
    <w:rsid w:val="00F64009"/>
    <w:rsid w:val="00F6440C"/>
    <w:rsid w:val="00F64434"/>
    <w:rsid w:val="00F64A55"/>
    <w:rsid w:val="00F65F00"/>
    <w:rsid w:val="00F65F8D"/>
    <w:rsid w:val="00F66481"/>
    <w:rsid w:val="00F6654A"/>
    <w:rsid w:val="00F66CB1"/>
    <w:rsid w:val="00F66E2C"/>
    <w:rsid w:val="00F6724B"/>
    <w:rsid w:val="00F676DB"/>
    <w:rsid w:val="00F67870"/>
    <w:rsid w:val="00F67D79"/>
    <w:rsid w:val="00F71E3A"/>
    <w:rsid w:val="00F71F05"/>
    <w:rsid w:val="00F72179"/>
    <w:rsid w:val="00F72508"/>
    <w:rsid w:val="00F72608"/>
    <w:rsid w:val="00F7266C"/>
    <w:rsid w:val="00F729D9"/>
    <w:rsid w:val="00F737CA"/>
    <w:rsid w:val="00F738D6"/>
    <w:rsid w:val="00F74746"/>
    <w:rsid w:val="00F74A97"/>
    <w:rsid w:val="00F751C6"/>
    <w:rsid w:val="00F757B3"/>
    <w:rsid w:val="00F75D09"/>
    <w:rsid w:val="00F76049"/>
    <w:rsid w:val="00F770A9"/>
    <w:rsid w:val="00F773A0"/>
    <w:rsid w:val="00F7747D"/>
    <w:rsid w:val="00F77ABB"/>
    <w:rsid w:val="00F77DF2"/>
    <w:rsid w:val="00F802F4"/>
    <w:rsid w:val="00F81B87"/>
    <w:rsid w:val="00F81DCF"/>
    <w:rsid w:val="00F81E1D"/>
    <w:rsid w:val="00F82053"/>
    <w:rsid w:val="00F8209E"/>
    <w:rsid w:val="00F82E8A"/>
    <w:rsid w:val="00F832E4"/>
    <w:rsid w:val="00F832EE"/>
    <w:rsid w:val="00F83A3D"/>
    <w:rsid w:val="00F83DF1"/>
    <w:rsid w:val="00F842D2"/>
    <w:rsid w:val="00F8448A"/>
    <w:rsid w:val="00F8450D"/>
    <w:rsid w:val="00F846E5"/>
    <w:rsid w:val="00F84745"/>
    <w:rsid w:val="00F84AC5"/>
    <w:rsid w:val="00F85A27"/>
    <w:rsid w:val="00F85B12"/>
    <w:rsid w:val="00F86122"/>
    <w:rsid w:val="00F8623C"/>
    <w:rsid w:val="00F864B8"/>
    <w:rsid w:val="00F86788"/>
    <w:rsid w:val="00F868BE"/>
    <w:rsid w:val="00F86C42"/>
    <w:rsid w:val="00F86EBE"/>
    <w:rsid w:val="00F86F07"/>
    <w:rsid w:val="00F90325"/>
    <w:rsid w:val="00F905DA"/>
    <w:rsid w:val="00F90951"/>
    <w:rsid w:val="00F90B70"/>
    <w:rsid w:val="00F91E9C"/>
    <w:rsid w:val="00F922A0"/>
    <w:rsid w:val="00F92518"/>
    <w:rsid w:val="00F928E6"/>
    <w:rsid w:val="00F92EF3"/>
    <w:rsid w:val="00F9359A"/>
    <w:rsid w:val="00F93AF4"/>
    <w:rsid w:val="00F93D46"/>
    <w:rsid w:val="00F93E9A"/>
    <w:rsid w:val="00F94727"/>
    <w:rsid w:val="00F948E6"/>
    <w:rsid w:val="00F95759"/>
    <w:rsid w:val="00F960AD"/>
    <w:rsid w:val="00F961C1"/>
    <w:rsid w:val="00F96358"/>
    <w:rsid w:val="00F97392"/>
    <w:rsid w:val="00F97E23"/>
    <w:rsid w:val="00FA15C7"/>
    <w:rsid w:val="00FA15D7"/>
    <w:rsid w:val="00FA18E8"/>
    <w:rsid w:val="00FA1D1E"/>
    <w:rsid w:val="00FA2AF5"/>
    <w:rsid w:val="00FA32BC"/>
    <w:rsid w:val="00FA3427"/>
    <w:rsid w:val="00FA3637"/>
    <w:rsid w:val="00FA3AE0"/>
    <w:rsid w:val="00FA3FEB"/>
    <w:rsid w:val="00FA483B"/>
    <w:rsid w:val="00FA4ACD"/>
    <w:rsid w:val="00FA4B30"/>
    <w:rsid w:val="00FA4E45"/>
    <w:rsid w:val="00FA501B"/>
    <w:rsid w:val="00FA5AFB"/>
    <w:rsid w:val="00FA5CBE"/>
    <w:rsid w:val="00FA6109"/>
    <w:rsid w:val="00FB005A"/>
    <w:rsid w:val="00FB0115"/>
    <w:rsid w:val="00FB01B5"/>
    <w:rsid w:val="00FB0299"/>
    <w:rsid w:val="00FB0621"/>
    <w:rsid w:val="00FB1247"/>
    <w:rsid w:val="00FB15C2"/>
    <w:rsid w:val="00FB1DF1"/>
    <w:rsid w:val="00FB1EF2"/>
    <w:rsid w:val="00FB2C63"/>
    <w:rsid w:val="00FB2D12"/>
    <w:rsid w:val="00FB3690"/>
    <w:rsid w:val="00FB3717"/>
    <w:rsid w:val="00FB3C7A"/>
    <w:rsid w:val="00FB50DF"/>
    <w:rsid w:val="00FB528A"/>
    <w:rsid w:val="00FB5D4A"/>
    <w:rsid w:val="00FB624A"/>
    <w:rsid w:val="00FB79CF"/>
    <w:rsid w:val="00FB7B1E"/>
    <w:rsid w:val="00FB7E7C"/>
    <w:rsid w:val="00FC0672"/>
    <w:rsid w:val="00FC06E8"/>
    <w:rsid w:val="00FC09FD"/>
    <w:rsid w:val="00FC0E0D"/>
    <w:rsid w:val="00FC0EBD"/>
    <w:rsid w:val="00FC106B"/>
    <w:rsid w:val="00FC13D5"/>
    <w:rsid w:val="00FC1543"/>
    <w:rsid w:val="00FC1BBB"/>
    <w:rsid w:val="00FC3656"/>
    <w:rsid w:val="00FC3B55"/>
    <w:rsid w:val="00FC4619"/>
    <w:rsid w:val="00FC4761"/>
    <w:rsid w:val="00FC4AFD"/>
    <w:rsid w:val="00FC537A"/>
    <w:rsid w:val="00FC586A"/>
    <w:rsid w:val="00FC637B"/>
    <w:rsid w:val="00FC6825"/>
    <w:rsid w:val="00FC79C3"/>
    <w:rsid w:val="00FC7C9E"/>
    <w:rsid w:val="00FD1199"/>
    <w:rsid w:val="00FD19BA"/>
    <w:rsid w:val="00FD1D4A"/>
    <w:rsid w:val="00FD1E6F"/>
    <w:rsid w:val="00FD1FD8"/>
    <w:rsid w:val="00FD256E"/>
    <w:rsid w:val="00FD273E"/>
    <w:rsid w:val="00FD27F4"/>
    <w:rsid w:val="00FD3C4A"/>
    <w:rsid w:val="00FD3D18"/>
    <w:rsid w:val="00FD4245"/>
    <w:rsid w:val="00FD4656"/>
    <w:rsid w:val="00FD4DEE"/>
    <w:rsid w:val="00FD52A6"/>
    <w:rsid w:val="00FD5A0A"/>
    <w:rsid w:val="00FD5B1D"/>
    <w:rsid w:val="00FD602D"/>
    <w:rsid w:val="00FD64B2"/>
    <w:rsid w:val="00FD771B"/>
    <w:rsid w:val="00FD7ACE"/>
    <w:rsid w:val="00FD7D84"/>
    <w:rsid w:val="00FE00C8"/>
    <w:rsid w:val="00FE05AC"/>
    <w:rsid w:val="00FE148A"/>
    <w:rsid w:val="00FE1540"/>
    <w:rsid w:val="00FE1620"/>
    <w:rsid w:val="00FE176B"/>
    <w:rsid w:val="00FE1888"/>
    <w:rsid w:val="00FE1983"/>
    <w:rsid w:val="00FE1B86"/>
    <w:rsid w:val="00FE2519"/>
    <w:rsid w:val="00FE2C67"/>
    <w:rsid w:val="00FE2EC5"/>
    <w:rsid w:val="00FE380D"/>
    <w:rsid w:val="00FE43C3"/>
    <w:rsid w:val="00FE462B"/>
    <w:rsid w:val="00FE4D34"/>
    <w:rsid w:val="00FE5FB5"/>
    <w:rsid w:val="00FE7919"/>
    <w:rsid w:val="00FE7A59"/>
    <w:rsid w:val="00FE7B74"/>
    <w:rsid w:val="00FF05DE"/>
    <w:rsid w:val="00FF087F"/>
    <w:rsid w:val="00FF11A4"/>
    <w:rsid w:val="00FF12BC"/>
    <w:rsid w:val="00FF17AB"/>
    <w:rsid w:val="00FF1807"/>
    <w:rsid w:val="00FF19B2"/>
    <w:rsid w:val="00FF22C0"/>
    <w:rsid w:val="00FF26E5"/>
    <w:rsid w:val="00FF318C"/>
    <w:rsid w:val="00FF349F"/>
    <w:rsid w:val="00FF3635"/>
    <w:rsid w:val="00FF3B47"/>
    <w:rsid w:val="00FF3CA2"/>
    <w:rsid w:val="00FF3D47"/>
    <w:rsid w:val="00FF41F1"/>
    <w:rsid w:val="00FF421C"/>
    <w:rsid w:val="00FF439F"/>
    <w:rsid w:val="00FF61BD"/>
    <w:rsid w:val="00FF6231"/>
    <w:rsid w:val="00FF6441"/>
    <w:rsid w:val="00FF6552"/>
    <w:rsid w:val="00FF720C"/>
    <w:rsid w:val="00FF79CB"/>
    <w:rsid w:val="18FF267A"/>
    <w:rsid w:val="1C5B3EAE"/>
    <w:rsid w:val="446452D7"/>
    <w:rsid w:val="547B58AF"/>
    <w:rsid w:val="5D707F6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semiHidden="0" w:name="footnote text"/>
    <w:lsdException w:uiPriority="99" w:semiHidden="0" w:name="annotation text"/>
    <w:lsdException w:qFormat="1" w:uiPriority="99" w:semiHidden="0" w:name="header"/>
    <w:lsdException w:qFormat="1" w:uiPriority="0"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qFormat="1" w:unhideWhenUsed="0" w:uiPriority="0" w:semiHidden="0"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paragraph" w:styleId="2">
    <w:name w:val="heading 1"/>
    <w:basedOn w:val="1"/>
    <w:next w:val="1"/>
    <w:link w:val="45"/>
    <w:qFormat/>
    <w:uiPriority w:val="9"/>
    <w:pPr>
      <w:keepNext/>
      <w:keepLines/>
      <w:spacing w:before="340" w:after="330" w:line="578" w:lineRule="auto"/>
      <w:outlineLvl w:val="0"/>
    </w:pPr>
    <w:rPr>
      <w:b/>
      <w:bCs/>
      <w:kern w:val="44"/>
      <w:sz w:val="36"/>
      <w:szCs w:val="44"/>
    </w:rPr>
  </w:style>
  <w:style w:type="paragraph" w:styleId="3">
    <w:name w:val="heading 2"/>
    <w:basedOn w:val="1"/>
    <w:next w:val="1"/>
    <w:link w:val="46"/>
    <w:unhideWhenUsed/>
    <w:qFormat/>
    <w:uiPriority w:val="9"/>
    <w:pPr>
      <w:keepNext/>
      <w:keepLines/>
      <w:numPr>
        <w:ilvl w:val="1"/>
        <w:numId w:val="1"/>
      </w:numPr>
      <w:spacing w:before="260" w:after="260" w:line="415" w:lineRule="auto"/>
      <w:outlineLvl w:val="1"/>
    </w:pPr>
    <w:rPr>
      <w:rFonts w:ascii="Times New Roman" w:hAnsi="Times New Roman"/>
      <w:b/>
      <w:bCs/>
      <w:sz w:val="32"/>
      <w:szCs w:val="32"/>
    </w:rPr>
  </w:style>
  <w:style w:type="paragraph" w:styleId="4">
    <w:name w:val="heading 3"/>
    <w:basedOn w:val="1"/>
    <w:next w:val="1"/>
    <w:link w:val="47"/>
    <w:unhideWhenUsed/>
    <w:qFormat/>
    <w:uiPriority w:val="9"/>
    <w:pPr>
      <w:keepNext/>
      <w:keepLines/>
      <w:numPr>
        <w:ilvl w:val="2"/>
        <w:numId w:val="1"/>
      </w:numPr>
      <w:spacing w:before="260" w:after="260" w:line="415" w:lineRule="auto"/>
      <w:outlineLvl w:val="2"/>
    </w:pPr>
    <w:rPr>
      <w:rFonts w:ascii="Times New Roman" w:hAnsi="Times New Roman"/>
      <w:b/>
      <w:bCs/>
      <w:sz w:val="30"/>
      <w:szCs w:val="32"/>
    </w:rPr>
  </w:style>
  <w:style w:type="paragraph" w:styleId="5">
    <w:name w:val="heading 4"/>
    <w:basedOn w:val="1"/>
    <w:next w:val="1"/>
    <w:link w:val="48"/>
    <w:unhideWhenUsed/>
    <w:qFormat/>
    <w:uiPriority w:val="9"/>
    <w:pPr>
      <w:keepNext/>
      <w:keepLines/>
      <w:numPr>
        <w:ilvl w:val="3"/>
        <w:numId w:val="1"/>
      </w:numPr>
      <w:spacing w:before="280" w:after="290" w:line="376" w:lineRule="auto"/>
      <w:outlineLvl w:val="3"/>
    </w:pPr>
    <w:rPr>
      <w:rFonts w:ascii="Times New Roman" w:hAnsi="Times New Roman"/>
      <w:b/>
      <w:bCs/>
      <w:sz w:val="28"/>
      <w:szCs w:val="28"/>
    </w:rPr>
  </w:style>
  <w:style w:type="paragraph" w:styleId="6">
    <w:name w:val="heading 5"/>
    <w:basedOn w:val="1"/>
    <w:next w:val="1"/>
    <w:link w:val="49"/>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50"/>
    <w:unhideWhenUsed/>
    <w:qFormat/>
    <w:uiPriority w:val="9"/>
    <w:pPr>
      <w:keepNext/>
      <w:keepLines/>
      <w:numPr>
        <w:ilvl w:val="5"/>
        <w:numId w:val="1"/>
      </w:numPr>
      <w:spacing w:before="240" w:after="64" w:line="320" w:lineRule="auto"/>
      <w:outlineLvl w:val="5"/>
    </w:pPr>
    <w:rPr>
      <w:rFonts w:ascii="Cambria" w:hAnsi="Cambria"/>
      <w:b/>
      <w:bCs/>
      <w:sz w:val="24"/>
      <w:szCs w:val="24"/>
    </w:rPr>
  </w:style>
  <w:style w:type="paragraph" w:styleId="8">
    <w:name w:val="heading 7"/>
    <w:basedOn w:val="1"/>
    <w:next w:val="1"/>
    <w:link w:val="51"/>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52"/>
    <w:unhideWhenUsed/>
    <w:qFormat/>
    <w:uiPriority w:val="9"/>
    <w:pPr>
      <w:keepNext/>
      <w:keepLines/>
      <w:numPr>
        <w:ilvl w:val="7"/>
        <w:numId w:val="1"/>
      </w:numPr>
      <w:spacing w:before="240" w:after="64" w:line="320" w:lineRule="auto"/>
      <w:outlineLvl w:val="7"/>
    </w:pPr>
    <w:rPr>
      <w:rFonts w:ascii="Cambria" w:hAnsi="Cambria"/>
      <w:sz w:val="24"/>
      <w:szCs w:val="24"/>
    </w:rPr>
  </w:style>
  <w:style w:type="paragraph" w:styleId="10">
    <w:name w:val="heading 9"/>
    <w:basedOn w:val="1"/>
    <w:next w:val="1"/>
    <w:link w:val="53"/>
    <w:unhideWhenUsed/>
    <w:qFormat/>
    <w:uiPriority w:val="9"/>
    <w:pPr>
      <w:keepNext/>
      <w:keepLines/>
      <w:numPr>
        <w:ilvl w:val="8"/>
        <w:numId w:val="1"/>
      </w:numPr>
      <w:spacing w:before="240" w:after="64" w:line="320" w:lineRule="auto"/>
      <w:outlineLvl w:val="8"/>
    </w:pPr>
    <w:rPr>
      <w:rFonts w:ascii="Cambria" w:hAnsi="Cambria"/>
    </w:rPr>
  </w:style>
  <w:style w:type="character" w:default="1" w:styleId="37">
    <w:name w:val="Default Paragraph Font"/>
    <w:semiHidden/>
    <w:unhideWhenUsed/>
    <w:qFormat/>
    <w:uiPriority w:val="1"/>
  </w:style>
  <w:style w:type="table" w:default="1" w:styleId="34">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asciiTheme="minorHAnsi" w:hAnsiTheme="minorHAnsi" w:cstheme="minorHAnsi"/>
      <w:sz w:val="18"/>
      <w:szCs w:val="18"/>
    </w:rPr>
  </w:style>
  <w:style w:type="paragraph" w:styleId="12">
    <w:name w:val="Normal Indent"/>
    <w:basedOn w:val="1"/>
    <w:qFormat/>
    <w:uiPriority w:val="0"/>
    <w:pPr>
      <w:adjustRightInd w:val="0"/>
      <w:ind w:firstLine="420"/>
      <w:textAlignment w:val="baseline"/>
    </w:pPr>
    <w:rPr>
      <w:rFonts w:ascii="Times New Roman" w:hAnsi="Times New Roman"/>
      <w:szCs w:val="24"/>
    </w:rPr>
  </w:style>
  <w:style w:type="paragraph" w:styleId="13">
    <w:name w:val="caption"/>
    <w:basedOn w:val="1"/>
    <w:next w:val="1"/>
    <w:unhideWhenUsed/>
    <w:qFormat/>
    <w:uiPriority w:val="35"/>
    <w:pPr>
      <w:jc w:val="center"/>
    </w:pPr>
    <w:rPr>
      <w:rFonts w:ascii="Times New Roman" w:hAnsi="Times New Roman" w:eastAsiaTheme="minorEastAsia"/>
      <w:b/>
      <w:sz w:val="22"/>
      <w:szCs w:val="20"/>
    </w:rPr>
  </w:style>
  <w:style w:type="paragraph" w:styleId="14">
    <w:name w:val="Document Map"/>
    <w:basedOn w:val="1"/>
    <w:link w:val="78"/>
    <w:unhideWhenUsed/>
    <w:qFormat/>
    <w:uiPriority w:val="0"/>
    <w:rPr>
      <w:rFonts w:ascii="宋体"/>
      <w:sz w:val="18"/>
      <w:szCs w:val="18"/>
    </w:rPr>
  </w:style>
  <w:style w:type="paragraph" w:styleId="15">
    <w:name w:val="annotation text"/>
    <w:basedOn w:val="1"/>
    <w:link w:val="79"/>
    <w:unhideWhenUsed/>
    <w:uiPriority w:val="99"/>
    <w:pPr>
      <w:jc w:val="left"/>
    </w:pPr>
  </w:style>
  <w:style w:type="paragraph" w:styleId="16">
    <w:name w:val="Body Text"/>
    <w:basedOn w:val="1"/>
    <w:link w:val="67"/>
    <w:unhideWhenUsed/>
    <w:qFormat/>
    <w:uiPriority w:val="1"/>
    <w:pPr>
      <w:spacing w:after="120"/>
    </w:pPr>
  </w:style>
  <w:style w:type="paragraph" w:styleId="17">
    <w:name w:val="toc 5"/>
    <w:basedOn w:val="1"/>
    <w:next w:val="1"/>
    <w:unhideWhenUsed/>
    <w:qFormat/>
    <w:uiPriority w:val="39"/>
    <w:pPr>
      <w:ind w:left="840"/>
      <w:jc w:val="left"/>
    </w:pPr>
    <w:rPr>
      <w:rFonts w:asciiTheme="minorHAnsi" w:hAnsiTheme="minorHAnsi" w:cstheme="minorHAnsi"/>
      <w:sz w:val="18"/>
      <w:szCs w:val="18"/>
    </w:rPr>
  </w:style>
  <w:style w:type="paragraph" w:styleId="18">
    <w:name w:val="toc 3"/>
    <w:basedOn w:val="1"/>
    <w:next w:val="1"/>
    <w:unhideWhenUsed/>
    <w:qFormat/>
    <w:uiPriority w:val="39"/>
    <w:pPr>
      <w:spacing w:line="400" w:lineRule="exact"/>
      <w:ind w:left="400" w:leftChars="400"/>
      <w:jc w:val="left"/>
    </w:pPr>
    <w:rPr>
      <w:rFonts w:ascii="Times New Roman" w:hAnsi="Times New Roman" w:cstheme="minorHAnsi"/>
      <w:iCs/>
      <w:szCs w:val="20"/>
    </w:rPr>
  </w:style>
  <w:style w:type="paragraph" w:styleId="19">
    <w:name w:val="toc 8"/>
    <w:basedOn w:val="1"/>
    <w:next w:val="1"/>
    <w:unhideWhenUsed/>
    <w:qFormat/>
    <w:uiPriority w:val="39"/>
    <w:pPr>
      <w:ind w:left="1470"/>
      <w:jc w:val="left"/>
    </w:pPr>
    <w:rPr>
      <w:rFonts w:asciiTheme="minorHAnsi" w:hAnsiTheme="minorHAnsi" w:cstheme="minorHAnsi"/>
      <w:sz w:val="18"/>
      <w:szCs w:val="18"/>
    </w:rPr>
  </w:style>
  <w:style w:type="paragraph" w:styleId="20">
    <w:name w:val="Date"/>
    <w:basedOn w:val="1"/>
    <w:next w:val="1"/>
    <w:link w:val="101"/>
    <w:semiHidden/>
    <w:unhideWhenUsed/>
    <w:qFormat/>
    <w:uiPriority w:val="99"/>
    <w:pPr>
      <w:widowControl/>
      <w:spacing w:line="360" w:lineRule="auto"/>
      <w:ind w:left="100" w:leftChars="2500" w:firstLine="200" w:firstLineChars="200"/>
    </w:pPr>
    <w:rPr>
      <w:rFonts w:ascii="Times New Roman" w:hAnsi="Times New Roman"/>
      <w:sz w:val="24"/>
      <w:szCs w:val="24"/>
    </w:rPr>
  </w:style>
  <w:style w:type="paragraph" w:styleId="21">
    <w:name w:val="endnote text"/>
    <w:basedOn w:val="1"/>
    <w:link w:val="60"/>
    <w:unhideWhenUsed/>
    <w:qFormat/>
    <w:uiPriority w:val="99"/>
    <w:pPr>
      <w:snapToGrid w:val="0"/>
      <w:jc w:val="left"/>
    </w:pPr>
  </w:style>
  <w:style w:type="paragraph" w:styleId="22">
    <w:name w:val="Balloon Text"/>
    <w:basedOn w:val="1"/>
    <w:link w:val="56"/>
    <w:unhideWhenUsed/>
    <w:qFormat/>
    <w:uiPriority w:val="99"/>
    <w:rPr>
      <w:sz w:val="18"/>
      <w:szCs w:val="18"/>
    </w:rPr>
  </w:style>
  <w:style w:type="paragraph" w:styleId="23">
    <w:name w:val="footer"/>
    <w:basedOn w:val="1"/>
    <w:link w:val="59"/>
    <w:unhideWhenUsed/>
    <w:qFormat/>
    <w:uiPriority w:val="0"/>
    <w:pPr>
      <w:tabs>
        <w:tab w:val="center" w:pos="4153"/>
        <w:tab w:val="right" w:pos="8306"/>
      </w:tabs>
      <w:snapToGrid w:val="0"/>
      <w:jc w:val="left"/>
    </w:pPr>
    <w:rPr>
      <w:sz w:val="18"/>
      <w:szCs w:val="18"/>
    </w:rPr>
  </w:style>
  <w:style w:type="paragraph" w:styleId="24">
    <w:name w:val="header"/>
    <w:basedOn w:val="1"/>
    <w:link w:val="58"/>
    <w:unhideWhenUsed/>
    <w:qFormat/>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1"/>
    <w:next w:val="1"/>
    <w:unhideWhenUsed/>
    <w:uiPriority w:val="39"/>
    <w:pPr>
      <w:spacing w:before="120" w:after="120"/>
      <w:jc w:val="left"/>
    </w:pPr>
    <w:rPr>
      <w:rFonts w:ascii="Times New Roman" w:hAnsi="Times New Roman" w:eastAsia="黑体" w:cstheme="minorHAnsi"/>
      <w:b/>
      <w:bCs/>
      <w:caps/>
      <w:kern w:val="4"/>
      <w:sz w:val="28"/>
      <w:szCs w:val="20"/>
    </w:rPr>
  </w:style>
  <w:style w:type="paragraph" w:styleId="26">
    <w:name w:val="toc 4"/>
    <w:basedOn w:val="1"/>
    <w:next w:val="1"/>
    <w:unhideWhenUsed/>
    <w:qFormat/>
    <w:uiPriority w:val="39"/>
    <w:pPr>
      <w:ind w:left="630"/>
      <w:jc w:val="left"/>
    </w:pPr>
    <w:rPr>
      <w:rFonts w:asciiTheme="minorHAnsi" w:hAnsiTheme="minorHAnsi" w:cstheme="minorHAnsi"/>
      <w:sz w:val="18"/>
      <w:szCs w:val="18"/>
    </w:rPr>
  </w:style>
  <w:style w:type="paragraph" w:styleId="27">
    <w:name w:val="footnote text"/>
    <w:basedOn w:val="1"/>
    <w:link w:val="61"/>
    <w:unhideWhenUsed/>
    <w:qFormat/>
    <w:uiPriority w:val="0"/>
    <w:pPr>
      <w:snapToGrid w:val="0"/>
      <w:jc w:val="left"/>
    </w:pPr>
    <w:rPr>
      <w:sz w:val="18"/>
      <w:szCs w:val="18"/>
    </w:rPr>
  </w:style>
  <w:style w:type="paragraph" w:styleId="28">
    <w:name w:val="toc 6"/>
    <w:basedOn w:val="1"/>
    <w:next w:val="1"/>
    <w:unhideWhenUsed/>
    <w:qFormat/>
    <w:uiPriority w:val="39"/>
    <w:pPr>
      <w:ind w:left="1050"/>
      <w:jc w:val="left"/>
    </w:pPr>
    <w:rPr>
      <w:rFonts w:asciiTheme="minorHAnsi" w:hAnsiTheme="minorHAnsi" w:cstheme="minorHAnsi"/>
      <w:sz w:val="18"/>
      <w:szCs w:val="18"/>
    </w:rPr>
  </w:style>
  <w:style w:type="paragraph" w:styleId="29">
    <w:name w:val="toc 2"/>
    <w:basedOn w:val="1"/>
    <w:next w:val="1"/>
    <w:unhideWhenUsed/>
    <w:qFormat/>
    <w:uiPriority w:val="39"/>
    <w:pPr>
      <w:spacing w:line="400" w:lineRule="exact"/>
      <w:ind w:left="200" w:leftChars="200"/>
      <w:jc w:val="left"/>
    </w:pPr>
    <w:rPr>
      <w:rFonts w:ascii="Times New Roman" w:hAnsi="Times New Roman" w:cstheme="minorHAnsi"/>
      <w:smallCaps/>
      <w:sz w:val="24"/>
      <w:szCs w:val="20"/>
    </w:rPr>
  </w:style>
  <w:style w:type="paragraph" w:styleId="30">
    <w:name w:val="toc 9"/>
    <w:basedOn w:val="1"/>
    <w:next w:val="1"/>
    <w:unhideWhenUsed/>
    <w:qFormat/>
    <w:uiPriority w:val="39"/>
    <w:pPr>
      <w:ind w:left="1680"/>
      <w:jc w:val="left"/>
    </w:pPr>
    <w:rPr>
      <w:rFonts w:asciiTheme="minorHAnsi" w:hAnsiTheme="minorHAnsi" w:cstheme="minorHAnsi"/>
      <w:sz w:val="18"/>
      <w:szCs w:val="18"/>
    </w:rPr>
  </w:style>
  <w:style w:type="paragraph" w:styleId="31">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32">
    <w:name w:val="Title"/>
    <w:basedOn w:val="1"/>
    <w:next w:val="1"/>
    <w:link w:val="57"/>
    <w:qFormat/>
    <w:uiPriority w:val="10"/>
    <w:pPr>
      <w:spacing w:before="240" w:after="60"/>
      <w:jc w:val="center"/>
      <w:outlineLvl w:val="0"/>
    </w:pPr>
    <w:rPr>
      <w:rFonts w:ascii="Cambria" w:hAnsi="Cambria"/>
      <w:b/>
      <w:bCs/>
      <w:sz w:val="32"/>
      <w:szCs w:val="32"/>
    </w:rPr>
  </w:style>
  <w:style w:type="paragraph" w:styleId="33">
    <w:name w:val="annotation subject"/>
    <w:basedOn w:val="15"/>
    <w:next w:val="15"/>
    <w:link w:val="80"/>
    <w:unhideWhenUsed/>
    <w:qFormat/>
    <w:uiPriority w:val="99"/>
    <w:rPr>
      <w:b/>
      <w:bCs/>
    </w:rPr>
  </w:style>
  <w:style w:type="table" w:styleId="35">
    <w:name w:val="Table Grid"/>
    <w:basedOn w:val="34"/>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6">
    <w:name w:val="Table Simple 1"/>
    <w:basedOn w:val="34"/>
    <w:qFormat/>
    <w:uiPriority w:val="0"/>
    <w:pPr>
      <w:widowControl w:val="0"/>
      <w:jc w:val="center"/>
    </w:pPr>
    <w:rPr>
      <w:rFonts w:ascii="Times New Roman" w:hAnsi="Times New Roman"/>
      <w:sz w:val="21"/>
    </w:rPr>
    <w:tblPr>
      <w:jc w:val="center"/>
      <w:tblBorders>
        <w:top w:val="single" w:color="000000" w:sz="12" w:space="0"/>
        <w:bottom w:val="single" w:color="000000" w:sz="12" w:space="0"/>
      </w:tblBorders>
    </w:tblPr>
    <w:trPr>
      <w:jc w:val="center"/>
    </w:trPr>
    <w:tcPr>
      <w:shd w:val="clear" w:color="auto" w:fill="auto"/>
      <w:vAlign w:val="center"/>
    </w:tcPr>
    <w:tblStylePr w:type="firstRow">
      <w:tblPr/>
      <w:tcPr>
        <w:tcBorders>
          <w:bottom w:val="single" w:color="000000" w:sz="6" w:space="0"/>
        </w:tcBorders>
        <w:shd w:val="clear" w:color="auto" w:fill="auto"/>
      </w:tcPr>
    </w:tblStylePr>
    <w:tblStylePr w:type="lastRow">
      <w:tblPr/>
      <w:tcPr>
        <w:tcBorders>
          <w:top w:val="nil"/>
        </w:tcBorders>
        <w:shd w:val="clear" w:color="auto" w:fill="auto"/>
      </w:tcPr>
    </w:tblStylePr>
  </w:style>
  <w:style w:type="character" w:styleId="38">
    <w:name w:val="Strong"/>
    <w:qFormat/>
    <w:uiPriority w:val="22"/>
    <w:rPr>
      <w:b/>
      <w:bCs/>
    </w:rPr>
  </w:style>
  <w:style w:type="character" w:styleId="39">
    <w:name w:val="endnote reference"/>
    <w:unhideWhenUsed/>
    <w:qFormat/>
    <w:uiPriority w:val="99"/>
    <w:rPr>
      <w:vertAlign w:val="superscript"/>
    </w:rPr>
  </w:style>
  <w:style w:type="character" w:styleId="40">
    <w:name w:val="page number"/>
    <w:basedOn w:val="37"/>
    <w:qFormat/>
    <w:uiPriority w:val="0"/>
  </w:style>
  <w:style w:type="character" w:styleId="41">
    <w:name w:val="FollowedHyperlink"/>
    <w:unhideWhenUsed/>
    <w:qFormat/>
    <w:uiPriority w:val="99"/>
    <w:rPr>
      <w:color w:val="954F72"/>
      <w:u w:val="single"/>
    </w:rPr>
  </w:style>
  <w:style w:type="character" w:styleId="42">
    <w:name w:val="Hyperlink"/>
    <w:unhideWhenUsed/>
    <w:qFormat/>
    <w:uiPriority w:val="99"/>
    <w:rPr>
      <w:color w:val="0000FF"/>
      <w:u w:val="single"/>
    </w:rPr>
  </w:style>
  <w:style w:type="character" w:styleId="43">
    <w:name w:val="annotation reference"/>
    <w:basedOn w:val="37"/>
    <w:unhideWhenUsed/>
    <w:qFormat/>
    <w:uiPriority w:val="99"/>
    <w:rPr>
      <w:sz w:val="21"/>
      <w:szCs w:val="21"/>
    </w:rPr>
  </w:style>
  <w:style w:type="character" w:styleId="44">
    <w:name w:val="footnote reference"/>
    <w:unhideWhenUsed/>
    <w:qFormat/>
    <w:uiPriority w:val="0"/>
    <w:rPr>
      <w:vertAlign w:val="superscript"/>
    </w:rPr>
  </w:style>
  <w:style w:type="character" w:customStyle="1" w:styleId="45">
    <w:name w:val="标题 1 字符"/>
    <w:link w:val="2"/>
    <w:qFormat/>
    <w:uiPriority w:val="9"/>
    <w:rPr>
      <w:b/>
      <w:bCs/>
      <w:kern w:val="44"/>
      <w:sz w:val="36"/>
      <w:szCs w:val="44"/>
    </w:rPr>
  </w:style>
  <w:style w:type="character" w:customStyle="1" w:styleId="46">
    <w:name w:val="标题 2 字符"/>
    <w:link w:val="3"/>
    <w:qFormat/>
    <w:uiPriority w:val="9"/>
    <w:rPr>
      <w:rFonts w:ascii="Times New Roman" w:hAnsi="Times New Roman"/>
      <w:b/>
      <w:bCs/>
      <w:kern w:val="2"/>
      <w:sz w:val="32"/>
      <w:szCs w:val="32"/>
    </w:rPr>
  </w:style>
  <w:style w:type="character" w:customStyle="1" w:styleId="47">
    <w:name w:val="标题 3 字符"/>
    <w:link w:val="4"/>
    <w:qFormat/>
    <w:uiPriority w:val="9"/>
    <w:rPr>
      <w:rFonts w:ascii="Times New Roman" w:hAnsi="Times New Roman"/>
      <w:b/>
      <w:bCs/>
      <w:kern w:val="2"/>
      <w:sz w:val="30"/>
      <w:szCs w:val="32"/>
    </w:rPr>
  </w:style>
  <w:style w:type="character" w:customStyle="1" w:styleId="48">
    <w:name w:val="标题 4 字符"/>
    <w:link w:val="5"/>
    <w:qFormat/>
    <w:uiPriority w:val="9"/>
    <w:rPr>
      <w:rFonts w:ascii="Times New Roman" w:hAnsi="Times New Roman"/>
      <w:b/>
      <w:bCs/>
      <w:kern w:val="2"/>
      <w:sz w:val="28"/>
      <w:szCs w:val="28"/>
    </w:rPr>
  </w:style>
  <w:style w:type="character" w:customStyle="1" w:styleId="49">
    <w:name w:val="标题 5 字符"/>
    <w:link w:val="6"/>
    <w:qFormat/>
    <w:uiPriority w:val="9"/>
    <w:rPr>
      <w:b/>
      <w:bCs/>
      <w:kern w:val="2"/>
      <w:sz w:val="28"/>
      <w:szCs w:val="28"/>
    </w:rPr>
  </w:style>
  <w:style w:type="character" w:customStyle="1" w:styleId="50">
    <w:name w:val="标题 6 字符"/>
    <w:link w:val="7"/>
    <w:qFormat/>
    <w:uiPriority w:val="9"/>
    <w:rPr>
      <w:rFonts w:ascii="Cambria" w:hAnsi="Cambria"/>
      <w:b/>
      <w:bCs/>
      <w:kern w:val="2"/>
      <w:sz w:val="24"/>
      <w:szCs w:val="24"/>
    </w:rPr>
  </w:style>
  <w:style w:type="character" w:customStyle="1" w:styleId="51">
    <w:name w:val="标题 7 字符"/>
    <w:link w:val="8"/>
    <w:qFormat/>
    <w:uiPriority w:val="9"/>
    <w:rPr>
      <w:b/>
      <w:bCs/>
      <w:kern w:val="2"/>
      <w:sz w:val="24"/>
      <w:szCs w:val="24"/>
    </w:rPr>
  </w:style>
  <w:style w:type="character" w:customStyle="1" w:styleId="52">
    <w:name w:val="标题 8 字符"/>
    <w:link w:val="9"/>
    <w:qFormat/>
    <w:uiPriority w:val="9"/>
    <w:rPr>
      <w:rFonts w:ascii="Cambria" w:hAnsi="Cambria"/>
      <w:kern w:val="2"/>
      <w:sz w:val="24"/>
      <w:szCs w:val="24"/>
    </w:rPr>
  </w:style>
  <w:style w:type="character" w:customStyle="1" w:styleId="53">
    <w:name w:val="标题 9 字符"/>
    <w:link w:val="10"/>
    <w:uiPriority w:val="9"/>
    <w:rPr>
      <w:rFonts w:ascii="Cambria" w:hAnsi="Cambria"/>
      <w:kern w:val="2"/>
      <w:sz w:val="21"/>
      <w:szCs w:val="21"/>
    </w:rPr>
  </w:style>
  <w:style w:type="paragraph" w:customStyle="1" w:styleId="54">
    <w:name w:val="列出段落1"/>
    <w:basedOn w:val="1"/>
    <w:qFormat/>
    <w:uiPriority w:val="0"/>
    <w:pPr>
      <w:ind w:firstLine="420" w:firstLineChars="200"/>
    </w:pPr>
  </w:style>
  <w:style w:type="paragraph" w:customStyle="1" w:styleId="55">
    <w:name w:val="样式1"/>
    <w:basedOn w:val="1"/>
    <w:next w:val="1"/>
    <w:qFormat/>
    <w:uiPriority w:val="0"/>
    <w:pPr>
      <w:pBdr>
        <w:top w:val="single" w:color="auto" w:sz="4" w:space="1"/>
        <w:left w:val="single" w:color="auto" w:sz="4" w:space="4"/>
        <w:bottom w:val="single" w:color="auto" w:sz="4" w:space="1"/>
        <w:right w:val="single" w:color="auto" w:sz="4" w:space="4"/>
      </w:pBdr>
      <w:shd w:val="clear" w:color="auto" w:fill="FDE9D9"/>
      <w:spacing w:line="360" w:lineRule="auto"/>
    </w:pPr>
    <w:rPr>
      <w:rFonts w:ascii="Times New Roman" w:hAnsi="Times New Roman"/>
      <w:sz w:val="24"/>
      <w:szCs w:val="24"/>
    </w:rPr>
  </w:style>
  <w:style w:type="character" w:customStyle="1" w:styleId="56">
    <w:name w:val="批注框文本 字符"/>
    <w:link w:val="22"/>
    <w:semiHidden/>
    <w:qFormat/>
    <w:uiPriority w:val="99"/>
    <w:rPr>
      <w:sz w:val="18"/>
      <w:szCs w:val="18"/>
    </w:rPr>
  </w:style>
  <w:style w:type="character" w:customStyle="1" w:styleId="57">
    <w:name w:val="标题 字符"/>
    <w:link w:val="32"/>
    <w:qFormat/>
    <w:uiPriority w:val="10"/>
    <w:rPr>
      <w:rFonts w:ascii="Cambria" w:hAnsi="Cambria" w:eastAsia="宋体" w:cs="Times New Roman"/>
      <w:b/>
      <w:bCs/>
      <w:sz w:val="32"/>
      <w:szCs w:val="32"/>
    </w:rPr>
  </w:style>
  <w:style w:type="character" w:customStyle="1" w:styleId="58">
    <w:name w:val="页眉 字符"/>
    <w:link w:val="24"/>
    <w:qFormat/>
    <w:uiPriority w:val="99"/>
    <w:rPr>
      <w:sz w:val="18"/>
      <w:szCs w:val="18"/>
    </w:rPr>
  </w:style>
  <w:style w:type="character" w:customStyle="1" w:styleId="59">
    <w:name w:val="页脚 字符"/>
    <w:link w:val="23"/>
    <w:qFormat/>
    <w:uiPriority w:val="0"/>
    <w:rPr>
      <w:sz w:val="18"/>
      <w:szCs w:val="18"/>
    </w:rPr>
  </w:style>
  <w:style w:type="character" w:customStyle="1" w:styleId="60">
    <w:name w:val="尾注文本 字符"/>
    <w:basedOn w:val="37"/>
    <w:link w:val="21"/>
    <w:semiHidden/>
    <w:qFormat/>
    <w:uiPriority w:val="99"/>
  </w:style>
  <w:style w:type="character" w:customStyle="1" w:styleId="61">
    <w:name w:val="脚注文本 字符"/>
    <w:link w:val="27"/>
    <w:qFormat/>
    <w:uiPriority w:val="99"/>
    <w:rPr>
      <w:sz w:val="18"/>
      <w:szCs w:val="18"/>
    </w:rPr>
  </w:style>
  <w:style w:type="table" w:customStyle="1" w:styleId="62">
    <w:name w:val="清单表 6 彩色1"/>
    <w:basedOn w:val="34"/>
    <w:qFormat/>
    <w:uiPriority w:val="51"/>
    <w:rPr>
      <w:color w:val="000000"/>
    </w:rPr>
    <w:tblPr>
      <w:tblBorders>
        <w:top w:val="single" w:color="000000" w:sz="4" w:space="0"/>
        <w:bottom w:val="single" w:color="000000" w:sz="4" w:space="0"/>
      </w:tblBorders>
    </w:tblPr>
    <w:tblStylePr w:type="firstRow">
      <w:rPr>
        <w:b/>
        <w:bCs/>
      </w:rPr>
      <w:tcPr>
        <w:tcBorders>
          <w:bottom w:val="single" w:color="000000" w:sz="4" w:space="0"/>
        </w:tcBorders>
      </w:tcPr>
    </w:tblStylePr>
    <w:tblStylePr w:type="lastRow">
      <w:rPr>
        <w:b/>
        <w:bCs/>
      </w:rPr>
      <w:tcPr>
        <w:tcBorders>
          <w:top w:val="double" w:color="000000"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character" w:customStyle="1" w:styleId="63">
    <w:name w:val="占位符文本1"/>
    <w:semiHidden/>
    <w:qFormat/>
    <w:uiPriority w:val="99"/>
    <w:rPr>
      <w:color w:val="808080"/>
    </w:rPr>
  </w:style>
  <w:style w:type="paragraph" w:customStyle="1" w:styleId="64">
    <w:name w:val="TOC 标题1"/>
    <w:basedOn w:val="2"/>
    <w:next w:val="1"/>
    <w:unhideWhenUsed/>
    <w:qFormat/>
    <w:uiPriority w:val="39"/>
    <w:pPr>
      <w:widowControl/>
      <w:spacing w:before="240" w:after="0" w:line="259" w:lineRule="auto"/>
      <w:jc w:val="left"/>
      <w:outlineLvl w:val="9"/>
    </w:pPr>
    <w:rPr>
      <w:rFonts w:ascii="Cambria" w:hAnsi="Cambria"/>
      <w:b w:val="0"/>
      <w:bCs w:val="0"/>
      <w:color w:val="365F91"/>
      <w:kern w:val="0"/>
      <w:sz w:val="32"/>
      <w:szCs w:val="32"/>
    </w:rPr>
  </w:style>
  <w:style w:type="paragraph" w:customStyle="1" w:styleId="65">
    <w:name w:val="Table Text (RF)"/>
    <w:basedOn w:val="16"/>
    <w:qFormat/>
    <w:uiPriority w:val="0"/>
    <w:pPr>
      <w:widowControl/>
      <w:spacing w:before="80" w:after="80" w:line="240" w:lineRule="exact"/>
      <w:jc w:val="left"/>
    </w:pPr>
    <w:rPr>
      <w:rFonts w:ascii="Arial" w:hAnsi="Arial" w:eastAsia="PMingLiU"/>
      <w:snapToGrid w:val="0"/>
      <w:kern w:val="0"/>
      <w:sz w:val="20"/>
      <w:szCs w:val="20"/>
      <w:lang w:eastAsia="en-US"/>
    </w:rPr>
  </w:style>
  <w:style w:type="paragraph" w:customStyle="1" w:styleId="66">
    <w:name w:val="Style Table Heading White (RF) + Dark Blue"/>
    <w:basedOn w:val="1"/>
    <w:qFormat/>
    <w:uiPriority w:val="0"/>
    <w:pPr>
      <w:widowControl/>
      <w:spacing w:before="60" w:after="60"/>
      <w:jc w:val="center"/>
    </w:pPr>
    <w:rPr>
      <w:rFonts w:ascii="Arial" w:hAnsi="Arial" w:eastAsia="PMingLiU"/>
      <w:b/>
      <w:bCs/>
      <w:snapToGrid w:val="0"/>
      <w:color w:val="00506C"/>
      <w:kern w:val="0"/>
      <w:sz w:val="20"/>
      <w:szCs w:val="20"/>
      <w:lang w:eastAsia="en-US"/>
    </w:rPr>
  </w:style>
  <w:style w:type="character" w:customStyle="1" w:styleId="67">
    <w:name w:val="正文文本 字符"/>
    <w:basedOn w:val="37"/>
    <w:link w:val="16"/>
    <w:semiHidden/>
    <w:qFormat/>
    <w:uiPriority w:val="99"/>
  </w:style>
  <w:style w:type="paragraph" w:customStyle="1" w:styleId="68">
    <w:name w:val="普通正文_by Mirac"/>
    <w:basedOn w:val="1"/>
    <w:qFormat/>
    <w:uiPriority w:val="0"/>
    <w:pPr>
      <w:spacing w:line="360" w:lineRule="auto"/>
      <w:ind w:firstLine="480" w:firstLineChars="200"/>
    </w:pPr>
    <w:rPr>
      <w:rFonts w:ascii="Times New Roman" w:hAnsi="Times New Roman" w:cs="宋体"/>
      <w:sz w:val="24"/>
      <w:szCs w:val="20"/>
    </w:rPr>
  </w:style>
  <w:style w:type="paragraph" w:customStyle="1" w:styleId="69">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
    <w:name w:val="表格文字"/>
    <w:basedOn w:val="1"/>
    <w:next w:val="1"/>
    <w:qFormat/>
    <w:uiPriority w:val="99"/>
    <w:pPr>
      <w:keepLines/>
      <w:spacing w:before="60" w:after="60"/>
      <w:jc w:val="center"/>
    </w:pPr>
    <w:rPr>
      <w:rFonts w:ascii="Times New Roman" w:hAnsi="Times New Roman"/>
      <w:sz w:val="22"/>
      <w:szCs w:val="24"/>
    </w:rPr>
  </w:style>
  <w:style w:type="paragraph" w:customStyle="1" w:styleId="71">
    <w:name w:val="表名称"/>
    <w:basedOn w:val="1"/>
    <w:link w:val="72"/>
    <w:qFormat/>
    <w:uiPriority w:val="0"/>
    <w:pPr>
      <w:spacing w:beforeLines="50" w:afterLines="50"/>
      <w:jc w:val="center"/>
    </w:pPr>
    <w:rPr>
      <w:rFonts w:ascii="宋体" w:hAnsi="宋体"/>
    </w:rPr>
  </w:style>
  <w:style w:type="character" w:customStyle="1" w:styleId="72">
    <w:name w:val="表名称 Char"/>
    <w:basedOn w:val="37"/>
    <w:link w:val="71"/>
    <w:qFormat/>
    <w:uiPriority w:val="0"/>
    <w:rPr>
      <w:rFonts w:ascii="宋体" w:hAnsi="宋体"/>
      <w:kern w:val="2"/>
      <w:sz w:val="21"/>
      <w:szCs w:val="21"/>
    </w:rPr>
  </w:style>
  <w:style w:type="paragraph" w:customStyle="1" w:styleId="73">
    <w:name w:val="正文毕设"/>
    <w:basedOn w:val="1"/>
    <w:link w:val="74"/>
    <w:qFormat/>
    <w:uiPriority w:val="0"/>
    <w:pPr>
      <w:spacing w:line="440" w:lineRule="exact"/>
      <w:ind w:firstLine="480" w:firstLineChars="200"/>
    </w:pPr>
    <w:rPr>
      <w:rFonts w:ascii="Times New Roman" w:hAnsi="Times New Roman"/>
      <w:sz w:val="24"/>
      <w:szCs w:val="24"/>
    </w:rPr>
  </w:style>
  <w:style w:type="character" w:customStyle="1" w:styleId="74">
    <w:name w:val="正文毕设 Char"/>
    <w:basedOn w:val="37"/>
    <w:link w:val="73"/>
    <w:qFormat/>
    <w:uiPriority w:val="0"/>
    <w:rPr>
      <w:rFonts w:ascii="Times New Roman" w:hAnsi="Times New Roman"/>
      <w:kern w:val="2"/>
      <w:sz w:val="24"/>
      <w:szCs w:val="24"/>
    </w:rPr>
  </w:style>
  <w:style w:type="paragraph" w:customStyle="1" w:styleId="75">
    <w:name w:val="表格标题"/>
    <w:basedOn w:val="13"/>
    <w:link w:val="76"/>
    <w:qFormat/>
    <w:uiPriority w:val="0"/>
    <w:pPr>
      <w:spacing w:before="50" w:beforeLines="50" w:after="50" w:afterLines="50"/>
    </w:pPr>
  </w:style>
  <w:style w:type="character" w:customStyle="1" w:styleId="76">
    <w:name w:val="表格标题 Char"/>
    <w:basedOn w:val="37"/>
    <w:link w:val="75"/>
    <w:qFormat/>
    <w:uiPriority w:val="0"/>
    <w:rPr>
      <w:rFonts w:ascii="Times New Roman" w:hAnsi="Times New Roman" w:eastAsiaTheme="minorEastAsia"/>
      <w:b/>
      <w:kern w:val="2"/>
      <w:sz w:val="22"/>
    </w:rPr>
  </w:style>
  <w:style w:type="character" w:customStyle="1" w:styleId="77">
    <w:name w:val="font"/>
    <w:basedOn w:val="37"/>
    <w:qFormat/>
    <w:uiPriority w:val="0"/>
  </w:style>
  <w:style w:type="character" w:customStyle="1" w:styleId="78">
    <w:name w:val="文档结构图 字符"/>
    <w:basedOn w:val="37"/>
    <w:link w:val="14"/>
    <w:semiHidden/>
    <w:qFormat/>
    <w:uiPriority w:val="99"/>
    <w:rPr>
      <w:rFonts w:ascii="宋体"/>
      <w:kern w:val="2"/>
      <w:sz w:val="18"/>
      <w:szCs w:val="18"/>
    </w:rPr>
  </w:style>
  <w:style w:type="character" w:customStyle="1" w:styleId="79">
    <w:name w:val="批注文字 字符"/>
    <w:basedOn w:val="37"/>
    <w:link w:val="15"/>
    <w:semiHidden/>
    <w:qFormat/>
    <w:uiPriority w:val="99"/>
    <w:rPr>
      <w:kern w:val="2"/>
      <w:sz w:val="21"/>
      <w:szCs w:val="21"/>
    </w:rPr>
  </w:style>
  <w:style w:type="character" w:customStyle="1" w:styleId="80">
    <w:name w:val="批注主题 字符"/>
    <w:basedOn w:val="79"/>
    <w:link w:val="33"/>
    <w:semiHidden/>
    <w:qFormat/>
    <w:uiPriority w:val="99"/>
    <w:rPr>
      <w:b/>
      <w:bCs/>
      <w:kern w:val="2"/>
      <w:sz w:val="21"/>
      <w:szCs w:val="21"/>
    </w:rPr>
  </w:style>
  <w:style w:type="paragraph" w:customStyle="1" w:styleId="81">
    <w:name w:val="Default"/>
    <w:qFormat/>
    <w:uiPriority w:val="0"/>
    <w:pPr>
      <w:widowControl w:val="0"/>
      <w:autoSpaceDE w:val="0"/>
      <w:autoSpaceDN w:val="0"/>
      <w:adjustRightInd w:val="0"/>
    </w:pPr>
    <w:rPr>
      <w:rFonts w:ascii="Arial Unicode MS" w:hAnsi="Calibri" w:eastAsia="Arial Unicode MS" w:cs="Arial Unicode MS"/>
      <w:color w:val="000000"/>
      <w:sz w:val="24"/>
      <w:szCs w:val="24"/>
      <w:lang w:val="en-US" w:eastAsia="zh-CN" w:bidi="ar-SA"/>
    </w:rPr>
  </w:style>
  <w:style w:type="table" w:customStyle="1" w:styleId="82">
    <w:name w:val="Grid Table Light"/>
    <w:basedOn w:val="34"/>
    <w:qFormat/>
    <w:uiPriority w:val="40"/>
    <w:tblPr>
      <w:tblBorders>
        <w:top w:val="single" w:color="80C588" w:themeColor="background1" w:themeShade="BF" w:sz="4" w:space="0"/>
        <w:left w:val="single" w:color="80C588" w:themeColor="background1" w:themeShade="BF" w:sz="4" w:space="0"/>
        <w:bottom w:val="single" w:color="80C588" w:themeColor="background1" w:themeShade="BF" w:sz="4" w:space="0"/>
        <w:right w:val="single" w:color="80C588" w:themeColor="background1" w:themeShade="BF" w:sz="4" w:space="0"/>
        <w:insideH w:val="single" w:color="80C588" w:themeColor="background1" w:themeShade="BF" w:sz="4" w:space="0"/>
        <w:insideV w:val="single" w:color="80C588" w:themeColor="background1" w:themeShade="BF" w:sz="4" w:space="0"/>
      </w:tblBorders>
    </w:tblPr>
  </w:style>
  <w:style w:type="paragraph" w:styleId="83">
    <w:name w:val="List Paragraph"/>
    <w:basedOn w:val="1"/>
    <w:qFormat/>
    <w:uiPriority w:val="99"/>
    <w:pPr>
      <w:ind w:firstLine="420" w:firstLineChars="200"/>
    </w:pPr>
  </w:style>
  <w:style w:type="paragraph" w:customStyle="1" w:styleId="84">
    <w:name w:val="S-正文"/>
    <w:basedOn w:val="1"/>
    <w:qFormat/>
    <w:uiPriority w:val="99"/>
    <w:pPr>
      <w:widowControl/>
      <w:spacing w:line="360" w:lineRule="auto"/>
      <w:ind w:firstLine="200" w:firstLineChars="200"/>
      <w:jc w:val="left"/>
    </w:pPr>
    <w:rPr>
      <w:rFonts w:ascii="仿宋_GB2312" w:eastAsia="仿宋_GB2312" w:cs="仿宋_GB2312"/>
      <w:sz w:val="28"/>
      <w:szCs w:val="28"/>
    </w:rPr>
  </w:style>
  <w:style w:type="character" w:customStyle="1" w:styleId="85">
    <w:name w:val="页眉 Char"/>
    <w:qFormat/>
    <w:uiPriority w:val="99"/>
    <w:rPr>
      <w:sz w:val="18"/>
      <w:szCs w:val="18"/>
    </w:rPr>
  </w:style>
  <w:style w:type="character" w:customStyle="1" w:styleId="86">
    <w:name w:val="页脚 Char"/>
    <w:qFormat/>
    <w:uiPriority w:val="99"/>
    <w:rPr>
      <w:sz w:val="18"/>
      <w:szCs w:val="18"/>
    </w:rPr>
  </w:style>
  <w:style w:type="paragraph" w:customStyle="1" w:styleId="87">
    <w:name w:val="默认段落字体 Para Char Char Char Char"/>
    <w:basedOn w:val="1"/>
    <w:qFormat/>
    <w:uiPriority w:val="0"/>
    <w:rPr>
      <w:rFonts w:ascii="Times New Roman" w:hAnsi="Times New Roman"/>
      <w:szCs w:val="24"/>
    </w:rPr>
  </w:style>
  <w:style w:type="character" w:customStyle="1" w:styleId="88">
    <w:name w:val="标题 1 Char"/>
    <w:qFormat/>
    <w:uiPriority w:val="9"/>
    <w:rPr>
      <w:rFonts w:ascii="Times New Roman" w:hAnsi="Times New Roman" w:eastAsia="宋体" w:cs="Times New Roman"/>
      <w:b/>
      <w:kern w:val="44"/>
      <w:sz w:val="28"/>
      <w:szCs w:val="20"/>
    </w:rPr>
  </w:style>
  <w:style w:type="character" w:customStyle="1" w:styleId="89">
    <w:name w:val="标题 2 Char"/>
    <w:semiHidden/>
    <w:qFormat/>
    <w:uiPriority w:val="9"/>
    <w:rPr>
      <w:rFonts w:ascii="Cambria" w:hAnsi="Cambria" w:eastAsia="宋体" w:cs="Times New Roman"/>
      <w:b/>
      <w:bCs/>
      <w:sz w:val="32"/>
      <w:szCs w:val="32"/>
    </w:rPr>
  </w:style>
  <w:style w:type="character" w:customStyle="1" w:styleId="90">
    <w:name w:val="脚注文本 Char"/>
    <w:semiHidden/>
    <w:qFormat/>
    <w:uiPriority w:val="0"/>
    <w:rPr>
      <w:rFonts w:ascii="Times New Roman" w:hAnsi="Times New Roman" w:eastAsia="宋体" w:cs="Times New Roman"/>
      <w:sz w:val="18"/>
      <w:szCs w:val="18"/>
    </w:rPr>
  </w:style>
  <w:style w:type="character" w:customStyle="1" w:styleId="91">
    <w:name w:val="批注框文本 Char"/>
    <w:semiHidden/>
    <w:qFormat/>
    <w:uiPriority w:val="99"/>
    <w:rPr>
      <w:rFonts w:ascii="Times New Roman" w:hAnsi="Times New Roman" w:eastAsia="宋体" w:cs="Times New Roman"/>
      <w:sz w:val="18"/>
      <w:szCs w:val="18"/>
    </w:rPr>
  </w:style>
  <w:style w:type="table" w:customStyle="1" w:styleId="92">
    <w:name w:val="网格型1"/>
    <w:basedOn w:val="3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3">
    <w:name w:val="尾注文本 Char"/>
    <w:semiHidden/>
    <w:qFormat/>
    <w:uiPriority w:val="99"/>
    <w:rPr>
      <w:rFonts w:ascii="Times New Roman" w:hAnsi="Times New Roman" w:eastAsia="宋体" w:cs="Times New Roman"/>
      <w:szCs w:val="24"/>
    </w:rPr>
  </w:style>
  <w:style w:type="character" w:customStyle="1" w:styleId="94">
    <w:name w:val="批注文字 Char"/>
    <w:semiHidden/>
    <w:uiPriority w:val="99"/>
    <w:rPr>
      <w:rFonts w:ascii="Times New Roman" w:hAnsi="Times New Roman"/>
      <w:kern w:val="2"/>
      <w:sz w:val="21"/>
      <w:szCs w:val="24"/>
    </w:rPr>
  </w:style>
  <w:style w:type="character" w:customStyle="1" w:styleId="95">
    <w:name w:val="批注主题 Char"/>
    <w:semiHidden/>
    <w:qFormat/>
    <w:uiPriority w:val="99"/>
    <w:rPr>
      <w:rFonts w:ascii="Times New Roman" w:hAnsi="Times New Roman"/>
      <w:b/>
      <w:bCs/>
      <w:kern w:val="2"/>
      <w:sz w:val="21"/>
      <w:szCs w:val="24"/>
    </w:rPr>
  </w:style>
  <w:style w:type="paragraph" w:customStyle="1" w:styleId="96">
    <w:name w:val="TOC Heading"/>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97">
    <w:name w:val="2"/>
    <w:basedOn w:val="1"/>
    <w:next w:val="1"/>
    <w:unhideWhenUsed/>
    <w:qFormat/>
    <w:uiPriority w:val="39"/>
    <w:pPr>
      <w:widowControl/>
      <w:spacing w:after="100" w:line="276" w:lineRule="auto"/>
      <w:ind w:left="440"/>
      <w:jc w:val="left"/>
    </w:pPr>
    <w:rPr>
      <w:kern w:val="0"/>
      <w:sz w:val="22"/>
      <w:szCs w:val="22"/>
    </w:rPr>
  </w:style>
  <w:style w:type="character" w:customStyle="1" w:styleId="98">
    <w:name w:val="标题 Char"/>
    <w:qFormat/>
    <w:uiPriority w:val="10"/>
    <w:rPr>
      <w:rFonts w:ascii="Calibri Light" w:hAnsi="Calibri Light" w:cs="Times New Roman"/>
      <w:b/>
      <w:bCs/>
      <w:kern w:val="2"/>
      <w:sz w:val="32"/>
      <w:szCs w:val="32"/>
    </w:rPr>
  </w:style>
  <w:style w:type="paragraph" w:customStyle="1" w:styleId="99">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100">
    <w:name w:val="日期 字符"/>
    <w:basedOn w:val="37"/>
    <w:semiHidden/>
    <w:qFormat/>
    <w:uiPriority w:val="99"/>
    <w:rPr>
      <w:kern w:val="2"/>
      <w:sz w:val="21"/>
      <w:szCs w:val="21"/>
    </w:rPr>
  </w:style>
  <w:style w:type="character" w:customStyle="1" w:styleId="101">
    <w:name w:val="日期 字符1"/>
    <w:basedOn w:val="37"/>
    <w:link w:val="20"/>
    <w:semiHidden/>
    <w:qFormat/>
    <w:uiPriority w:val="99"/>
    <w:rPr>
      <w:rFonts w:ascii="Times New Roman" w:hAnsi="Times New Roman"/>
      <w:kern w:val="2"/>
      <w:sz w:val="24"/>
      <w:szCs w:val="24"/>
    </w:rPr>
  </w:style>
  <w:style w:type="table" w:customStyle="1" w:styleId="102">
    <w:name w:val="网格型2"/>
    <w:basedOn w:val="34"/>
    <w:qFormat/>
    <w:uiPriority w:val="39"/>
    <w:pPr>
      <w:snapToGrid w:val="0"/>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3">
    <w:name w:val="fontstyle01"/>
    <w:qFormat/>
    <w:uiPriority w:val="0"/>
    <w:rPr>
      <w:rFonts w:hint="default" w:ascii="MicrosoftYaHei" w:hAnsi="MicrosoftYaHei"/>
      <w:color w:val="FF0000"/>
      <w:sz w:val="40"/>
      <w:szCs w:val="40"/>
    </w:rPr>
  </w:style>
  <w:style w:type="paragraph" w:customStyle="1" w:styleId="104">
    <w:name w:val="指引图表标题"/>
    <w:basedOn w:val="1"/>
    <w:qFormat/>
    <w:uiPriority w:val="0"/>
    <w:pPr>
      <w:spacing w:line="360" w:lineRule="auto"/>
      <w:jc w:val="center"/>
    </w:pPr>
    <w:rPr>
      <w:rFonts w:ascii="Times New Roman" w:hAnsi="Times New Roman"/>
      <w:b/>
    </w:rPr>
  </w:style>
  <w:style w:type="character" w:customStyle="1" w:styleId="105">
    <w:name w:val="fontstyle11"/>
    <w:uiPriority w:val="0"/>
    <w:rPr>
      <w:rFonts w:hint="default" w:ascii="TimesNewRomanPSMT" w:hAnsi="TimesNewRomanPSMT"/>
      <w:color w:val="000000"/>
      <w:sz w:val="22"/>
      <w:szCs w:val="22"/>
    </w:rPr>
  </w:style>
  <w:style w:type="character" w:customStyle="1" w:styleId="106">
    <w:name w:val="标题 5 Char"/>
    <w:semiHidden/>
    <w:qFormat/>
    <w:uiPriority w:val="9"/>
    <w:rPr>
      <w:b/>
      <w:bCs/>
      <w:kern w:val="2"/>
      <w:sz w:val="28"/>
      <w:szCs w:val="28"/>
    </w:rPr>
  </w:style>
  <w:style w:type="paragraph" w:customStyle="1" w:styleId="107">
    <w:name w:val="指引正文"/>
    <w:basedOn w:val="1"/>
    <w:qFormat/>
    <w:uiPriority w:val="0"/>
    <w:pPr>
      <w:autoSpaceDE w:val="0"/>
      <w:autoSpaceDN w:val="0"/>
      <w:adjustRightInd w:val="0"/>
      <w:spacing w:line="360" w:lineRule="auto"/>
      <w:ind w:firstLine="200" w:firstLineChars="200"/>
    </w:pPr>
    <w:rPr>
      <w:rFonts w:ascii="宋体" w:hAnsi="宋体"/>
      <w:kern w:val="0"/>
      <w:sz w:val="24"/>
      <w:szCs w:val="24"/>
    </w:rPr>
  </w:style>
  <w:style w:type="character" w:customStyle="1" w:styleId="108">
    <w:name w:val="样式 样式 (西文) 宋体 小四 行距: 1.5 倍行距 首行缩进:  2 字符 + (符号) 宋体 Char"/>
    <w:link w:val="109"/>
    <w:qFormat/>
    <w:uiPriority w:val="0"/>
    <w:rPr>
      <w:rFonts w:cs="宋体"/>
      <w:kern w:val="2"/>
      <w:sz w:val="24"/>
    </w:rPr>
  </w:style>
  <w:style w:type="paragraph" w:customStyle="1" w:styleId="109">
    <w:name w:val="样式 样式 (西文) 宋体 小四 行距: 1.5 倍行距 首行缩进:  2 字符 + (符号) 宋体"/>
    <w:basedOn w:val="1"/>
    <w:link w:val="108"/>
    <w:qFormat/>
    <w:uiPriority w:val="0"/>
    <w:pPr>
      <w:spacing w:line="360" w:lineRule="auto"/>
      <w:ind w:firstLine="480" w:firstLineChars="200"/>
    </w:pPr>
    <w:rPr>
      <w:rFonts w:cs="宋体"/>
      <w:sz w:val="24"/>
      <w:szCs w:val="20"/>
    </w:rPr>
  </w:style>
  <w:style w:type="character" w:customStyle="1" w:styleId="110">
    <w:name w:val="headline-content"/>
    <w:qFormat/>
    <w:uiPriority w:val="0"/>
  </w:style>
  <w:style w:type="paragraph" w:customStyle="1" w:styleId="111">
    <w:name w:val="指引标题1"/>
    <w:basedOn w:val="2"/>
    <w:qFormat/>
    <w:uiPriority w:val="0"/>
    <w:pPr>
      <w:numPr>
        <w:ilvl w:val="0"/>
        <w:numId w:val="2"/>
      </w:numPr>
      <w:spacing w:before="0" w:after="0" w:line="360" w:lineRule="auto"/>
      <w:ind w:left="1680" w:hanging="720"/>
    </w:pPr>
    <w:rPr>
      <w:rFonts w:ascii="Times New Roman" w:hAnsi="Times New Roman"/>
      <w:sz w:val="30"/>
      <w:szCs w:val="30"/>
    </w:rPr>
  </w:style>
  <w:style w:type="paragraph" w:customStyle="1" w:styleId="112">
    <w:name w:val="指引标题2"/>
    <w:basedOn w:val="3"/>
    <w:qFormat/>
    <w:uiPriority w:val="0"/>
    <w:pPr>
      <w:numPr>
        <w:numId w:val="2"/>
      </w:numPr>
      <w:spacing w:before="120" w:after="120" w:line="240" w:lineRule="auto"/>
      <w:ind w:left="0" w:firstLine="0"/>
    </w:pPr>
    <w:rPr>
      <w:rFonts w:hAnsi="Cambria"/>
      <w:sz w:val="28"/>
    </w:rPr>
  </w:style>
  <w:style w:type="paragraph" w:customStyle="1" w:styleId="113">
    <w:name w:val="指引标题3"/>
    <w:basedOn w:val="1"/>
    <w:qFormat/>
    <w:uiPriority w:val="0"/>
    <w:pPr>
      <w:keepNext/>
      <w:keepLines/>
      <w:spacing w:before="120" w:after="120"/>
      <w:outlineLvl w:val="2"/>
    </w:pPr>
    <w:rPr>
      <w:rFonts w:ascii="宋体" w:hAnsi="宋体"/>
      <w:b/>
      <w:bCs/>
      <w:sz w:val="24"/>
      <w:szCs w:val="20"/>
    </w:rPr>
  </w:style>
  <w:style w:type="paragraph" w:customStyle="1" w:styleId="114">
    <w:name w:val="++标题4"/>
    <w:basedOn w:val="1"/>
    <w:link w:val="115"/>
    <w:qFormat/>
    <w:uiPriority w:val="1"/>
    <w:pPr>
      <w:keepNext/>
      <w:keepLines/>
      <w:spacing w:before="50" w:beforeLines="50" w:after="50" w:afterLines="50" w:line="360" w:lineRule="auto"/>
      <w:jc w:val="left"/>
      <w:outlineLvl w:val="3"/>
    </w:pPr>
    <w:rPr>
      <w:rFonts w:ascii="Times New Roman" w:hAnsi="Times New Roman" w:eastAsia="Times New Roman"/>
      <w:b/>
      <w:bCs/>
      <w:kern w:val="0"/>
      <w:sz w:val="24"/>
      <w:szCs w:val="24"/>
    </w:rPr>
  </w:style>
  <w:style w:type="character" w:customStyle="1" w:styleId="115">
    <w:name w:val="++标题4 Char"/>
    <w:link w:val="114"/>
    <w:qFormat/>
    <w:uiPriority w:val="1"/>
    <w:rPr>
      <w:rFonts w:ascii="Times New Roman" w:hAnsi="Times New Roman" w:eastAsia="Times New Roman"/>
      <w:b/>
      <w:bCs/>
      <w:sz w:val="24"/>
      <w:szCs w:val="24"/>
    </w:rPr>
  </w:style>
  <w:style w:type="character" w:customStyle="1" w:styleId="116">
    <w:name w:val="apple-converted-space"/>
    <w:qFormat/>
    <w:uiPriority w:val="0"/>
  </w:style>
  <w:style w:type="paragraph" w:customStyle="1" w:styleId="117">
    <w:name w:val="1"/>
    <w:basedOn w:val="1"/>
    <w:next w:val="1"/>
    <w:unhideWhenUsed/>
    <w:qFormat/>
    <w:uiPriority w:val="39"/>
    <w:pPr>
      <w:widowControl/>
      <w:spacing w:line="360" w:lineRule="auto"/>
      <w:ind w:left="840" w:leftChars="400" w:firstLine="200" w:firstLineChars="200"/>
    </w:pPr>
    <w:rPr>
      <w:rFonts w:ascii="Times New Roman" w:hAnsi="Times New Roman"/>
      <w:sz w:val="24"/>
      <w:szCs w:val="24"/>
    </w:rPr>
  </w:style>
  <w:style w:type="character" w:customStyle="1" w:styleId="118">
    <w:name w:val="正文文本 Char"/>
    <w:qFormat/>
    <w:uiPriority w:val="1"/>
    <w:rPr>
      <w:rFonts w:ascii="宋体" w:hAnsi="宋体" w:cs="宋体"/>
      <w:sz w:val="24"/>
      <w:szCs w:val="24"/>
      <w:lang w:eastAsia="en-US"/>
    </w:rPr>
  </w:style>
  <w:style w:type="table" w:customStyle="1" w:styleId="119">
    <w:name w:val="网格型11"/>
    <w:basedOn w:val="34"/>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
    <w:name w:val="网格型21"/>
    <w:basedOn w:val="34"/>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
    <w:name w:val="Table Normal"/>
    <w:semiHidden/>
    <w:unhideWhenUsed/>
    <w:qFormat/>
    <w:uiPriority w:val="2"/>
    <w:pPr>
      <w:widowControl w:val="0"/>
    </w:pPr>
    <w:rPr>
      <w:sz w:val="22"/>
      <w:szCs w:val="22"/>
      <w:lang w:eastAsia="en-US"/>
    </w:rPr>
    <w:tblPr>
      <w:tblCellMar>
        <w:top w:w="0" w:type="dxa"/>
        <w:left w:w="0" w:type="dxa"/>
        <w:bottom w:w="0" w:type="dxa"/>
        <w:right w:w="0" w:type="dxa"/>
      </w:tblCellMar>
    </w:tblPr>
  </w:style>
  <w:style w:type="paragraph" w:customStyle="1" w:styleId="122">
    <w:name w:val="Table Paragraph"/>
    <w:basedOn w:val="1"/>
    <w:qFormat/>
    <w:uiPriority w:val="1"/>
    <w:pPr>
      <w:autoSpaceDE w:val="0"/>
      <w:autoSpaceDN w:val="0"/>
      <w:adjustRightInd w:val="0"/>
      <w:jc w:val="left"/>
    </w:pPr>
    <w:rPr>
      <w:rFonts w:ascii="Times New Roman" w:hAnsi="Times New Roman" w:eastAsiaTheme="minorEastAsia"/>
      <w:kern w:val="0"/>
      <w:sz w:val="24"/>
      <w:szCs w:val="24"/>
    </w:rPr>
  </w:style>
  <w:style w:type="table" w:customStyle="1" w:styleId="123">
    <w:name w:val="Table Normal1"/>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24">
    <w:name w:val="Table Normal2"/>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25">
    <w:name w:val="Table Normal3"/>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26">
    <w:name w:val="Table Normal4"/>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27">
    <w:name w:val="Table Normal5"/>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28">
    <w:name w:val="Table Normal6"/>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29">
    <w:name w:val="Table Normal7"/>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30">
    <w:name w:val="Table Normal8"/>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31">
    <w:name w:val="Table Normal9"/>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32">
    <w:name w:val="Table Normal10"/>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33">
    <w:name w:val="Table Normal11"/>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34">
    <w:name w:val="Table Normal12"/>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35">
    <w:name w:val="Table Normal13"/>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36">
    <w:name w:val="Table Normal14"/>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37">
    <w:name w:val="Table Normal15"/>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38">
    <w:name w:val="Table Normal16"/>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39">
    <w:name w:val="Table Normal17"/>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40">
    <w:name w:val="Table Normal18"/>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41">
    <w:name w:val="Table Normal19"/>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42">
    <w:name w:val="Table Normal20"/>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43">
    <w:name w:val="Table Normal21"/>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44">
    <w:name w:val="Table Normal22"/>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45">
    <w:name w:val="Table Normal23"/>
    <w:semiHidden/>
    <w:unhideWhenUsed/>
    <w:qFormat/>
    <w:uiPriority w:val="2"/>
    <w:pPr>
      <w:widowControl w:val="0"/>
    </w:pPr>
    <w:rPr>
      <w:sz w:val="22"/>
      <w:szCs w:val="22"/>
      <w:lang w:eastAsia="en-US"/>
    </w:rPr>
    <w:tblPr>
      <w:tblCellMar>
        <w:top w:w="0" w:type="dxa"/>
        <w:left w:w="0" w:type="dxa"/>
        <w:bottom w:w="0" w:type="dxa"/>
        <w:right w:w="0" w:type="dxa"/>
      </w:tblCellMar>
    </w:tblPr>
  </w:style>
  <w:style w:type="paragraph" w:customStyle="1" w:styleId="14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7">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148">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49">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150">
    <w:name w:val="xl66"/>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151">
    <w:name w:val="xl67"/>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152">
    <w:name w:val="xl6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153">
    <w:name w:val="xl6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154">
    <w:name w:val="xl7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155">
    <w:name w:val="xl7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156">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textAlignment w:val="center"/>
    </w:pPr>
    <w:rPr>
      <w:rFonts w:ascii="宋体" w:hAnsi="宋体" w:cs="宋体"/>
      <w:kern w:val="0"/>
      <w:sz w:val="24"/>
      <w:szCs w:val="24"/>
    </w:rPr>
  </w:style>
  <w:style w:type="paragraph" w:customStyle="1" w:styleId="157">
    <w:name w:val="xl73"/>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character" w:customStyle="1" w:styleId="158">
    <w:name w:val="Unresolved Mention"/>
    <w:basedOn w:val="37"/>
    <w:semiHidden/>
    <w:unhideWhenUsed/>
    <w:qFormat/>
    <w:uiPriority w:val="99"/>
    <w:rPr>
      <w:color w:val="605E5C"/>
      <w:shd w:val="clear" w:color="auto" w:fill="E1DFDD"/>
    </w:rPr>
  </w:style>
  <w:style w:type="table" w:customStyle="1" w:styleId="159">
    <w:name w:val="Table Normal24"/>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60">
    <w:name w:val="网格型3"/>
    <w:basedOn w:val="3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
    <w:name w:val="简明型 11"/>
    <w:basedOn w:val="34"/>
    <w:qFormat/>
    <w:uiPriority w:val="0"/>
    <w:pPr>
      <w:widowControl w:val="0"/>
      <w:jc w:val="center"/>
    </w:pPr>
    <w:rPr>
      <w:rFonts w:ascii="Times New Roman" w:hAnsi="Times New Roman"/>
      <w:sz w:val="21"/>
    </w:rPr>
    <w:tblPr>
      <w:jc w:val="center"/>
      <w:tblBorders>
        <w:top w:val="single" w:color="000000" w:sz="12" w:space="0"/>
        <w:bottom w:val="single" w:color="000000" w:sz="12" w:space="0"/>
      </w:tblBorders>
    </w:tblPr>
    <w:trPr>
      <w:jc w:val="center"/>
    </w:trPr>
    <w:tcPr>
      <w:shd w:val="clear" w:color="auto" w:fill="auto"/>
      <w:vAlign w:val="center"/>
    </w:tcPr>
    <w:tblStylePr w:type="firstRow">
      <w:tcPr>
        <w:tcBorders>
          <w:bottom w:val="single" w:color="000000" w:sz="6" w:space="0"/>
        </w:tcBorders>
        <w:shd w:val="clear" w:color="auto" w:fill="auto"/>
      </w:tcPr>
    </w:tblStylePr>
    <w:tblStylePr w:type="lastRow">
      <w:tcPr>
        <w:tcBorders>
          <w:top w:val="nil"/>
        </w:tcBorders>
        <w:shd w:val="clear" w:color="auto" w:fill="auto"/>
      </w:tcPr>
    </w:tblStylePr>
  </w:style>
  <w:style w:type="table" w:customStyle="1" w:styleId="162">
    <w:name w:val="清单表 6 彩色11"/>
    <w:basedOn w:val="34"/>
    <w:qFormat/>
    <w:uiPriority w:val="51"/>
    <w:rPr>
      <w:color w:val="000000"/>
    </w:rPr>
    <w:tblPr>
      <w:tblBorders>
        <w:top w:val="single" w:color="000000" w:sz="4" w:space="0"/>
        <w:bottom w:val="single" w:color="000000" w:sz="4" w:space="0"/>
      </w:tblBorders>
    </w:tblPr>
    <w:tblStylePr w:type="firstRow">
      <w:rPr>
        <w:b/>
        <w:bCs/>
      </w:rPr>
      <w:tcPr>
        <w:tcBorders>
          <w:bottom w:val="single" w:color="000000" w:sz="4" w:space="0"/>
        </w:tcBorders>
      </w:tcPr>
    </w:tblStylePr>
    <w:tblStylePr w:type="lastRow">
      <w:rPr>
        <w:b/>
        <w:bCs/>
      </w:rPr>
      <w:tcPr>
        <w:tcBorders>
          <w:top w:val="double" w:color="000000"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63">
    <w:name w:val="网格型浅色1"/>
    <w:basedOn w:val="34"/>
    <w:qFormat/>
    <w:uiPriority w:val="40"/>
    <w:tblPr>
      <w:tblBorders>
        <w:top w:val="single" w:color="80C588" w:themeColor="background1" w:themeShade="BF" w:sz="4" w:space="0"/>
        <w:left w:val="single" w:color="80C588" w:themeColor="background1" w:themeShade="BF" w:sz="4" w:space="0"/>
        <w:bottom w:val="single" w:color="80C588" w:themeColor="background1" w:themeShade="BF" w:sz="4" w:space="0"/>
        <w:right w:val="single" w:color="80C588" w:themeColor="background1" w:themeShade="BF" w:sz="4" w:space="0"/>
        <w:insideH w:val="single" w:color="80C588" w:themeColor="background1" w:themeShade="BF" w:sz="4" w:space="0"/>
        <w:insideV w:val="single" w:color="80C588" w:themeColor="background1" w:themeShade="BF" w:sz="4" w:space="0"/>
      </w:tblBorders>
    </w:tblPr>
  </w:style>
  <w:style w:type="table" w:customStyle="1" w:styleId="164">
    <w:name w:val="网格型12"/>
    <w:basedOn w:val="3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
    <w:name w:val="网格型22"/>
    <w:basedOn w:val="34"/>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
    <w:name w:val="网格型111"/>
    <w:basedOn w:val="34"/>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
    <w:name w:val="网格型211"/>
    <w:basedOn w:val="34"/>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8">
    <w:name w:val="章标题"/>
    <w:basedOn w:val="1"/>
    <w:qFormat/>
    <w:uiPriority w:val="0"/>
    <w:pPr>
      <w:numPr>
        <w:ilvl w:val="0"/>
        <w:numId w:val="3"/>
      </w:numPr>
      <w:suppressAutoHyphens/>
    </w:pPr>
    <w:rPr>
      <w:rFonts w:ascii="Times New Roman" w:hAnsi="Times New Roman"/>
      <w:kern w:val="0"/>
      <w:sz w:val="20"/>
      <w:szCs w:val="20"/>
    </w:rPr>
  </w:style>
  <w:style w:type="paragraph" w:customStyle="1" w:styleId="169">
    <w:name w:val="节标题"/>
    <w:basedOn w:val="1"/>
    <w:qFormat/>
    <w:uiPriority w:val="0"/>
    <w:pPr>
      <w:numPr>
        <w:ilvl w:val="1"/>
        <w:numId w:val="3"/>
      </w:numPr>
      <w:suppressAutoHyphens/>
    </w:pPr>
    <w:rPr>
      <w:rFonts w:ascii="Times New Roman" w:hAnsi="Times New Roman"/>
      <w:kern w:val="0"/>
      <w:sz w:val="20"/>
      <w:szCs w:val="20"/>
    </w:rPr>
  </w:style>
  <w:style w:type="paragraph" w:customStyle="1" w:styleId="170">
    <w:name w:val="小节标题"/>
    <w:basedOn w:val="1"/>
    <w:qFormat/>
    <w:uiPriority w:val="0"/>
    <w:pPr>
      <w:numPr>
        <w:ilvl w:val="2"/>
        <w:numId w:val="3"/>
      </w:numPr>
      <w:suppressAutoHyphens/>
    </w:pPr>
    <w:rPr>
      <w:rFonts w:ascii="Times New Roman" w:hAnsi="Times New Roman"/>
      <w:kern w:val="0"/>
      <w:sz w:val="20"/>
      <w:szCs w:val="20"/>
    </w:rPr>
  </w:style>
  <w:style w:type="table" w:customStyle="1" w:styleId="171">
    <w:name w:val="Table Normal25"/>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72">
    <w:name w:val="Table Normal26"/>
    <w:semiHidden/>
    <w:unhideWhenUsed/>
    <w:qFormat/>
    <w:uiPriority w:val="2"/>
    <w:pPr>
      <w:widowControl w:val="0"/>
    </w:pPr>
    <w:rPr>
      <w:rFonts w:ascii="等线" w:hAnsi="等线" w:eastAsia="等线"/>
      <w:sz w:val="22"/>
      <w:szCs w:val="22"/>
      <w:lang w:eastAsia="en-US"/>
    </w:rPr>
    <w:tblPr>
      <w:tblCellMar>
        <w:top w:w="0" w:type="dxa"/>
        <w:left w:w="0" w:type="dxa"/>
        <w:bottom w:w="0" w:type="dxa"/>
        <w:right w:w="0" w:type="dxa"/>
      </w:tblCellMar>
    </w:tblPr>
  </w:style>
  <w:style w:type="table" w:customStyle="1" w:styleId="173">
    <w:name w:val="Table Normal110"/>
    <w:semiHidden/>
    <w:unhideWhenUsed/>
    <w:qFormat/>
    <w:uiPriority w:val="2"/>
    <w:pPr>
      <w:widowControl w:val="0"/>
    </w:pPr>
    <w:rPr>
      <w:rFonts w:ascii="等线" w:hAnsi="等线" w:eastAsia="等线"/>
      <w:sz w:val="22"/>
      <w:szCs w:val="22"/>
      <w:lang w:eastAsia="en-US"/>
    </w:rPr>
    <w:tblPr>
      <w:tblCellMar>
        <w:top w:w="0" w:type="dxa"/>
        <w:left w:w="0" w:type="dxa"/>
        <w:bottom w:w="0" w:type="dxa"/>
        <w:right w:w="0" w:type="dxa"/>
      </w:tblCellMar>
    </w:tblPr>
  </w:style>
  <w:style w:type="paragraph" w:customStyle="1" w:styleId="174">
    <w:name w:val="段"/>
    <w:link w:val="175"/>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175">
    <w:name w:val="段 Char"/>
    <w:basedOn w:val="37"/>
    <w:link w:val="174"/>
    <w:qFormat/>
    <w:locked/>
    <w:uiPriority w:val="99"/>
    <w:rPr>
      <w:rFonts w:ascii="宋体" w:hAnsi="Times New Roman"/>
      <w:sz w:val="21"/>
    </w:rPr>
  </w:style>
  <w:style w:type="paragraph" w:customStyle="1" w:styleId="176">
    <w:name w:val="编号正文缩进"/>
    <w:basedOn w:val="1"/>
    <w:qFormat/>
    <w:uiPriority w:val="0"/>
    <w:pPr>
      <w:numPr>
        <w:ilvl w:val="0"/>
        <w:numId w:val="4"/>
      </w:numPr>
    </w:pPr>
    <w:rPr>
      <w:rFonts w:ascii="Times New Roman" w:hAnsi="Times New Roman"/>
      <w:szCs w:val="20"/>
    </w:rPr>
  </w:style>
  <w:style w:type="paragraph" w:customStyle="1" w:styleId="177">
    <w:name w:val="font6"/>
    <w:basedOn w:val="1"/>
    <w:qFormat/>
    <w:uiPriority w:val="0"/>
    <w:pPr>
      <w:widowControl/>
      <w:spacing w:before="100" w:beforeAutospacing="1" w:after="100" w:afterAutospacing="1"/>
      <w:jc w:val="left"/>
    </w:pPr>
    <w:rPr>
      <w:rFonts w:ascii="Tahoma" w:hAnsi="Tahoma" w:cs="Tahoma"/>
      <w:kern w:val="0"/>
      <w:sz w:val="18"/>
      <w:szCs w:val="18"/>
    </w:rPr>
  </w:style>
  <w:style w:type="paragraph" w:customStyle="1" w:styleId="178">
    <w:name w:val="font7"/>
    <w:basedOn w:val="1"/>
    <w:qFormat/>
    <w:uiPriority w:val="0"/>
    <w:pPr>
      <w:widowControl/>
      <w:spacing w:before="100" w:beforeAutospacing="1" w:after="100" w:afterAutospacing="1"/>
      <w:jc w:val="left"/>
    </w:pPr>
    <w:rPr>
      <w:rFonts w:ascii="等线" w:hAnsi="等线" w:eastAsia="等线" w:cs="宋体"/>
      <w:color w:val="000000"/>
      <w:kern w:val="0"/>
      <w:sz w:val="22"/>
      <w:szCs w:val="22"/>
    </w:rPr>
  </w:style>
  <w:style w:type="paragraph" w:customStyle="1" w:styleId="179">
    <w:name w:val="font8"/>
    <w:basedOn w:val="1"/>
    <w:qFormat/>
    <w:uiPriority w:val="0"/>
    <w:pPr>
      <w:widowControl/>
      <w:spacing w:before="100" w:beforeAutospacing="1" w:after="100" w:afterAutospacing="1"/>
      <w:jc w:val="left"/>
    </w:pPr>
    <w:rPr>
      <w:rFonts w:ascii="等线" w:hAnsi="等线" w:eastAsia="等线" w:cs="宋体"/>
      <w:color w:val="9C0006"/>
      <w:kern w:val="0"/>
      <w:sz w:val="22"/>
      <w:szCs w:val="22"/>
    </w:rPr>
  </w:style>
  <w:style w:type="paragraph" w:customStyle="1" w:styleId="180">
    <w:name w:val="font9"/>
    <w:basedOn w:val="1"/>
    <w:qFormat/>
    <w:uiPriority w:val="0"/>
    <w:pPr>
      <w:widowControl/>
      <w:spacing w:before="100" w:beforeAutospacing="1" w:after="100" w:afterAutospacing="1"/>
      <w:jc w:val="left"/>
    </w:pPr>
    <w:rPr>
      <w:rFonts w:ascii="等线" w:hAnsi="等线" w:eastAsia="等线" w:cs="宋体"/>
      <w:color w:val="006100"/>
      <w:kern w:val="0"/>
      <w:sz w:val="22"/>
      <w:szCs w:val="22"/>
    </w:rPr>
  </w:style>
  <w:style w:type="paragraph" w:customStyle="1" w:styleId="181">
    <w:name w:val="font10"/>
    <w:basedOn w:val="1"/>
    <w:qFormat/>
    <w:uiPriority w:val="0"/>
    <w:pPr>
      <w:widowControl/>
      <w:spacing w:before="100" w:beforeAutospacing="1" w:after="100" w:afterAutospacing="1"/>
      <w:jc w:val="left"/>
    </w:pPr>
    <w:rPr>
      <w:rFonts w:ascii="等线" w:hAnsi="等线" w:eastAsia="等线" w:cs="宋体"/>
      <w:color w:val="9C5700"/>
      <w:kern w:val="0"/>
      <w:sz w:val="22"/>
      <w:szCs w:val="22"/>
    </w:rPr>
  </w:style>
  <w:style w:type="paragraph" w:customStyle="1" w:styleId="182">
    <w:name w:val="font11"/>
    <w:basedOn w:val="1"/>
    <w:qFormat/>
    <w:uiPriority w:val="0"/>
    <w:pPr>
      <w:widowControl/>
      <w:spacing w:before="100" w:beforeAutospacing="1" w:after="100" w:afterAutospacing="1"/>
      <w:jc w:val="left"/>
    </w:pPr>
    <w:rPr>
      <w:rFonts w:ascii="等线" w:hAnsi="等线" w:eastAsia="等线" w:cs="宋体"/>
      <w:color w:val="9C0006"/>
      <w:kern w:val="0"/>
      <w:sz w:val="22"/>
      <w:szCs w:val="22"/>
    </w:rPr>
  </w:style>
  <w:style w:type="paragraph" w:customStyle="1" w:styleId="183">
    <w:name w:val="xl7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84">
    <w:name w:val="xl75"/>
    <w:basedOn w:val="1"/>
    <w:qFormat/>
    <w:uiPriority w:val="0"/>
    <w:pPr>
      <w:widowControl/>
      <w:shd w:val="clear" w:color="000000" w:fill="FFEB9C"/>
      <w:spacing w:before="100" w:beforeAutospacing="1" w:after="100" w:afterAutospacing="1"/>
      <w:jc w:val="left"/>
    </w:pPr>
    <w:rPr>
      <w:rFonts w:ascii="宋体" w:hAnsi="宋体" w:cs="宋体"/>
      <w:color w:val="9C5700"/>
      <w:kern w:val="0"/>
      <w:sz w:val="24"/>
      <w:szCs w:val="24"/>
    </w:rPr>
  </w:style>
  <w:style w:type="paragraph" w:customStyle="1" w:styleId="185">
    <w:name w:val="xl76"/>
    <w:basedOn w:val="1"/>
    <w:qFormat/>
    <w:uiPriority w:val="0"/>
    <w:pPr>
      <w:widowControl/>
      <w:shd w:val="clear" w:color="000000" w:fill="C6EFCE"/>
      <w:spacing w:before="100" w:beforeAutospacing="1" w:after="100" w:afterAutospacing="1"/>
      <w:jc w:val="left"/>
    </w:pPr>
    <w:rPr>
      <w:rFonts w:ascii="宋体" w:hAnsi="宋体" w:cs="宋体"/>
      <w:color w:val="006100"/>
      <w:kern w:val="0"/>
      <w:sz w:val="24"/>
      <w:szCs w:val="24"/>
    </w:rPr>
  </w:style>
  <w:style w:type="paragraph" w:customStyle="1" w:styleId="186">
    <w:name w:val="xl78"/>
    <w:basedOn w:val="1"/>
    <w:qFormat/>
    <w:uiPriority w:val="0"/>
    <w:pPr>
      <w:widowControl/>
      <w:spacing w:before="100" w:beforeAutospacing="1" w:after="100" w:afterAutospacing="1"/>
      <w:jc w:val="left"/>
    </w:pPr>
    <w:rPr>
      <w:rFonts w:ascii="Times New Roman" w:hAnsi="Times New Roman"/>
      <w:kern w:val="0"/>
      <w:sz w:val="24"/>
      <w:szCs w:val="24"/>
    </w:rPr>
  </w:style>
  <w:style w:type="character" w:customStyle="1" w:styleId="187">
    <w:name w:val="未处理的提及1"/>
    <w:basedOn w:val="3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wmf"/><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E9BE20-BD8C-47A7-A4BF-692588E12DBE}">
  <ds:schemaRefs/>
</ds:datastoreItem>
</file>

<file path=docProps/app.xml><?xml version="1.0" encoding="utf-8"?>
<Properties xmlns="http://schemas.openxmlformats.org/officeDocument/2006/extended-properties" xmlns:vt="http://schemas.openxmlformats.org/officeDocument/2006/docPropsVTypes">
  <Template>Normal</Template>
  <Company>科研中心</Company>
  <Pages>90</Pages>
  <Words>11868</Words>
  <Characters>67649</Characters>
  <Lines>563</Lines>
  <Paragraphs>158</Paragraphs>
  <TotalTime>5504</TotalTime>
  <ScaleCrop>false</ScaleCrop>
  <LinksUpToDate>false</LinksUpToDate>
  <CharactersWithSpaces>79359</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2019-11-21T01:39:00Z</dcterms:created>
  <dc:creator>yangll</dc:creator>
  <cp:lastModifiedBy>张晖</cp:lastModifiedBy>
  <cp:lastPrinted>2020-07-16T01:13:00Z</cp:lastPrinted>
  <dcterms:modified xsi:type="dcterms:W3CDTF">2021-06-29T02:55:14Z</dcterms:modified>
  <cp:revision>2126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627DE085666B4CC89D90C2B0E809FF95</vt:lpwstr>
  </property>
</Properties>
</file>