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spacing w:after="240"/>
        <w:ind w:firstLine="720"/>
        <w:rPr>
          <w:rFonts w:ascii="黑体" w:hAnsi="黑体" w:eastAsia="黑体" w:cs="Times New Roman"/>
          <w:b w:val="0"/>
          <w:bCs w:val="0"/>
          <w:sz w:val="36"/>
          <w:szCs w:val="36"/>
        </w:rPr>
      </w:pPr>
      <w:r>
        <w:rPr>
          <w:rFonts w:hint="eastAsia" w:ascii="黑体" w:hAnsi="黑体" w:eastAsia="黑体"/>
          <w:b w:val="0"/>
          <w:bCs w:val="0"/>
          <w:sz w:val="36"/>
          <w:szCs w:val="36"/>
        </w:rPr>
        <w:t>2020年大气和水环境监测网络业务运转项目之</w:t>
      </w:r>
      <w:bookmarkStart w:id="4" w:name="_GoBack"/>
      <w:bookmarkEnd w:id="4"/>
      <w:r>
        <w:rPr>
          <w:rFonts w:hint="eastAsia" w:ascii="黑体" w:hAnsi="黑体" w:eastAsia="黑体"/>
          <w:b w:val="0"/>
          <w:bCs w:val="0"/>
          <w:sz w:val="36"/>
          <w:szCs w:val="36"/>
        </w:rPr>
        <w:t>大气生态环境监测网络质控体系运转</w:t>
      </w:r>
      <w:bookmarkStart w:id="0" w:name="_Toc494094907"/>
      <w:bookmarkEnd w:id="0"/>
      <w:bookmarkStart w:id="1" w:name="_Toc494112285"/>
      <w:bookmarkEnd w:id="1"/>
      <w:bookmarkStart w:id="2" w:name="_Toc494172360"/>
      <w:bookmarkEnd w:id="2"/>
      <w:r>
        <w:rPr>
          <w:rFonts w:hint="eastAsia" w:ascii="黑体" w:hAnsi="黑体" w:eastAsia="黑体" w:cs="Times New Roman"/>
          <w:b w:val="0"/>
          <w:bCs w:val="0"/>
          <w:sz w:val="36"/>
          <w:szCs w:val="36"/>
        </w:rPr>
        <w:t>项目需求</w:t>
      </w:r>
    </w:p>
    <w:p>
      <w:pPr>
        <w:numPr>
          <w:ilvl w:val="2"/>
          <w:numId w:val="0"/>
        </w:numPr>
        <w:tabs>
          <w:tab w:val="left" w:pos="567"/>
          <w:tab w:val="left" w:pos="1440"/>
          <w:tab w:val="left" w:pos="2880"/>
        </w:tabs>
        <w:snapToGrid w:val="0"/>
        <w:ind w:firstLine="480" w:firstLineChars="200"/>
        <w:jc w:val="left"/>
        <w:rPr>
          <w:bCs/>
          <w:color w:val="242424"/>
        </w:rPr>
      </w:pPr>
      <w:r>
        <w:rPr>
          <w:bCs/>
          <w:color w:val="242424"/>
        </w:rPr>
        <w:t>目前市面上有PM</w:t>
      </w:r>
      <w:r>
        <w:rPr>
          <w:bCs/>
          <w:color w:val="242424"/>
          <w:vertAlign w:val="subscript"/>
        </w:rPr>
        <w:t>2.5</w:t>
      </w:r>
      <w:r>
        <w:rPr>
          <w:bCs/>
          <w:color w:val="242424"/>
        </w:rPr>
        <w:t>和VOCs成分监测设备品牌众多，运行维护措施与质控方法不一，且国内尚无对这类成分监测设备的质控技术规定或标准，可能会导致现有质控技术有效性不足、不同品牌设备监测结果的差异性、严重时还会导致监测结果偏差较大。本项目旨在通过在典型站点开展离线采样-实验室分析，获取长期组分离线监测结果，将其与在线监测结果进行比对分析，结合现有的在线监测设备质控手段，评估现有在线设备质控手段的有效性、准确性，提高在线监测数据质量。</w:t>
      </w:r>
    </w:p>
    <w:p>
      <w:pPr>
        <w:pStyle w:val="2"/>
        <w:spacing w:before="0" w:beforeLines="0" w:after="0" w:afterLines="0"/>
        <w:rPr>
          <w:rFonts w:cs="Times New Roman"/>
        </w:rPr>
      </w:pPr>
      <w:r>
        <w:rPr>
          <w:rFonts w:cs="Times New Roman"/>
        </w:rPr>
        <w:t>项目目标</w:t>
      </w:r>
    </w:p>
    <w:p>
      <w:pPr>
        <w:ind w:firstLine="480"/>
      </w:pPr>
      <w:r>
        <w:t>在广东省内选取三个具有代表性的点位（分别为</w:t>
      </w:r>
      <w:r>
        <w:rPr>
          <w:rFonts w:hint="eastAsia"/>
        </w:rPr>
        <w:t>博罗</w:t>
      </w:r>
      <w:r>
        <w:t>西角、南沙科大、</w:t>
      </w:r>
      <w:r>
        <w:rPr>
          <w:rFonts w:hint="eastAsia"/>
        </w:rPr>
        <w:t>鹤山</w:t>
      </w:r>
      <w:r>
        <w:t>花果山），通过PM</w:t>
      </w:r>
      <w:r>
        <w:rPr>
          <w:vertAlign w:val="subscript"/>
        </w:rPr>
        <w:t>2.5</w:t>
      </w:r>
      <w:r>
        <w:t>手工样品膜采集-实验室分析和VOC样品罐采集-实验室分析的方式，首先开展不同类型PM</w:t>
      </w:r>
      <w:r>
        <w:rPr>
          <w:vertAlign w:val="subscript"/>
        </w:rPr>
        <w:t>2.5</w:t>
      </w:r>
      <w:r>
        <w:t>和VOC在线监测设备的化学组分比对。其次，在化学组分含量比对的基础上，通过对离线滤膜样品上的主要化学组分（OC，EC，</w:t>
      </w:r>
      <w:r>
        <w:rPr>
          <w:rFonts w:eastAsia="楷体_GB2312"/>
          <w:szCs w:val="24"/>
        </w:rPr>
        <w:t>NO</w:t>
      </w:r>
      <w:r>
        <w:rPr>
          <w:rFonts w:eastAsia="楷体_GB2312"/>
          <w:szCs w:val="24"/>
          <w:vertAlign w:val="subscript"/>
        </w:rPr>
        <w:t>3</w:t>
      </w:r>
      <w:r>
        <w:rPr>
          <w:rFonts w:eastAsia="楷体_GB2312"/>
          <w:szCs w:val="24"/>
          <w:vertAlign w:val="superscript"/>
        </w:rPr>
        <w:t>-</w:t>
      </w:r>
      <w:r>
        <w:rPr>
          <w:rFonts w:eastAsia="楷体_GB2312"/>
          <w:szCs w:val="24"/>
        </w:rPr>
        <w:t>、SO</w:t>
      </w:r>
      <w:r>
        <w:rPr>
          <w:rFonts w:eastAsia="楷体_GB2312"/>
          <w:szCs w:val="24"/>
          <w:vertAlign w:val="subscript"/>
        </w:rPr>
        <w:t>4</w:t>
      </w:r>
      <w:r>
        <w:rPr>
          <w:rFonts w:eastAsia="楷体_GB2312"/>
          <w:szCs w:val="24"/>
          <w:vertAlign w:val="superscript"/>
        </w:rPr>
        <w:t>2-</w:t>
      </w:r>
      <w:r>
        <w:rPr>
          <w:rFonts w:eastAsia="楷体_GB2312"/>
          <w:szCs w:val="24"/>
        </w:rPr>
        <w:t>、NH</w:t>
      </w:r>
      <w:r>
        <w:rPr>
          <w:rFonts w:eastAsia="楷体_GB2312"/>
          <w:szCs w:val="24"/>
          <w:vertAlign w:val="subscript"/>
        </w:rPr>
        <w:t>4</w:t>
      </w:r>
      <w:r>
        <w:rPr>
          <w:rFonts w:eastAsia="楷体_GB2312"/>
          <w:szCs w:val="24"/>
          <w:vertAlign w:val="superscript"/>
        </w:rPr>
        <w:t>+</w:t>
      </w:r>
      <w:r>
        <w:t>）同位素的分析，利用源解析模型，开展离线和在线颗粒物监测的源解析结果的并对。</w:t>
      </w:r>
    </w:p>
    <w:p>
      <w:pPr>
        <w:pStyle w:val="2"/>
        <w:spacing w:before="0" w:beforeLines="0" w:after="0" w:afterLines="0"/>
        <w:rPr>
          <w:rFonts w:cs="Times New Roman"/>
        </w:rPr>
      </w:pPr>
      <w:r>
        <w:rPr>
          <w:rFonts w:cs="Times New Roman"/>
        </w:rPr>
        <w:t>项目内容</w:t>
      </w:r>
    </w:p>
    <w:p>
      <w:pPr>
        <w:pStyle w:val="3"/>
      </w:pPr>
      <w:r>
        <w:t>服务内容</w:t>
      </w:r>
    </w:p>
    <w:p>
      <w:pPr>
        <w:widowControl/>
        <w:shd w:val="clear" w:color="auto" w:fill="FFFFFF"/>
        <w:ind w:firstLine="482"/>
        <w:jc w:val="left"/>
        <w:outlineLvl w:val="2"/>
        <w:rPr>
          <w:b/>
          <w:bCs/>
          <w:color w:val="333333"/>
          <w:szCs w:val="24"/>
        </w:rPr>
      </w:pPr>
      <w:r>
        <w:rPr>
          <w:b/>
          <w:bCs/>
          <w:color w:val="333333"/>
          <w:szCs w:val="24"/>
        </w:rPr>
        <w:t>2.1.1. PM</w:t>
      </w:r>
      <w:r>
        <w:rPr>
          <w:b/>
          <w:bCs/>
          <w:color w:val="333333"/>
          <w:szCs w:val="24"/>
          <w:vertAlign w:val="subscript"/>
        </w:rPr>
        <w:t>2.5</w:t>
      </w:r>
      <w:r>
        <w:rPr>
          <w:rFonts w:hint="eastAsia"/>
          <w:b/>
          <w:bCs/>
          <w:color w:val="333333"/>
          <w:szCs w:val="24"/>
        </w:rPr>
        <w:t>运行比对</w:t>
      </w:r>
    </w:p>
    <w:p>
      <w:pPr>
        <w:widowControl/>
        <w:shd w:val="clear" w:color="auto" w:fill="FFFFFF"/>
        <w:ind w:firstLine="480"/>
        <w:jc w:val="left"/>
        <w:rPr>
          <w:color w:val="333333"/>
          <w:szCs w:val="24"/>
        </w:rPr>
      </w:pPr>
      <w:r>
        <w:rPr>
          <w:color w:val="333333"/>
          <w:szCs w:val="24"/>
        </w:rPr>
        <w:t>在</w:t>
      </w:r>
      <w:r>
        <w:rPr>
          <w:rFonts w:hint="eastAsia"/>
          <w:color w:val="333333"/>
          <w:szCs w:val="24"/>
        </w:rPr>
        <w:t>博罗</w:t>
      </w:r>
      <w:r>
        <w:rPr>
          <w:color w:val="333333"/>
          <w:szCs w:val="24"/>
        </w:rPr>
        <w:t>西角、南沙科大、</w:t>
      </w:r>
      <w:r>
        <w:rPr>
          <w:rFonts w:hint="eastAsia"/>
          <w:color w:val="333333"/>
          <w:szCs w:val="24"/>
        </w:rPr>
        <w:t>鹤山</w:t>
      </w:r>
      <w:r>
        <w:rPr>
          <w:color w:val="333333"/>
          <w:szCs w:val="24"/>
        </w:rPr>
        <w:t>花果山3个站点，利用膜采样-实验室分析方式获取长期离线数据，以其为基础评价在线设备运行状况。分析物种包括水溶性阴阳离子、元素、元素碳、有机碳。每个站点每6天采集1个样品，污染时段加密采样，全年至少采集45</w:t>
      </w:r>
      <w:r>
        <w:rPr>
          <w:rFonts w:hint="eastAsia"/>
          <w:color w:val="333333"/>
          <w:szCs w:val="24"/>
        </w:rPr>
        <w:t>组</w:t>
      </w:r>
      <w:r>
        <w:rPr>
          <w:color w:val="333333"/>
          <w:szCs w:val="24"/>
        </w:rPr>
        <w:t>有效样品，质控样（含空白样和平行样）按有效样品20%计，</w:t>
      </w:r>
      <w:r>
        <w:rPr>
          <w:rFonts w:hint="eastAsia"/>
          <w:color w:val="333333"/>
          <w:szCs w:val="24"/>
        </w:rPr>
        <w:t>共</w:t>
      </w:r>
      <w:r>
        <w:rPr>
          <w:color w:val="333333"/>
          <w:szCs w:val="24"/>
        </w:rPr>
        <w:t>约54</w:t>
      </w:r>
      <w:r>
        <w:rPr>
          <w:rFonts w:hint="eastAsia"/>
          <w:color w:val="333333"/>
          <w:szCs w:val="24"/>
        </w:rPr>
        <w:t>组</w:t>
      </w:r>
      <w:r>
        <w:rPr>
          <w:color w:val="333333"/>
          <w:szCs w:val="24"/>
        </w:rPr>
        <w:t>样/站，每季度出一次数据，共3次季度对比，</w:t>
      </w:r>
      <w:r>
        <w:rPr>
          <w:rFonts w:hint="eastAsia"/>
          <w:color w:val="333333"/>
          <w:szCs w:val="24"/>
        </w:rPr>
        <w:t>第四季对比与</w:t>
      </w:r>
      <w:r>
        <w:rPr>
          <w:color w:val="333333"/>
          <w:szCs w:val="24"/>
        </w:rPr>
        <w:t>年终</w:t>
      </w:r>
      <w:r>
        <w:rPr>
          <w:rFonts w:hint="eastAsia"/>
          <w:color w:val="333333"/>
          <w:szCs w:val="24"/>
        </w:rPr>
        <w:t>报告同时形成</w:t>
      </w:r>
      <w:r>
        <w:rPr>
          <w:color w:val="333333"/>
          <w:szCs w:val="24"/>
        </w:rPr>
        <w:t>一份年度比对报告；在所采集的样品中，利用同位素示踪技术，结合源解析模型，开展3个站点的PM2.5源解析研究，与在线源解析监测结果比对。同位素分析包括硝酸根离子的15N和18O，铵离子的15N，硫酸根离子的34S，每个站点至少分析40个样品，利用贝叶斯模型，解析主要组分的来源；此外，每个站点至少分析20个污染天气下的PM2.5样品中有机碳和元素碳的14C，解析含碳气溶胶的来源；基于同位素示踪的基础，利用非负矩阵分解（NMF）算法，解析全年PM2.5的污染来源，与在线PM2.5源解析结果比对，形成一份年度比对报告。</w:t>
      </w:r>
    </w:p>
    <w:p>
      <w:pPr>
        <w:widowControl/>
        <w:shd w:val="clear" w:color="auto" w:fill="FFFFFF"/>
        <w:ind w:firstLine="482"/>
        <w:jc w:val="left"/>
        <w:outlineLvl w:val="2"/>
        <w:rPr>
          <w:b/>
          <w:bCs/>
          <w:color w:val="333333"/>
          <w:szCs w:val="24"/>
        </w:rPr>
      </w:pPr>
      <w:r>
        <w:rPr>
          <w:b/>
          <w:bCs/>
          <w:color w:val="333333"/>
          <w:szCs w:val="24"/>
        </w:rPr>
        <w:t>2.1.2. VOC</w:t>
      </w:r>
      <w:r>
        <w:rPr>
          <w:rFonts w:hint="eastAsia"/>
          <w:b/>
          <w:bCs/>
          <w:color w:val="333333"/>
          <w:szCs w:val="24"/>
        </w:rPr>
        <w:t>运行比对</w:t>
      </w:r>
    </w:p>
    <w:p>
      <w:pPr>
        <w:widowControl/>
        <w:shd w:val="clear" w:color="auto" w:fill="FFFFFF"/>
        <w:ind w:firstLine="480"/>
        <w:jc w:val="left"/>
      </w:pPr>
      <w:r>
        <w:rPr>
          <w:color w:val="333333"/>
          <w:szCs w:val="24"/>
        </w:rPr>
        <w:t>利用罐采样-实验室分析方式获取长期离线数据，以其为基础评价在线设备运行状况，分析物种</w:t>
      </w:r>
      <w:r>
        <w:rPr>
          <w:rFonts w:hint="eastAsia"/>
          <w:color w:val="333333"/>
          <w:szCs w:val="24"/>
        </w:rPr>
        <w:t>至少包含57种PAMS非甲烷烃</w:t>
      </w:r>
      <w:r>
        <w:rPr>
          <w:color w:val="333333"/>
          <w:szCs w:val="24"/>
        </w:rPr>
        <w:t>。每个站点每6天采集1天，一天采集2个样品，污染时段加密采样，全年至少采集90个有效样品，质控样（含空白样和平行样）按有效样品20%计，</w:t>
      </w:r>
      <w:r>
        <w:rPr>
          <w:rFonts w:hint="eastAsia"/>
          <w:color w:val="333333"/>
          <w:szCs w:val="24"/>
        </w:rPr>
        <w:t>共</w:t>
      </w:r>
      <w:r>
        <w:rPr>
          <w:color w:val="333333"/>
          <w:szCs w:val="24"/>
        </w:rPr>
        <w:t>约108个样/站，</w:t>
      </w:r>
      <w:r>
        <w:rPr>
          <w:rFonts w:hint="eastAsia"/>
          <w:color w:val="333333"/>
          <w:szCs w:val="24"/>
        </w:rPr>
        <w:t>每</w:t>
      </w:r>
      <w:r>
        <w:rPr>
          <w:color w:val="333333"/>
          <w:szCs w:val="24"/>
        </w:rPr>
        <w:t>季度形成一次比对报告，共3次季度比对报告，年终形成一份年度比对报告。</w:t>
      </w:r>
    </w:p>
    <w:p>
      <w:pPr>
        <w:pStyle w:val="3"/>
      </w:pPr>
      <w:r>
        <w:t>服务时间</w:t>
      </w:r>
    </w:p>
    <w:p>
      <w:pPr>
        <w:numPr>
          <w:ilvl w:val="2"/>
          <w:numId w:val="0"/>
        </w:numPr>
        <w:tabs>
          <w:tab w:val="left" w:pos="567"/>
          <w:tab w:val="left" w:pos="1440"/>
          <w:tab w:val="left" w:pos="2880"/>
        </w:tabs>
        <w:snapToGrid w:val="0"/>
        <w:ind w:firstLine="480" w:firstLineChars="200"/>
        <w:jc w:val="left"/>
      </w:pPr>
      <w:r>
        <w:t>本项目在合同签订之后开始执行，服务期为1年（2020年6月-2021年5月）</w:t>
      </w:r>
    </w:p>
    <w:p>
      <w:pPr>
        <w:pStyle w:val="3"/>
      </w:pPr>
      <w:r>
        <w:t>服务地点</w:t>
      </w:r>
    </w:p>
    <w:p>
      <w:pPr>
        <w:numPr>
          <w:ilvl w:val="2"/>
          <w:numId w:val="0"/>
        </w:numPr>
        <w:tabs>
          <w:tab w:val="left" w:pos="1440"/>
          <w:tab w:val="left" w:pos="2880"/>
        </w:tabs>
        <w:snapToGrid w:val="0"/>
        <w:ind w:firstLine="480" w:firstLineChars="200"/>
        <w:jc w:val="left"/>
      </w:pPr>
      <w:r>
        <w:rPr>
          <w:rFonts w:hint="eastAsia"/>
        </w:rPr>
        <w:t>博罗</w:t>
      </w:r>
      <w:r>
        <w:t>西角、南沙科大、</w:t>
      </w:r>
      <w:r>
        <w:rPr>
          <w:rFonts w:hint="eastAsia"/>
        </w:rPr>
        <w:t>鹤山</w:t>
      </w:r>
      <w:r>
        <w:t>花果山。</w:t>
      </w:r>
    </w:p>
    <w:p>
      <w:pPr>
        <w:pStyle w:val="2"/>
        <w:spacing w:before="0" w:beforeLines="0" w:after="0" w:afterLines="0"/>
        <w:rPr>
          <w:rFonts w:cs="Times New Roman"/>
        </w:rPr>
      </w:pPr>
      <w:r>
        <w:rPr>
          <w:rFonts w:hint="eastAsia" w:cs="Times New Roman"/>
        </w:rPr>
        <w:t>P</w:t>
      </w:r>
      <w:r>
        <w:rPr>
          <w:rFonts w:cs="Times New Roman"/>
        </w:rPr>
        <w:t>M</w:t>
      </w:r>
      <w:r>
        <w:rPr>
          <w:rFonts w:cs="Times New Roman"/>
          <w:vertAlign w:val="subscript"/>
        </w:rPr>
        <w:t>2.5</w:t>
      </w:r>
      <w:r>
        <w:rPr>
          <w:rFonts w:hint="eastAsia" w:cs="Times New Roman"/>
        </w:rPr>
        <w:t>运行比对</w:t>
      </w:r>
      <w:r>
        <w:rPr>
          <w:rFonts w:cs="Times New Roman"/>
        </w:rPr>
        <w:t>技术服务要求</w:t>
      </w:r>
    </w:p>
    <w:p>
      <w:pPr>
        <w:keepNext/>
        <w:keepLines/>
        <w:numPr>
          <w:ilvl w:val="1"/>
          <w:numId w:val="1"/>
        </w:numPr>
        <w:outlineLvl w:val="1"/>
        <w:rPr>
          <w:b/>
          <w:bCs/>
          <w:kern w:val="2"/>
          <w:sz w:val="28"/>
          <w:szCs w:val="28"/>
          <w:lang w:bidi="th-TH"/>
        </w:rPr>
      </w:pPr>
      <w:r>
        <w:rPr>
          <w:rFonts w:hint="eastAsia"/>
          <w:b/>
          <w:bCs/>
          <w:kern w:val="2"/>
          <w:sz w:val="28"/>
          <w:szCs w:val="28"/>
          <w:lang w:bidi="th-TH"/>
        </w:rPr>
        <w:t>样品采集</w:t>
      </w:r>
    </w:p>
    <w:p>
      <w:pPr>
        <w:widowControl/>
        <w:shd w:val="clear" w:color="auto" w:fill="FFFFFF"/>
        <w:ind w:firstLine="482"/>
        <w:jc w:val="left"/>
        <w:outlineLvl w:val="2"/>
        <w:rPr>
          <w:color w:val="333333"/>
          <w:szCs w:val="24"/>
        </w:rPr>
      </w:pPr>
      <w:r>
        <w:rPr>
          <w:b/>
          <w:bCs/>
          <w:color w:val="333333"/>
          <w:szCs w:val="24"/>
        </w:rPr>
        <w:t>3.2.1</w:t>
      </w:r>
      <w:r>
        <w:rPr>
          <w:rFonts w:hint="eastAsia"/>
          <w:b/>
          <w:bCs/>
          <w:color w:val="333333"/>
          <w:szCs w:val="24"/>
        </w:rPr>
        <w:t>采样仪器选择</w:t>
      </w:r>
    </w:p>
    <w:p>
      <w:pPr>
        <w:ind w:firstLine="480" w:firstLineChars="200"/>
      </w:pPr>
      <w:r>
        <w:t>采样仪器的选择及性能要求可参见《环境空气颗粒物（PM</w:t>
      </w:r>
      <w:r>
        <w:rPr>
          <w:vertAlign w:val="subscript"/>
        </w:rPr>
        <w:t>2.5</w:t>
      </w:r>
      <w:r>
        <w:t>）手工监测方法（重量法）技术规范》（HJ 656）的要求及规定。</w:t>
      </w:r>
    </w:p>
    <w:p>
      <w:pPr>
        <w:ind w:firstLine="480" w:firstLineChars="200"/>
      </w:pPr>
      <w:r>
        <w:t>使用的PM</w:t>
      </w:r>
      <w:r>
        <w:rPr>
          <w:vertAlign w:val="subscript"/>
        </w:rPr>
        <w:t>2.5</w:t>
      </w:r>
      <w:r>
        <w:t>采样器均为符合HJ 656技术规定。为了同步分析PM</w:t>
      </w:r>
      <w:r>
        <w:rPr>
          <w:vertAlign w:val="subscript"/>
        </w:rPr>
        <w:t>2.5</w:t>
      </w:r>
      <w:r>
        <w:t>的化学组分和主要组分的同位素，需要在每一个采样点位安放了2台采样器，分别使用两种滤膜（有机滤膜和无机滤膜）同时采集样品。各个点位使用同型号的采样仪器。</w:t>
      </w:r>
    </w:p>
    <w:p>
      <w:pPr>
        <w:widowControl/>
        <w:shd w:val="clear" w:color="auto" w:fill="FFFFFF"/>
        <w:ind w:firstLine="482"/>
        <w:jc w:val="left"/>
        <w:outlineLvl w:val="2"/>
        <w:rPr>
          <w:color w:val="333333"/>
          <w:szCs w:val="24"/>
        </w:rPr>
      </w:pPr>
      <w:r>
        <w:rPr>
          <w:b/>
          <w:bCs/>
          <w:color w:val="333333"/>
          <w:szCs w:val="24"/>
        </w:rPr>
        <w:t>3.2.2</w:t>
      </w:r>
      <w:r>
        <w:rPr>
          <w:rFonts w:hint="eastAsia"/>
          <w:b/>
          <w:bCs/>
          <w:color w:val="333333"/>
          <w:szCs w:val="24"/>
        </w:rPr>
        <w:t>滤膜选择</w:t>
      </w:r>
    </w:p>
    <w:p>
      <w:pPr>
        <w:ind w:firstLine="480" w:firstLineChars="200"/>
      </w:pPr>
      <w:r>
        <w:t>滤膜的选择应根据滤膜本身特性和分析化学组分的需要来确定。PM</w:t>
      </w:r>
      <w:r>
        <w:rPr>
          <w:vertAlign w:val="subscript"/>
        </w:rPr>
        <w:t>2.5</w:t>
      </w:r>
      <w:r>
        <w:t>采样的滤膜分为两种材质，石英纤维滤膜和有机滤膜。对于元素分析可采用聚四氟乙烯（Teflon）、聚丙烯、醋酸纤维酯等有机滤膜，对于水溶性离子分析可采用聚四氟乙烯、石英滤膜，对于碳组分和有机物（如多环芳烃）分析可采用石英滤膜。碳同位素分析采用石英滤膜，N</w:t>
      </w:r>
      <w:r>
        <w:rPr>
          <w:rFonts w:hint="eastAsia"/>
        </w:rPr>
        <w:t>、</w:t>
      </w:r>
      <w:r>
        <w:t>S和O同位素分析可以采用石英滤膜或者Teflon滤膜。</w:t>
      </w:r>
    </w:p>
    <w:p>
      <w:pPr>
        <w:ind w:firstLine="480" w:firstLineChars="200"/>
      </w:pPr>
      <w:r>
        <w:t>使用Teflon有机滤膜（Whatman公司）采样，供元素分析使用；使用石英滤膜（8×10英寸，Whatman公司）采样，供碳组分、水溶性离子组分分析，以及同位素分析使用。</w:t>
      </w:r>
    </w:p>
    <w:p>
      <w:pPr>
        <w:widowControl/>
        <w:shd w:val="clear" w:color="auto" w:fill="FFFFFF"/>
        <w:ind w:firstLine="482"/>
        <w:jc w:val="left"/>
        <w:outlineLvl w:val="2"/>
        <w:rPr>
          <w:color w:val="333333"/>
          <w:szCs w:val="24"/>
        </w:rPr>
      </w:pPr>
      <w:r>
        <w:rPr>
          <w:b/>
          <w:bCs/>
          <w:color w:val="333333"/>
          <w:szCs w:val="24"/>
        </w:rPr>
        <w:t xml:space="preserve">3.3.3 </w:t>
      </w:r>
      <w:r>
        <w:rPr>
          <w:rFonts w:hint="eastAsia"/>
          <w:b/>
          <w:bCs/>
          <w:color w:val="333333"/>
          <w:szCs w:val="24"/>
        </w:rPr>
        <w:t>采样设置</w:t>
      </w:r>
    </w:p>
    <w:p>
      <w:pPr>
        <w:ind w:firstLine="480" w:firstLineChars="200"/>
      </w:pPr>
      <w:r>
        <w:t>（1）每次采样时间一般不少于20小时，根据颗粒物浓度等因素，可适当缩短或延长采样时间。若采样过程中停电等原因，导致累计采样时间未达到要求，则该样品作废。</w:t>
      </w:r>
    </w:p>
    <w:p>
      <w:pPr>
        <w:ind w:firstLine="480" w:firstLineChars="200"/>
      </w:pPr>
      <w:r>
        <w:t>（2）采样频次为每6天采集1个样品，在污染高发季节，可依据颗粒物浓度、排放源的季节性变化特征及气象因素确定，典型污染过程加密采样频次。全年不少于54个样品（包括质控样品）。样品的采集数量应符合受体模型的要求。</w:t>
      </w:r>
    </w:p>
    <w:p>
      <w:pPr>
        <w:widowControl/>
        <w:shd w:val="clear" w:color="auto" w:fill="FFFFFF"/>
        <w:ind w:firstLine="482"/>
        <w:jc w:val="left"/>
        <w:outlineLvl w:val="2"/>
        <w:rPr>
          <w:color w:val="333333"/>
          <w:szCs w:val="24"/>
        </w:rPr>
      </w:pPr>
      <w:r>
        <w:rPr>
          <w:b/>
          <w:bCs/>
          <w:color w:val="333333"/>
          <w:szCs w:val="24"/>
        </w:rPr>
        <w:t>3.3.4</w:t>
      </w:r>
      <w:r>
        <w:rPr>
          <w:rFonts w:hint="eastAsia"/>
          <w:b/>
          <w:bCs/>
          <w:color w:val="333333"/>
          <w:szCs w:val="24"/>
        </w:rPr>
        <w:t>质控管理</w:t>
      </w:r>
    </w:p>
    <w:p>
      <w:pPr>
        <w:ind w:firstLine="480" w:firstLineChars="200"/>
      </w:pPr>
      <w:r>
        <w:t>（1）采样前应对采样仪器的切割器进行清洗，并对采样器的环境温度、大气压力、气密性、采样流量等进行检查和校准，检查频率和方法详见《环境空气颗粒物（PM2.5）手工监测方法（重量法）技术规范》（HJ 656）。</w:t>
      </w:r>
    </w:p>
    <w:p>
      <w:pPr>
        <w:ind w:firstLine="480" w:firstLineChars="200"/>
      </w:pPr>
      <w:r>
        <w:t>（2）样品采集时，需考虑采样器的安装合理性、多台采样器平行采样的间距等要求安放采样器，具体详见《环境空气颗粒物（PM2.5）手工监测方法（重量法）技术规范》（HJ 656）。</w:t>
      </w:r>
    </w:p>
    <w:p>
      <w:pPr>
        <w:ind w:firstLine="480" w:firstLineChars="200"/>
      </w:pPr>
      <w:r>
        <w:t>（3）采样时，采样人员佩戴乙烯基等实验室专用手套，将已编号、称量的滤膜用镊子放入洁净的滤膜夹内，滤膜毛面应朝向进气方向。将滤膜牢固压紧。</w:t>
      </w:r>
    </w:p>
    <w:p>
      <w:pPr>
        <w:ind w:firstLine="480" w:firstLineChars="200"/>
      </w:pPr>
      <w:r>
        <w:t>（4）将滤膜夹正确放入采样器中，设置采样时间等参数，启动采样器采样。</w:t>
      </w:r>
    </w:p>
    <w:p>
      <w:pPr>
        <w:ind w:firstLine="480" w:firstLineChars="200"/>
      </w:pPr>
      <w:r>
        <w:t>（5）采样结束后，用镊子取出滤膜，放入滤膜保存盒中，记录采样体积等信息。</w:t>
      </w:r>
    </w:p>
    <w:p>
      <w:pPr>
        <w:ind w:firstLine="480" w:firstLineChars="200"/>
      </w:pPr>
      <w:r>
        <w:t>（6）不能使用记号笔直接在滤膜上标记编号，可标记在滤膜保存盒或使用自带编号的滤膜，保持滤膜唯一性和可追溯性。</w:t>
      </w:r>
    </w:p>
    <w:p>
      <w:pPr>
        <w:ind w:firstLine="480" w:firstLineChars="200"/>
      </w:pPr>
      <w:r>
        <w:t>（7）若在具体样品的采集时应满足采样及样品分析检出限要求，同时应避免滤膜负荷过载，若于污染较重时应将单个样品的采样时间缩短。</w:t>
      </w:r>
    </w:p>
    <w:p>
      <w:pPr>
        <w:ind w:firstLine="480" w:firstLineChars="200"/>
      </w:pPr>
      <w:r>
        <w:t>（8）所有点位的采样仪器应尽量选用同一厂家同一型号的仪器设备，以确保结果的可比性。</w:t>
      </w:r>
    </w:p>
    <w:p>
      <w:pPr>
        <w:ind w:firstLine="480" w:firstLineChars="200"/>
      </w:pPr>
      <w:r>
        <w:t>（9）所选用的滤膜建议在采样之前分别随即抽取3张，进行空白实验，确保所选用的滤膜的待测物空白浓度均在检出限以下。</w:t>
      </w:r>
    </w:p>
    <w:p>
      <w:pPr>
        <w:ind w:firstLine="480" w:firstLineChars="200"/>
      </w:pPr>
      <w:r>
        <w:t>（10）未使用过的样品应存放在避光阴凉干燥的环境中，注意密封保存，防止吸附污染。</w:t>
      </w:r>
    </w:p>
    <w:p>
      <w:pPr>
        <w:ind w:firstLine="480" w:firstLineChars="200"/>
      </w:pPr>
      <w:r>
        <w:t>（11）用于保存OC/EC的特制滤膜盒的盒内铝箔需在500℃烘烤4小时，且为避免镊子直接接触石英膜，滤膜准备过程中使用的镊子需用以上铝箔包好镊子尖头与膜接触的部分。</w:t>
      </w:r>
    </w:p>
    <w:p>
      <w:pPr>
        <w:ind w:firstLine="480" w:firstLineChars="200"/>
      </w:pPr>
      <w:r>
        <w:t>（12）采样时，采样器的排气应不对颗粒物采样产生影响。</w:t>
      </w:r>
    </w:p>
    <w:p>
      <w:pPr>
        <w:ind w:firstLine="480" w:firstLineChars="200"/>
      </w:pPr>
      <w:r>
        <w:t>（13）采样过程中，应配置空白滤膜对采样过程进行质量控制，详见《环境空气颗粒物（PM2.5）手工监测方法（重量法）技术规范》（HJ 656）；同时应根据源解析模型需要，定期进行平行采样，以评估采样的不确定性。</w:t>
      </w:r>
    </w:p>
    <w:p>
      <w:pPr>
        <w:keepNext/>
        <w:keepLines/>
        <w:numPr>
          <w:ilvl w:val="1"/>
          <w:numId w:val="1"/>
        </w:numPr>
        <w:outlineLvl w:val="1"/>
        <w:rPr>
          <w:sz w:val="28"/>
          <w:szCs w:val="28"/>
          <w:lang w:bidi="th-TH"/>
        </w:rPr>
      </w:pPr>
      <w:r>
        <w:rPr>
          <w:rFonts w:hint="eastAsia"/>
          <w:b/>
          <w:bCs/>
          <w:kern w:val="2"/>
          <w:sz w:val="28"/>
          <w:szCs w:val="28"/>
          <w:lang w:bidi="th-TH"/>
        </w:rPr>
        <w:t>样品管理</w:t>
      </w:r>
    </w:p>
    <w:p>
      <w:pPr>
        <w:widowControl/>
        <w:shd w:val="clear" w:color="auto" w:fill="FFFFFF"/>
        <w:ind w:firstLine="482"/>
        <w:jc w:val="left"/>
        <w:outlineLvl w:val="2"/>
        <w:rPr>
          <w:color w:val="333333"/>
          <w:szCs w:val="24"/>
        </w:rPr>
      </w:pPr>
      <w:r>
        <w:rPr>
          <w:b/>
          <w:bCs/>
          <w:color w:val="333333"/>
          <w:szCs w:val="24"/>
        </w:rPr>
        <w:t xml:space="preserve">3.2.1 </w:t>
      </w:r>
      <w:r>
        <w:rPr>
          <w:rFonts w:hint="eastAsia"/>
          <w:b/>
          <w:bCs/>
          <w:color w:val="333333"/>
          <w:szCs w:val="24"/>
        </w:rPr>
        <w:t>样品标识</w:t>
      </w:r>
    </w:p>
    <w:p>
      <w:pPr>
        <w:ind w:firstLine="480" w:firstLineChars="200"/>
      </w:pPr>
      <w:r>
        <w:t>每个样品应当进行标识，标示应至少包括点位名称、采样日期、滤膜材质等信息。</w:t>
      </w:r>
    </w:p>
    <w:p>
      <w:pPr>
        <w:widowControl/>
        <w:shd w:val="clear" w:color="auto" w:fill="FFFFFF"/>
        <w:ind w:firstLine="482"/>
        <w:jc w:val="left"/>
        <w:outlineLvl w:val="2"/>
        <w:rPr>
          <w:color w:val="333333"/>
          <w:szCs w:val="24"/>
        </w:rPr>
      </w:pPr>
      <w:r>
        <w:rPr>
          <w:b/>
          <w:bCs/>
          <w:color w:val="333333"/>
          <w:szCs w:val="24"/>
        </w:rPr>
        <w:t xml:space="preserve">3.2.2 </w:t>
      </w:r>
      <w:r>
        <w:rPr>
          <w:rFonts w:hint="eastAsia"/>
          <w:b/>
          <w:bCs/>
          <w:color w:val="333333"/>
          <w:szCs w:val="24"/>
        </w:rPr>
        <w:t>样品保存</w:t>
      </w:r>
    </w:p>
    <w:p>
      <w:pPr>
        <w:ind w:firstLine="480" w:firstLineChars="200"/>
      </w:pPr>
      <w:r>
        <w:t>样品采集完成后，应用镊子取出滤膜并放于专用滤膜盒内，且放置在4℃条件下密封冷藏保存。其中分析OC/EC的滤膜需置于特制滤膜盒（盒内需放一层铝箔覆盖）中密封冷藏保存。</w:t>
      </w:r>
    </w:p>
    <w:p>
      <w:pPr>
        <w:widowControl/>
        <w:shd w:val="clear" w:color="auto" w:fill="FFFFFF"/>
        <w:ind w:firstLine="482"/>
        <w:jc w:val="left"/>
        <w:outlineLvl w:val="2"/>
        <w:rPr>
          <w:color w:val="333333"/>
          <w:szCs w:val="24"/>
        </w:rPr>
      </w:pPr>
      <w:r>
        <w:rPr>
          <w:b/>
          <w:bCs/>
          <w:color w:val="333333"/>
          <w:szCs w:val="24"/>
        </w:rPr>
        <w:t xml:space="preserve">3.2.3 </w:t>
      </w:r>
      <w:r>
        <w:rPr>
          <w:rFonts w:hint="eastAsia"/>
          <w:b/>
          <w:bCs/>
          <w:color w:val="333333"/>
          <w:szCs w:val="24"/>
        </w:rPr>
        <w:t>样品运输</w:t>
      </w:r>
    </w:p>
    <w:p>
      <w:pPr>
        <w:ind w:firstLine="480" w:firstLineChars="200"/>
      </w:pPr>
      <w:r>
        <w:t>若样品需要运输，应将样品和冰盒（事先应冷冻24小时以上）一起放入冷藏箱中，确保运输过程中样品性质稳定。</w:t>
      </w:r>
    </w:p>
    <w:p>
      <w:pPr>
        <w:widowControl/>
        <w:shd w:val="clear" w:color="auto" w:fill="FFFFFF"/>
        <w:ind w:firstLine="482"/>
        <w:jc w:val="left"/>
        <w:outlineLvl w:val="2"/>
        <w:rPr>
          <w:color w:val="333333"/>
          <w:szCs w:val="24"/>
        </w:rPr>
      </w:pPr>
      <w:r>
        <w:rPr>
          <w:b/>
          <w:bCs/>
          <w:color w:val="333333"/>
          <w:szCs w:val="24"/>
        </w:rPr>
        <w:t xml:space="preserve">3.2.4 </w:t>
      </w:r>
      <w:r>
        <w:rPr>
          <w:rFonts w:hint="eastAsia"/>
          <w:b/>
          <w:bCs/>
          <w:color w:val="333333"/>
          <w:szCs w:val="24"/>
        </w:rPr>
        <w:t>样品交接</w:t>
      </w:r>
    </w:p>
    <w:p>
      <w:pPr>
        <w:ind w:firstLine="480" w:firstLineChars="200"/>
      </w:pPr>
      <w:r>
        <w:t>样品的接收、核查和发放各环节应受控。样品交接记录、样品标签及其包装应完整。若发现样品有异常或处于损坏状态，应如实记录。</w:t>
      </w:r>
    </w:p>
    <w:p>
      <w:pPr>
        <w:keepNext/>
        <w:keepLines/>
        <w:numPr>
          <w:ilvl w:val="1"/>
          <w:numId w:val="1"/>
        </w:numPr>
        <w:outlineLvl w:val="1"/>
        <w:rPr>
          <w:sz w:val="28"/>
          <w:szCs w:val="28"/>
          <w:lang w:bidi="th-TH"/>
        </w:rPr>
      </w:pPr>
      <w:r>
        <w:rPr>
          <w:rFonts w:hint="eastAsia"/>
          <w:b/>
          <w:bCs/>
          <w:kern w:val="2"/>
          <w:sz w:val="28"/>
          <w:szCs w:val="28"/>
          <w:lang w:bidi="th-TH"/>
        </w:rPr>
        <w:t>滤膜处理和称重</w:t>
      </w:r>
    </w:p>
    <w:p>
      <w:pPr>
        <w:widowControl/>
        <w:shd w:val="clear" w:color="auto" w:fill="FFFFFF"/>
        <w:ind w:firstLine="482"/>
        <w:jc w:val="left"/>
        <w:outlineLvl w:val="2"/>
        <w:rPr>
          <w:color w:val="333333"/>
          <w:szCs w:val="24"/>
        </w:rPr>
      </w:pPr>
      <w:r>
        <w:rPr>
          <w:b/>
          <w:bCs/>
          <w:color w:val="333333"/>
          <w:szCs w:val="24"/>
        </w:rPr>
        <w:t xml:space="preserve">3.3.1 </w:t>
      </w:r>
      <w:r>
        <w:rPr>
          <w:rFonts w:hint="eastAsia"/>
          <w:b/>
          <w:bCs/>
          <w:color w:val="333333"/>
          <w:szCs w:val="24"/>
        </w:rPr>
        <w:t>采样前的滤膜处理</w:t>
      </w:r>
    </w:p>
    <w:p>
      <w:pPr>
        <w:ind w:firstLine="480" w:firstLineChars="200"/>
      </w:pPr>
      <w:r>
        <w:t>滤膜处理前应检查边缘平整性、厚薄均匀性、有无毛刺，有无污染，有无针孔或任何破损。</w:t>
      </w:r>
    </w:p>
    <w:p>
      <w:pPr>
        <w:ind w:firstLine="480" w:firstLineChars="200"/>
      </w:pPr>
      <w:r>
        <w:t>用于分析OC/EC及其它有机物的石英滤膜需放入事先折好的铝箔袋中，放入马弗炉500℃烘烤4小时（去除有机组分），待石英膜自然冷却后取出，密封保存。有机滤膜在采样前也要放入烘箱60℃烘烤4小时（去除挥发份）。</w:t>
      </w:r>
    </w:p>
    <w:p>
      <w:pPr>
        <w:ind w:firstLine="480" w:firstLineChars="200"/>
      </w:pPr>
      <w:r>
        <w:t>将处理后的滤膜放入特制的聚乙烯塑料滤膜保存盒中，并贴好相应的采样标签备用。</w:t>
      </w:r>
    </w:p>
    <w:p>
      <w:pPr>
        <w:widowControl/>
        <w:shd w:val="clear" w:color="auto" w:fill="FFFFFF"/>
        <w:ind w:firstLine="482"/>
        <w:jc w:val="left"/>
        <w:outlineLvl w:val="2"/>
        <w:rPr>
          <w:sz w:val="21"/>
        </w:rPr>
      </w:pPr>
      <w:r>
        <w:rPr>
          <w:b/>
          <w:bCs/>
          <w:color w:val="333333"/>
          <w:szCs w:val="24"/>
        </w:rPr>
        <w:t xml:space="preserve">3.3.2 </w:t>
      </w:r>
      <w:r>
        <w:rPr>
          <w:rFonts w:hint="eastAsia"/>
          <w:b/>
          <w:bCs/>
          <w:color w:val="333333"/>
          <w:szCs w:val="24"/>
        </w:rPr>
        <w:t>滤膜称重</w:t>
      </w:r>
    </w:p>
    <w:p>
      <w:pPr>
        <w:ind w:firstLine="480" w:firstLineChars="200"/>
      </w:pPr>
      <w:r>
        <w:t>将各种滤膜放置在恒温恒湿箱中，在恒温（20±2.5℃）、恒湿(50±5%)的条件下放置24小时。称量采样滤膜时所需的天平灵敏度为0.01mg（十万分之一）一般可以达到样品称量的要求，采样流量较低时应选择灵敏度更高的天平（百万分之一）进行称量。同时要求天平室温度应维持在15～35℃之间，相对湿度小于50％。</w:t>
      </w:r>
    </w:p>
    <w:p>
      <w:pPr>
        <w:ind w:firstLine="480" w:firstLineChars="200"/>
      </w:pPr>
      <w:r>
        <w:t>称量滤膜时，应将空白滤膜参差不齐的边缘清理干净，并做到快速称重滤膜，称量一次后，再次放入恒温恒湿箱（室）内，隔1小时进行第二次称重，每次称重滤膜至衡重，结果精确至 0.01 mg并保证二次称量之差不大于0.04 mg即为衡重。</w:t>
      </w:r>
    </w:p>
    <w:p>
      <w:pPr>
        <w:ind w:firstLine="480" w:firstLineChars="200"/>
      </w:pPr>
      <w:r>
        <w:t>滤膜采集样品后如不能立即称重，应在-20℃条件下冷冻保存，当需称重时，重复空白滤膜的称重程序，计算两次的称重差，以备做浓度的计算。</w:t>
      </w:r>
    </w:p>
    <w:p>
      <w:pPr>
        <w:ind w:firstLine="480" w:firstLineChars="200"/>
      </w:pPr>
      <w:r>
        <w:t>具体要求详见《环境空气颗粒物（PM2.5）手工监测方法（重量法）技术规范》（HJ 656）。</w:t>
      </w:r>
    </w:p>
    <w:p>
      <w:pPr>
        <w:keepNext/>
        <w:keepLines/>
        <w:numPr>
          <w:ilvl w:val="1"/>
          <w:numId w:val="1"/>
        </w:numPr>
        <w:outlineLvl w:val="1"/>
        <w:rPr>
          <w:sz w:val="28"/>
          <w:szCs w:val="28"/>
          <w:lang w:bidi="th-TH"/>
        </w:rPr>
      </w:pPr>
      <w:r>
        <w:rPr>
          <w:rFonts w:hint="eastAsia"/>
          <w:b/>
          <w:bCs/>
          <w:kern w:val="2"/>
          <w:sz w:val="28"/>
          <w:szCs w:val="28"/>
          <w:lang w:bidi="th-TH"/>
        </w:rPr>
        <w:t>化学成分谱分析</w:t>
      </w:r>
    </w:p>
    <w:p>
      <w:pPr>
        <w:widowControl/>
        <w:shd w:val="clear" w:color="auto" w:fill="FFFFFF"/>
        <w:ind w:firstLine="482"/>
        <w:jc w:val="left"/>
        <w:outlineLvl w:val="2"/>
        <w:rPr>
          <w:color w:val="333333"/>
          <w:szCs w:val="24"/>
        </w:rPr>
      </w:pPr>
      <w:r>
        <w:rPr>
          <w:b/>
          <w:bCs/>
          <w:color w:val="333333"/>
          <w:szCs w:val="24"/>
        </w:rPr>
        <w:t xml:space="preserve">3.4.1 </w:t>
      </w:r>
      <w:r>
        <w:rPr>
          <w:rFonts w:hint="eastAsia"/>
          <w:b/>
          <w:bCs/>
          <w:color w:val="333333"/>
          <w:szCs w:val="24"/>
        </w:rPr>
        <w:t>化学成分</w:t>
      </w:r>
    </w:p>
    <w:p>
      <w:pPr>
        <w:ind w:firstLine="480" w:firstLineChars="200"/>
      </w:pPr>
      <w:r>
        <w:t>PM</w:t>
      </w:r>
      <w:r>
        <w:rPr>
          <w:vertAlign w:val="subscript"/>
        </w:rPr>
        <w:t>2.5</w:t>
      </w:r>
      <w:r>
        <w:t>样品化学成分谱分析至少包括钾（K）、钙（Ca）、钛（Ti）、钒（V）、铬（Cr）、锰（Mn）、铁（Fe）、钴（Co）、镍（Ni）、铜（Cu）、锌（Zn）、镓（Ga）、银（Ag）、铝（Al）、硅（Si）、镉（Cd）、钡（Ba）、铅（Pb）等2</w:t>
      </w:r>
      <w:r>
        <w:rPr>
          <w:rFonts w:hint="eastAsia"/>
        </w:rPr>
        <w:t>1</w:t>
      </w:r>
      <w:r>
        <w:t>种以上的无机元素（用有机膜分析）；OC、EC等2种碳组分（用石英膜分析）；F</w:t>
      </w:r>
      <w:r>
        <w:rPr>
          <w:vertAlign w:val="superscript"/>
        </w:rPr>
        <w:t>-</w:t>
      </w:r>
      <w:r>
        <w:t>、Cl</w:t>
      </w:r>
      <w:r>
        <w:rPr>
          <w:vertAlign w:val="superscript"/>
        </w:rPr>
        <w:t>-</w:t>
      </w:r>
      <w:r>
        <w:t>、NO</w:t>
      </w:r>
      <w:r>
        <w:rPr>
          <w:vertAlign w:val="subscript"/>
        </w:rPr>
        <w:t>3</w:t>
      </w:r>
      <w:r>
        <w:rPr>
          <w:vertAlign w:val="superscript"/>
        </w:rPr>
        <w:t>-</w:t>
      </w:r>
      <w:r>
        <w:t>、SO</w:t>
      </w:r>
      <w:r>
        <w:rPr>
          <w:vertAlign w:val="subscript"/>
        </w:rPr>
        <w:t>4</w:t>
      </w:r>
      <w:r>
        <w:rPr>
          <w:vertAlign w:val="superscript"/>
        </w:rPr>
        <w:t>2-</w:t>
      </w:r>
      <w:r>
        <w:t>、Na</w:t>
      </w:r>
      <w:r>
        <w:rPr>
          <w:vertAlign w:val="superscript"/>
        </w:rPr>
        <w:t>+</w:t>
      </w:r>
      <w:r>
        <w:t>、Mg</w:t>
      </w:r>
      <w:r>
        <w:rPr>
          <w:vertAlign w:val="superscript"/>
        </w:rPr>
        <w:t>2+</w:t>
      </w:r>
      <w:r>
        <w:t>、K</w:t>
      </w:r>
      <w:r>
        <w:rPr>
          <w:vertAlign w:val="superscript"/>
        </w:rPr>
        <w:t>+</w:t>
      </w:r>
      <w:r>
        <w:t>、Ca</w:t>
      </w:r>
      <w:r>
        <w:rPr>
          <w:vertAlign w:val="superscript"/>
        </w:rPr>
        <w:t>2+</w:t>
      </w:r>
      <w:r>
        <w:t>、NH</w:t>
      </w:r>
      <w:r>
        <w:rPr>
          <w:vertAlign w:val="subscript"/>
        </w:rPr>
        <w:t>4</w:t>
      </w:r>
      <w:r>
        <w:rPr>
          <w:vertAlign w:val="superscript"/>
        </w:rPr>
        <w:t>+</w:t>
      </w:r>
      <w:r>
        <w:t>等9种水溶性离子组分（用石英膜或者聚四氟乙烯膜分析）。</w:t>
      </w:r>
    </w:p>
    <w:p>
      <w:pPr>
        <w:ind w:firstLine="480" w:firstLineChars="200"/>
      </w:pPr>
      <w:r>
        <w:t>PM</w:t>
      </w:r>
      <w:r>
        <w:rPr>
          <w:vertAlign w:val="subscript"/>
        </w:rPr>
        <w:t>2.5</w:t>
      </w:r>
      <w:r>
        <w:t>主要化学组分的同位素分析包括硝酸根的</w:t>
      </w:r>
      <w:r>
        <w:rPr>
          <w:vertAlign w:val="superscript"/>
        </w:rPr>
        <w:t>15</w:t>
      </w:r>
      <w:r>
        <w:t>N和</w:t>
      </w:r>
      <w:r>
        <w:rPr>
          <w:vertAlign w:val="superscript"/>
        </w:rPr>
        <w:t>18</w:t>
      </w:r>
      <w:r>
        <w:t>O，硫酸根的</w:t>
      </w:r>
      <w:r>
        <w:rPr>
          <w:vertAlign w:val="superscript"/>
        </w:rPr>
        <w:t>34</w:t>
      </w:r>
      <w:r>
        <w:t>S，铵离子的</w:t>
      </w:r>
      <w:r>
        <w:rPr>
          <w:vertAlign w:val="superscript"/>
        </w:rPr>
        <w:t>15</w:t>
      </w:r>
      <w:r>
        <w:t>N，OC和EC的</w:t>
      </w:r>
      <w:r>
        <w:rPr>
          <w:vertAlign w:val="superscript"/>
        </w:rPr>
        <w:t>14</w:t>
      </w:r>
      <w:r>
        <w:t>C。</w:t>
      </w:r>
    </w:p>
    <w:p>
      <w:pPr>
        <w:ind w:firstLine="480" w:firstLineChars="200"/>
      </w:pPr>
      <w:r>
        <w:t>根据环保部发布的《大气颗粒物来源解析技术指南（试行）》，优先推荐下列分析技术方法：</w:t>
      </w:r>
    </w:p>
    <w:p>
      <w:pPr>
        <w:widowControl/>
        <w:shd w:val="clear" w:color="auto" w:fill="FFFFFF"/>
        <w:ind w:firstLine="482"/>
        <w:jc w:val="left"/>
        <w:outlineLvl w:val="2"/>
        <w:rPr>
          <w:color w:val="333333"/>
          <w:szCs w:val="24"/>
        </w:rPr>
      </w:pPr>
      <w:r>
        <w:rPr>
          <w:b/>
          <w:bCs/>
          <w:color w:val="333333"/>
          <w:szCs w:val="24"/>
        </w:rPr>
        <w:t xml:space="preserve">3.4.2 </w:t>
      </w:r>
      <w:r>
        <w:rPr>
          <w:rFonts w:hint="eastAsia"/>
          <w:b/>
          <w:bCs/>
          <w:color w:val="333333"/>
          <w:szCs w:val="24"/>
        </w:rPr>
        <w:t>元素分析</w:t>
      </w:r>
    </w:p>
    <w:p>
      <w:pPr>
        <w:ind w:firstLine="480" w:firstLineChars="200"/>
      </w:pPr>
      <w:r>
        <w:t>方法：碱熔法和酸熔法，参照《空气和废气 颗粒物中铅等重金属的测定 电感耦合等离子体质谱法（ICP-MS）》（HJ 657-2013）。</w:t>
      </w:r>
    </w:p>
    <w:p>
      <w:pPr>
        <w:ind w:firstLine="480" w:firstLineChars="200"/>
      </w:pPr>
      <w:r>
        <w:t>技术：大气颗粒物中Si、Al、Ca、Mg、K、Fe、Na等源元素，选择碱熔法消解，使用离子体原子发射光谱仪（ICP-AES）分析，其他元素用酸熔法消解，使用电感耦合等离子体质谱仪（ICP-MS）分析。</w:t>
      </w:r>
    </w:p>
    <w:p>
      <w:pPr>
        <w:widowControl/>
        <w:shd w:val="clear" w:color="auto" w:fill="FFFFFF"/>
        <w:ind w:firstLine="482"/>
        <w:jc w:val="left"/>
        <w:outlineLvl w:val="2"/>
        <w:rPr>
          <w:color w:val="333333"/>
          <w:szCs w:val="24"/>
        </w:rPr>
      </w:pPr>
      <w:r>
        <w:rPr>
          <w:b/>
          <w:bCs/>
          <w:color w:val="333333"/>
          <w:szCs w:val="24"/>
        </w:rPr>
        <w:t xml:space="preserve">3.4.3 </w:t>
      </w:r>
      <w:r>
        <w:rPr>
          <w:rFonts w:hint="eastAsia"/>
          <w:b/>
          <w:bCs/>
          <w:color w:val="333333"/>
          <w:szCs w:val="24"/>
        </w:rPr>
        <w:t>碳分析</w:t>
      </w:r>
    </w:p>
    <w:p>
      <w:pPr>
        <w:ind w:firstLine="480" w:firstLineChars="200"/>
      </w:pPr>
      <w:r>
        <w:t>方法：热光法（TOT），</w:t>
      </w:r>
    </w:p>
    <w:p>
      <w:pPr>
        <w:ind w:firstLine="480" w:firstLineChars="200"/>
      </w:pPr>
      <w:r>
        <w:t>仪器：碳分析仪（推荐使用Sunset公司）</w:t>
      </w:r>
    </w:p>
    <w:p>
      <w:pPr>
        <w:widowControl/>
        <w:shd w:val="clear" w:color="auto" w:fill="FFFFFF"/>
        <w:ind w:firstLine="482"/>
        <w:jc w:val="left"/>
        <w:outlineLvl w:val="2"/>
        <w:rPr>
          <w:color w:val="333333"/>
          <w:szCs w:val="24"/>
        </w:rPr>
      </w:pPr>
      <w:r>
        <w:rPr>
          <w:b/>
          <w:bCs/>
          <w:color w:val="333333"/>
          <w:szCs w:val="24"/>
        </w:rPr>
        <w:t xml:space="preserve">3.4.4 </w:t>
      </w:r>
      <w:r>
        <w:rPr>
          <w:rFonts w:hint="eastAsia"/>
          <w:b/>
          <w:bCs/>
          <w:color w:val="333333"/>
          <w:szCs w:val="24"/>
        </w:rPr>
        <w:t>离子分析</w:t>
      </w:r>
    </w:p>
    <w:p>
      <w:pPr>
        <w:ind w:firstLine="480" w:firstLineChars="200"/>
      </w:pPr>
      <w:r>
        <w:t>方法：水溶法，参照《空气和废气监测分析方法》（第四版增补版）《水溶性离子分析》。</w:t>
      </w:r>
    </w:p>
    <w:p>
      <w:pPr>
        <w:ind w:firstLine="480" w:firstLineChars="200"/>
      </w:pPr>
      <w:r>
        <w:t>仪器：阴阳离子色谱仪（推荐使用美国戴安公司生产）</w:t>
      </w:r>
    </w:p>
    <w:p>
      <w:pPr>
        <w:widowControl/>
        <w:shd w:val="clear" w:color="auto" w:fill="FFFFFF"/>
        <w:ind w:firstLine="482"/>
        <w:jc w:val="left"/>
        <w:outlineLvl w:val="2"/>
        <w:rPr>
          <w:color w:val="333333"/>
          <w:szCs w:val="24"/>
        </w:rPr>
      </w:pPr>
      <w:r>
        <w:rPr>
          <w:b/>
          <w:bCs/>
          <w:color w:val="333333"/>
          <w:szCs w:val="24"/>
        </w:rPr>
        <w:t>3.4.5</w:t>
      </w:r>
      <w:r>
        <w:rPr>
          <w:rFonts w:hint="eastAsia"/>
          <w:b/>
          <w:bCs/>
          <w:color w:val="333333"/>
          <w:szCs w:val="24"/>
        </w:rPr>
        <w:t>同位素分析</w:t>
      </w:r>
    </w:p>
    <w:p>
      <w:pPr>
        <w:ind w:firstLine="480" w:firstLineChars="200"/>
      </w:pPr>
      <w:r>
        <w:t>硝酸根的</w:t>
      </w:r>
      <w:r>
        <w:rPr>
          <w:vertAlign w:val="superscript"/>
        </w:rPr>
        <w:t>15</w:t>
      </w:r>
      <w:r>
        <w:t>N和</w:t>
      </w:r>
      <w:r>
        <w:rPr>
          <w:vertAlign w:val="superscript"/>
        </w:rPr>
        <w:t>18</w:t>
      </w:r>
      <w:r>
        <w:t>O，将硝酸根氧化为</w:t>
      </w:r>
      <w:r>
        <w:rPr>
          <w:rFonts w:eastAsia="楷体"/>
          <w:szCs w:val="24"/>
        </w:rPr>
        <w:t>N</w:t>
      </w:r>
      <w:r>
        <w:rPr>
          <w:rFonts w:eastAsia="楷体"/>
          <w:szCs w:val="24"/>
          <w:vertAlign w:val="subscript"/>
        </w:rPr>
        <w:t>2</w:t>
      </w:r>
      <w:r>
        <w:rPr>
          <w:rFonts w:eastAsia="楷体"/>
          <w:szCs w:val="24"/>
        </w:rPr>
        <w:t>O</w:t>
      </w:r>
      <w:r>
        <w:t>气体，利用同位素比值质谱仪测定。</w:t>
      </w:r>
    </w:p>
    <w:p>
      <w:pPr>
        <w:ind w:firstLine="480" w:firstLineChars="200"/>
      </w:pPr>
      <w:r>
        <w:t>铵离子的</w:t>
      </w:r>
      <w:r>
        <w:rPr>
          <w:vertAlign w:val="superscript"/>
        </w:rPr>
        <w:t>15</w:t>
      </w:r>
      <w:r>
        <w:t>N，将铵离子转化为N</w:t>
      </w:r>
      <w:r>
        <w:rPr>
          <w:vertAlign w:val="subscript"/>
        </w:rPr>
        <w:t>2</w:t>
      </w:r>
      <w:r>
        <w:t>O气体</w:t>
      </w:r>
      <w:r>
        <w:rPr>
          <w:rFonts w:hint="eastAsia"/>
        </w:rPr>
        <w:t>，</w:t>
      </w:r>
      <w:r>
        <w:t>利用同位素比值质谱仪测定。</w:t>
      </w:r>
    </w:p>
    <w:p>
      <w:pPr>
        <w:ind w:firstLine="480" w:firstLineChars="200"/>
        <w:rPr>
          <w:rFonts w:eastAsia="楷体"/>
          <w:szCs w:val="24"/>
        </w:rPr>
      </w:pPr>
      <w:r>
        <w:t>硫酸根的</w:t>
      </w:r>
      <w:r>
        <w:rPr>
          <w:vertAlign w:val="superscript"/>
        </w:rPr>
        <w:t>34</w:t>
      </w:r>
      <w:r>
        <w:t>S，</w:t>
      </w:r>
      <w:r>
        <w:rPr>
          <w:rFonts w:hint="eastAsia"/>
        </w:rPr>
        <w:t>将硫酸根离子转化为</w:t>
      </w:r>
      <w:r>
        <w:t>硫酸盐</w:t>
      </w:r>
      <w:r>
        <w:rPr>
          <w:rFonts w:hint="eastAsia"/>
        </w:rPr>
        <w:t>，利用同位素比值质谱仪测定。</w:t>
      </w:r>
    </w:p>
    <w:p>
      <w:pPr>
        <w:ind w:firstLine="480" w:firstLineChars="200"/>
      </w:pPr>
      <w:r>
        <w:t>OC和EC的</w:t>
      </w:r>
      <w:r>
        <w:rPr>
          <w:vertAlign w:val="superscript"/>
        </w:rPr>
        <w:t>14</w:t>
      </w:r>
      <w:r>
        <w:t>C</w:t>
      </w:r>
      <w:r>
        <w:rPr>
          <w:rFonts w:hint="eastAsia"/>
        </w:rPr>
        <w:t>，OC和EC的放射性碳同位素利用加速器质谱测定</w:t>
      </w:r>
      <w:r>
        <w:t>。</w:t>
      </w:r>
    </w:p>
    <w:p>
      <w:pPr>
        <w:keepNext/>
        <w:keepLines/>
        <w:numPr>
          <w:ilvl w:val="1"/>
          <w:numId w:val="1"/>
        </w:numPr>
        <w:outlineLvl w:val="1"/>
        <w:rPr>
          <w:sz w:val="28"/>
          <w:szCs w:val="28"/>
          <w:lang w:bidi="th-TH"/>
        </w:rPr>
      </w:pPr>
      <w:r>
        <w:rPr>
          <w:rFonts w:hint="eastAsia"/>
          <w:b/>
          <w:bCs/>
          <w:kern w:val="2"/>
          <w:sz w:val="28"/>
          <w:szCs w:val="28"/>
          <w:lang w:bidi="th-TH"/>
        </w:rPr>
        <w:t>质量控制</w:t>
      </w:r>
    </w:p>
    <w:p>
      <w:pPr>
        <w:ind w:firstLine="480" w:firstLineChars="200"/>
      </w:pPr>
      <w:r>
        <w:t>（1）标准曲线校准、实验空白、精确度、准确度具体要求参照上述文件；</w:t>
      </w:r>
    </w:p>
    <w:p>
      <w:pPr>
        <w:ind w:firstLine="480" w:firstLineChars="200"/>
      </w:pPr>
      <w:r>
        <w:t>（2）阴阳离子平衡：阴阳离子电荷摩尔数比在0.8~1.2范围内；</w:t>
      </w:r>
    </w:p>
    <w:p>
      <w:pPr>
        <w:keepNext/>
        <w:keepLines/>
        <w:numPr>
          <w:ilvl w:val="1"/>
          <w:numId w:val="1"/>
        </w:numPr>
        <w:outlineLvl w:val="1"/>
        <w:rPr>
          <w:sz w:val="28"/>
          <w:szCs w:val="28"/>
          <w:lang w:bidi="th-TH"/>
        </w:rPr>
      </w:pPr>
      <w:r>
        <w:rPr>
          <w:rFonts w:hint="eastAsia"/>
          <w:b/>
          <w:bCs/>
          <w:kern w:val="2"/>
          <w:sz w:val="28"/>
          <w:szCs w:val="28"/>
          <w:lang w:bidi="th-TH"/>
        </w:rPr>
        <w:t>模型计算</w:t>
      </w:r>
    </w:p>
    <w:p>
      <w:pPr>
        <w:ind w:firstLine="480" w:firstLineChars="200"/>
      </w:pPr>
      <w:r>
        <w:rPr>
          <w:rFonts w:hint="eastAsia"/>
        </w:rPr>
        <w:t>基于同位素数值，利用贝叶斯模型解析主要污染物的来源。在贝叶斯解析的结果前提下，利用</w:t>
      </w:r>
      <w:r>
        <w:t>非负矩阵分解（NMF）算法</w:t>
      </w:r>
      <w:r>
        <w:rPr>
          <w:rFonts w:hint="eastAsia"/>
        </w:rPr>
        <w:t>解析PM2.5的来源。</w:t>
      </w:r>
    </w:p>
    <w:p>
      <w:pPr>
        <w:pStyle w:val="2"/>
        <w:spacing w:before="0" w:beforeLines="0" w:after="0" w:afterLines="0"/>
        <w:rPr>
          <w:rFonts w:cs="Times New Roman"/>
        </w:rPr>
      </w:pPr>
      <w:r>
        <w:t>VOC</w:t>
      </w:r>
      <w:r>
        <w:rPr>
          <w:rFonts w:hint="eastAsia" w:cs="Times New Roman"/>
        </w:rPr>
        <w:t>运行比对</w:t>
      </w:r>
      <w:r>
        <w:rPr>
          <w:rFonts w:cs="Times New Roman"/>
        </w:rPr>
        <w:t>技术服务要求</w:t>
      </w:r>
    </w:p>
    <w:p>
      <w:pPr>
        <w:keepNext/>
        <w:keepLines/>
        <w:numPr>
          <w:ilvl w:val="1"/>
          <w:numId w:val="1"/>
        </w:numPr>
        <w:outlineLvl w:val="1"/>
        <w:rPr>
          <w:b/>
          <w:bCs/>
          <w:kern w:val="2"/>
          <w:sz w:val="28"/>
          <w:szCs w:val="28"/>
          <w:lang w:bidi="th-TH"/>
        </w:rPr>
      </w:pPr>
      <w:r>
        <w:rPr>
          <w:rFonts w:hint="eastAsia"/>
          <w:b/>
          <w:bCs/>
          <w:kern w:val="2"/>
          <w:sz w:val="28"/>
          <w:szCs w:val="28"/>
          <w:lang w:bidi="th-TH"/>
        </w:rPr>
        <w:t>样品采集</w:t>
      </w:r>
    </w:p>
    <w:p>
      <w:pPr>
        <w:widowControl/>
        <w:shd w:val="clear" w:color="auto" w:fill="FFFFFF"/>
        <w:ind w:firstLine="482"/>
        <w:jc w:val="left"/>
        <w:outlineLvl w:val="2"/>
        <w:rPr>
          <w:color w:val="333333"/>
          <w:szCs w:val="24"/>
        </w:rPr>
      </w:pPr>
      <w:r>
        <w:rPr>
          <w:rFonts w:hint="eastAsia"/>
          <w:b/>
          <w:bCs/>
          <w:color w:val="333333"/>
          <w:szCs w:val="24"/>
        </w:rPr>
        <w:t>4</w:t>
      </w:r>
      <w:r>
        <w:rPr>
          <w:b/>
          <w:bCs/>
          <w:color w:val="333333"/>
          <w:szCs w:val="24"/>
        </w:rPr>
        <w:t>.</w:t>
      </w:r>
      <w:r>
        <w:rPr>
          <w:rFonts w:hint="eastAsia"/>
          <w:b/>
          <w:bCs/>
          <w:color w:val="333333"/>
          <w:szCs w:val="24"/>
        </w:rPr>
        <w:t>1</w:t>
      </w:r>
      <w:r>
        <w:rPr>
          <w:b/>
          <w:bCs/>
          <w:color w:val="333333"/>
          <w:szCs w:val="24"/>
        </w:rPr>
        <w:t>.1</w:t>
      </w:r>
      <w:r>
        <w:rPr>
          <w:rFonts w:hint="eastAsia"/>
          <w:b/>
          <w:bCs/>
          <w:color w:val="333333"/>
          <w:szCs w:val="24"/>
        </w:rPr>
        <w:t>采样仪器选择</w:t>
      </w:r>
    </w:p>
    <w:p>
      <w:pPr>
        <w:ind w:firstLine="480" w:firstLineChars="200"/>
      </w:pPr>
      <w:r>
        <w:rPr>
          <w:rFonts w:hint="eastAsia"/>
        </w:rPr>
        <w:t>VOCs采样分析参照《环境空气 挥发性有机物的测定罐采样 气相色谱-质谱法》（HJ 759-2015）和美国环境保护署（USEPA）TO-</w:t>
      </w:r>
      <w:r>
        <w:t>14</w:t>
      </w:r>
      <w:r>
        <w:rPr>
          <w:rFonts w:hint="eastAsia"/>
        </w:rPr>
        <w:t>、TO-</w:t>
      </w:r>
      <w:r>
        <w:t>15</w:t>
      </w:r>
      <w:r>
        <w:rPr>
          <w:rFonts w:hint="eastAsia"/>
        </w:rPr>
        <w:t>等标准方法的要求。</w:t>
      </w:r>
    </w:p>
    <w:p>
      <w:pPr>
        <w:ind w:firstLine="480" w:firstLineChars="200"/>
      </w:pPr>
      <w:r>
        <w:rPr>
          <w:rFonts w:hint="eastAsia"/>
        </w:rPr>
        <w:t>VOCs分析空气样品采集用内表面惰性化处理的不锈钢采样罐（CANISTER），并采用定时恒流采样器采集在线与分析设备同步的离线VOCs分析空气样品。</w:t>
      </w:r>
    </w:p>
    <w:p>
      <w:pPr>
        <w:widowControl/>
        <w:shd w:val="clear" w:color="auto" w:fill="FFFFFF"/>
        <w:ind w:firstLine="482"/>
        <w:jc w:val="left"/>
        <w:outlineLvl w:val="2"/>
        <w:rPr>
          <w:color w:val="333333"/>
          <w:szCs w:val="24"/>
        </w:rPr>
      </w:pPr>
      <w:r>
        <w:rPr>
          <w:rFonts w:hint="eastAsia"/>
          <w:b/>
          <w:bCs/>
          <w:color w:val="333333"/>
          <w:szCs w:val="24"/>
        </w:rPr>
        <w:t>4.1.2</w:t>
      </w:r>
      <w:r>
        <w:rPr>
          <w:b/>
          <w:bCs/>
          <w:color w:val="333333"/>
          <w:szCs w:val="24"/>
        </w:rPr>
        <w:t xml:space="preserve"> </w:t>
      </w:r>
      <w:r>
        <w:rPr>
          <w:rFonts w:hint="eastAsia"/>
          <w:b/>
          <w:bCs/>
          <w:color w:val="333333"/>
          <w:szCs w:val="24"/>
        </w:rPr>
        <w:t>采样设置</w:t>
      </w:r>
    </w:p>
    <w:p>
      <w:pPr>
        <w:ind w:firstLine="480" w:firstLineChars="200"/>
      </w:pPr>
      <w:r>
        <w:rPr>
          <w:rFonts w:hint="eastAsia"/>
        </w:rPr>
        <w:t>每6天采样一次，每次采集2个与在线设备同步时段的离线分析样品。在O</w:t>
      </w:r>
      <w:r>
        <w:rPr>
          <w:rFonts w:hint="eastAsia"/>
          <w:vertAlign w:val="subscript"/>
        </w:rPr>
        <w:t>3</w:t>
      </w:r>
      <w:r>
        <w:rPr>
          <w:rFonts w:hint="eastAsia"/>
        </w:rPr>
        <w:t>与PM</w:t>
      </w:r>
      <w:r>
        <w:rPr>
          <w:rFonts w:hint="eastAsia"/>
          <w:vertAlign w:val="subscript"/>
        </w:rPr>
        <w:t>2.5</w:t>
      </w:r>
      <w:r>
        <w:rPr>
          <w:rFonts w:hint="eastAsia"/>
        </w:rPr>
        <w:t>重污染污染过程加密采样频次。</w:t>
      </w:r>
    </w:p>
    <w:p>
      <w:pPr>
        <w:widowControl/>
        <w:shd w:val="clear" w:color="auto" w:fill="FFFFFF"/>
        <w:ind w:firstLine="482"/>
        <w:jc w:val="left"/>
        <w:outlineLvl w:val="2"/>
        <w:rPr>
          <w:color w:val="333333"/>
          <w:szCs w:val="24"/>
        </w:rPr>
      </w:pPr>
      <w:r>
        <w:rPr>
          <w:rFonts w:hint="eastAsia"/>
          <w:b/>
          <w:bCs/>
          <w:color w:val="333333"/>
          <w:szCs w:val="24"/>
        </w:rPr>
        <w:t>4.1.3</w:t>
      </w:r>
      <w:r>
        <w:rPr>
          <w:b/>
          <w:bCs/>
          <w:color w:val="333333"/>
          <w:szCs w:val="24"/>
        </w:rPr>
        <w:t xml:space="preserve"> </w:t>
      </w:r>
      <w:r>
        <w:rPr>
          <w:rFonts w:hint="eastAsia"/>
          <w:b/>
          <w:bCs/>
          <w:color w:val="333333"/>
          <w:szCs w:val="24"/>
        </w:rPr>
        <w:t>样品采集</w:t>
      </w:r>
    </w:p>
    <w:p>
      <w:pPr>
        <w:ind w:firstLine="480" w:firstLineChars="200"/>
      </w:pPr>
      <w:r>
        <w:rPr>
          <w:rFonts w:hint="eastAsia"/>
        </w:rPr>
        <w:t>用清洗干净并抽真空的采样罐（CANISTER）采集空气样品，用恒流加压采样设备完成与在线分析样品同步时段样品采集。</w:t>
      </w:r>
    </w:p>
    <w:p>
      <w:pPr>
        <w:widowControl/>
        <w:shd w:val="clear" w:color="auto" w:fill="FFFFFF"/>
        <w:ind w:firstLine="482"/>
        <w:jc w:val="left"/>
        <w:outlineLvl w:val="2"/>
        <w:rPr>
          <w:b/>
          <w:bCs/>
          <w:color w:val="333333"/>
          <w:szCs w:val="24"/>
        </w:rPr>
      </w:pPr>
      <w:r>
        <w:rPr>
          <w:rFonts w:hint="eastAsia"/>
          <w:b/>
          <w:bCs/>
          <w:color w:val="333333"/>
          <w:szCs w:val="24"/>
        </w:rPr>
        <w:t>4.1.4质控管理</w:t>
      </w:r>
    </w:p>
    <w:p>
      <w:pPr>
        <w:widowControl/>
        <w:shd w:val="clear" w:color="auto" w:fill="FFFFFF"/>
        <w:ind w:firstLine="482"/>
        <w:jc w:val="left"/>
        <w:outlineLvl w:val="2"/>
      </w:pPr>
      <w:r>
        <w:rPr>
          <w:rFonts w:hint="eastAsia"/>
        </w:rPr>
        <w:t>1）所用采样罐均保证清洁：清洗干净后待用的采样罐，与实际采样一样充入纯净空气或特殊净化后的高纯氮气，放置2</w:t>
      </w:r>
      <w:r>
        <w:t>4</w:t>
      </w:r>
      <w:r>
        <w:rPr>
          <w:rFonts w:hint="eastAsia"/>
        </w:rPr>
        <w:t>小时以上，采样与实际样品样品同样的方法分析其中VOCs，目标VOCs应不检出或低于检测限；</w:t>
      </w:r>
    </w:p>
    <w:p>
      <w:pPr>
        <w:widowControl/>
        <w:shd w:val="clear" w:color="auto" w:fill="FFFFFF"/>
        <w:ind w:firstLine="482"/>
        <w:jc w:val="left"/>
        <w:outlineLvl w:val="2"/>
      </w:pPr>
      <w:r>
        <w:rPr>
          <w:rFonts w:hint="eastAsia"/>
        </w:rPr>
        <w:t>2）所用采样罐保证吸附等因素损失在允许范围内：清洗干净后待用的采样罐，充入与实际样品浓度相当的标准样品，在实验室放置与实际样品相近的时间后，进行分析测定，目标VOCs的浓度变化应在</w:t>
      </w:r>
      <w:r>
        <w:t>±10</w:t>
      </w:r>
      <w:r>
        <w:rPr>
          <w:rFonts w:hint="eastAsia"/>
        </w:rPr>
        <w:t>%以内。</w:t>
      </w:r>
    </w:p>
    <w:p>
      <w:pPr>
        <w:widowControl/>
        <w:shd w:val="clear" w:color="auto" w:fill="FFFFFF"/>
        <w:ind w:firstLine="482"/>
        <w:jc w:val="left"/>
        <w:outlineLvl w:val="2"/>
        <w:rPr>
          <w:color w:val="333333"/>
          <w:szCs w:val="24"/>
        </w:rPr>
      </w:pPr>
      <w:r>
        <w:rPr>
          <w:rFonts w:hint="eastAsia"/>
        </w:rPr>
        <w:t>3）所用采样罐仍按标准操作手册完成检漏。</w:t>
      </w:r>
    </w:p>
    <w:p>
      <w:pPr>
        <w:keepNext/>
        <w:keepLines/>
        <w:numPr>
          <w:ilvl w:val="1"/>
          <w:numId w:val="1"/>
        </w:numPr>
        <w:outlineLvl w:val="1"/>
        <w:rPr>
          <w:sz w:val="28"/>
          <w:szCs w:val="28"/>
          <w:lang w:bidi="th-TH"/>
        </w:rPr>
      </w:pPr>
      <w:r>
        <w:rPr>
          <w:rFonts w:hint="eastAsia"/>
          <w:b/>
          <w:bCs/>
          <w:kern w:val="2"/>
          <w:sz w:val="28"/>
          <w:szCs w:val="28"/>
          <w:lang w:bidi="th-TH"/>
        </w:rPr>
        <w:t>样品管理</w:t>
      </w:r>
    </w:p>
    <w:p>
      <w:pPr>
        <w:widowControl/>
        <w:shd w:val="clear" w:color="auto" w:fill="FFFFFF"/>
        <w:ind w:firstLine="482"/>
        <w:jc w:val="left"/>
        <w:outlineLvl w:val="2"/>
        <w:rPr>
          <w:color w:val="333333"/>
          <w:szCs w:val="24"/>
        </w:rPr>
      </w:pPr>
      <w:r>
        <w:rPr>
          <w:rFonts w:hint="eastAsia"/>
          <w:b/>
          <w:bCs/>
          <w:color w:val="333333"/>
          <w:szCs w:val="24"/>
        </w:rPr>
        <w:t>4</w:t>
      </w:r>
      <w:r>
        <w:rPr>
          <w:b/>
          <w:bCs/>
          <w:color w:val="333333"/>
          <w:szCs w:val="24"/>
        </w:rPr>
        <w:t xml:space="preserve">.2.1 </w:t>
      </w:r>
      <w:r>
        <w:rPr>
          <w:rFonts w:hint="eastAsia"/>
          <w:b/>
          <w:bCs/>
          <w:color w:val="333333"/>
          <w:szCs w:val="24"/>
        </w:rPr>
        <w:t>样品标识</w:t>
      </w:r>
    </w:p>
    <w:p>
      <w:pPr>
        <w:ind w:firstLine="480" w:firstLineChars="200"/>
      </w:pPr>
      <w:r>
        <w:t>每个样品应当进行标识，标示应至少包括点位名称、采样日期、滤膜材质等信息。</w:t>
      </w:r>
    </w:p>
    <w:p>
      <w:pPr>
        <w:widowControl/>
        <w:shd w:val="clear" w:color="auto" w:fill="FFFFFF"/>
        <w:ind w:firstLine="482"/>
        <w:jc w:val="left"/>
        <w:outlineLvl w:val="2"/>
        <w:rPr>
          <w:color w:val="333333"/>
          <w:szCs w:val="24"/>
        </w:rPr>
      </w:pPr>
      <w:r>
        <w:rPr>
          <w:rFonts w:hint="eastAsia"/>
          <w:b/>
          <w:bCs/>
          <w:color w:val="333333"/>
          <w:szCs w:val="24"/>
        </w:rPr>
        <w:t>4</w:t>
      </w:r>
      <w:r>
        <w:rPr>
          <w:b/>
          <w:bCs/>
          <w:color w:val="333333"/>
          <w:szCs w:val="24"/>
        </w:rPr>
        <w:t xml:space="preserve">.2.2 </w:t>
      </w:r>
      <w:r>
        <w:rPr>
          <w:rFonts w:hint="eastAsia"/>
          <w:b/>
          <w:bCs/>
          <w:color w:val="333333"/>
          <w:szCs w:val="24"/>
        </w:rPr>
        <w:t>样品保存</w:t>
      </w:r>
    </w:p>
    <w:p>
      <w:pPr>
        <w:ind w:firstLine="480" w:firstLineChars="200"/>
      </w:pPr>
      <w:r>
        <w:rPr>
          <w:rFonts w:hint="eastAsia"/>
        </w:rPr>
        <w:t>采样完成后，拧紧采样阀；记录采样罐编号及采样信息；在罐身贴标签标识采样信息。样品常温放置，避免受热和撞击。</w:t>
      </w:r>
    </w:p>
    <w:p>
      <w:pPr>
        <w:widowControl/>
        <w:shd w:val="clear" w:color="auto" w:fill="FFFFFF"/>
        <w:ind w:firstLine="482"/>
        <w:jc w:val="left"/>
        <w:outlineLvl w:val="2"/>
        <w:rPr>
          <w:color w:val="333333"/>
          <w:szCs w:val="24"/>
        </w:rPr>
      </w:pPr>
      <w:r>
        <w:rPr>
          <w:rFonts w:hint="eastAsia"/>
          <w:b/>
          <w:bCs/>
          <w:color w:val="333333"/>
          <w:szCs w:val="24"/>
        </w:rPr>
        <w:t>4</w:t>
      </w:r>
      <w:r>
        <w:rPr>
          <w:b/>
          <w:bCs/>
          <w:color w:val="333333"/>
          <w:szCs w:val="24"/>
        </w:rPr>
        <w:t xml:space="preserve">.2.3 </w:t>
      </w:r>
      <w:r>
        <w:rPr>
          <w:rFonts w:hint="eastAsia"/>
          <w:b/>
          <w:bCs/>
          <w:color w:val="333333"/>
          <w:szCs w:val="24"/>
        </w:rPr>
        <w:t>样品交接</w:t>
      </w:r>
    </w:p>
    <w:p>
      <w:pPr>
        <w:ind w:firstLine="480" w:firstLineChars="200"/>
      </w:pPr>
      <w:r>
        <w:t>样品的接收、核查和发放各环节应受控。样品交接记录、样品标签及其包装应完整。若发现样品有异常或处</w:t>
      </w:r>
    </w:p>
    <w:p>
      <w:pPr>
        <w:keepNext/>
        <w:keepLines/>
        <w:numPr>
          <w:ilvl w:val="1"/>
          <w:numId w:val="1"/>
        </w:numPr>
        <w:outlineLvl w:val="1"/>
        <w:rPr>
          <w:b/>
          <w:bCs/>
          <w:kern w:val="2"/>
          <w:sz w:val="28"/>
          <w:szCs w:val="28"/>
          <w:lang w:bidi="th-TH"/>
        </w:rPr>
      </w:pPr>
      <w:r>
        <w:rPr>
          <w:rFonts w:hint="eastAsia"/>
          <w:b/>
          <w:bCs/>
          <w:kern w:val="2"/>
          <w:sz w:val="28"/>
          <w:szCs w:val="28"/>
          <w:lang w:bidi="th-TH"/>
        </w:rPr>
        <w:t>化学分析</w:t>
      </w:r>
    </w:p>
    <w:p>
      <w:pPr>
        <w:ind w:firstLine="480" w:firstLineChars="200"/>
      </w:pPr>
      <w:r>
        <w:rPr>
          <w:rFonts w:hint="eastAsia"/>
        </w:rPr>
        <w:t>至少包括57种非甲烷烃类臭氧前驱物（PAMS）。</w:t>
      </w:r>
    </w:p>
    <w:p>
      <w:pPr>
        <w:ind w:firstLine="480" w:firstLineChars="200"/>
      </w:pPr>
      <w:r>
        <w:rPr>
          <w:rFonts w:hint="eastAsia"/>
        </w:rPr>
        <w:t>采用液氮冷阱捕集预浓缩与色谱-质谱联用系统进行分析。</w:t>
      </w:r>
    </w:p>
    <w:p>
      <w:pPr>
        <w:ind w:firstLine="480" w:firstLineChars="200"/>
      </w:pPr>
    </w:p>
    <w:p>
      <w:pPr>
        <w:pStyle w:val="2"/>
        <w:spacing w:before="0" w:beforeLines="0" w:after="0" w:afterLines="0"/>
      </w:pPr>
      <w:r>
        <w:rPr>
          <w:rFonts w:hint="eastAsia" w:cs="Times New Roman"/>
        </w:rPr>
        <w:t>时间</w:t>
      </w:r>
      <w:r>
        <w:rPr>
          <w:rFonts w:cs="Times New Roman"/>
        </w:rPr>
        <w:t>要求</w:t>
      </w:r>
    </w:p>
    <w:p>
      <w:pPr>
        <w:ind w:firstLine="480"/>
      </w:pPr>
      <w:r>
        <w:rPr>
          <w:rFonts w:hint="eastAsia"/>
        </w:rPr>
        <w:t>（1）</w:t>
      </w:r>
      <w:r>
        <w:t>合同签订后7日内（日历日，下同），乙方提交项目实施方案，包括质量保证和质量控制措施，供甲方审核确认</w:t>
      </w:r>
      <w:r>
        <w:rPr>
          <w:rFonts w:hint="eastAsia"/>
        </w:rPr>
        <w:t>。</w:t>
      </w:r>
    </w:p>
    <w:p>
      <w:pPr>
        <w:ind w:firstLine="480"/>
      </w:pPr>
      <w:r>
        <w:rPr>
          <w:rFonts w:hint="eastAsia"/>
        </w:rPr>
        <w:t>（2）样品分析要求：样品采集后，</w:t>
      </w:r>
      <w:r>
        <w:t>乙方须于20日内提交分析</w:t>
      </w:r>
      <w:r>
        <w:rPr>
          <w:rFonts w:hint="eastAsia"/>
        </w:rPr>
        <w:t>结果</w:t>
      </w:r>
      <w:r>
        <w:t>、质量保证和质量控制报告、原始数据和谱图，供甲方审核确认。</w:t>
      </w:r>
    </w:p>
    <w:p>
      <w:pPr>
        <w:ind w:firstLine="480"/>
      </w:pPr>
      <w:r>
        <w:rPr>
          <w:rFonts w:hint="eastAsia"/>
        </w:rPr>
        <w:t>（3）报告要求：每季度提交一次比对报告，报告须于本季度完成后</w:t>
      </w:r>
      <w:r>
        <w:t>30</w:t>
      </w:r>
      <w:r>
        <w:rPr>
          <w:rFonts w:hint="eastAsia"/>
        </w:rPr>
        <w:t>日内提交；年度比对报告须于所有样品采集完后4</w:t>
      </w:r>
      <w:r>
        <w:t>5</w:t>
      </w:r>
      <w:r>
        <w:rPr>
          <w:rFonts w:hint="eastAsia"/>
        </w:rPr>
        <w:t>日内提交。</w:t>
      </w:r>
    </w:p>
    <w:p>
      <w:pPr>
        <w:pStyle w:val="2"/>
        <w:spacing w:before="0" w:beforeLines="0" w:after="0" w:afterLines="0"/>
      </w:pPr>
      <w:r>
        <w:rPr>
          <w:rFonts w:hint="eastAsia" w:cs="Times New Roman"/>
        </w:rPr>
        <w:t>其他要求</w:t>
      </w:r>
    </w:p>
    <w:p>
      <w:pPr>
        <w:spacing w:before="120"/>
        <w:ind w:firstLine="480"/>
        <w:rPr>
          <w:szCs w:val="24"/>
        </w:rPr>
      </w:pPr>
      <w:r>
        <w:rPr>
          <w:rFonts w:hint="eastAsia"/>
          <w:szCs w:val="24"/>
        </w:rPr>
        <w:t>（1）项目需投入工作人员至少</w:t>
      </w:r>
      <w:r>
        <w:rPr>
          <w:szCs w:val="24"/>
        </w:rPr>
        <w:t>9</w:t>
      </w:r>
      <w:r>
        <w:rPr>
          <w:rFonts w:hint="eastAsia"/>
          <w:szCs w:val="24"/>
        </w:rPr>
        <w:t>人，其中项目负责人</w:t>
      </w:r>
      <w:r>
        <w:rPr>
          <w:szCs w:val="24"/>
        </w:rPr>
        <w:t>1</w:t>
      </w:r>
      <w:r>
        <w:rPr>
          <w:rFonts w:hint="eastAsia"/>
          <w:szCs w:val="24"/>
        </w:rPr>
        <w:t>名，样品分析技术</w:t>
      </w:r>
      <w:r>
        <w:rPr>
          <w:szCs w:val="24"/>
        </w:rPr>
        <w:t>5</w:t>
      </w:r>
      <w:r>
        <w:rPr>
          <w:rFonts w:hint="eastAsia"/>
          <w:szCs w:val="24"/>
        </w:rPr>
        <w:t>人，人员数据分析技术人员</w:t>
      </w:r>
      <w:r>
        <w:rPr>
          <w:szCs w:val="24"/>
        </w:rPr>
        <w:t>3</w:t>
      </w:r>
      <w:r>
        <w:rPr>
          <w:rFonts w:hint="eastAsia"/>
          <w:szCs w:val="24"/>
        </w:rPr>
        <w:t>名，</w:t>
      </w:r>
      <w:r>
        <w:rPr>
          <w:szCs w:val="24"/>
        </w:rPr>
        <w:t>确保工作顺利开展。</w:t>
      </w:r>
    </w:p>
    <w:p>
      <w:pPr>
        <w:pStyle w:val="15"/>
        <w:tabs>
          <w:tab w:val="left" w:pos="3675"/>
        </w:tabs>
        <w:snapToGrid w:val="0"/>
        <w:spacing w:before="120" w:after="0" w:line="360" w:lineRule="auto"/>
        <w:ind w:left="0" w:leftChars="0" w:firstLine="480"/>
        <w:rPr>
          <w:rFonts w:ascii="Times New Roman" w:hAnsi="Times New Roman" w:cs="Times New Roman"/>
          <w:sz w:val="24"/>
        </w:rPr>
      </w:pPr>
      <w:r>
        <w:rPr>
          <w:rFonts w:hint="eastAsia" w:ascii="Times New Roman" w:hAnsi="Times New Roman" w:cs="Times New Roman"/>
          <w:sz w:val="24"/>
        </w:rPr>
        <w:t>（2）乙</w:t>
      </w:r>
      <w:r>
        <w:rPr>
          <w:rFonts w:ascii="Times New Roman" w:hAnsi="Times New Roman" w:cs="Times New Roman"/>
          <w:sz w:val="24"/>
        </w:rPr>
        <w:t>方出现以下行为的，采购方有权终止运维合同，情节严重者，将予以通报：</w:t>
      </w:r>
    </w:p>
    <w:p>
      <w:pPr>
        <w:pStyle w:val="15"/>
        <w:numPr>
          <w:ilvl w:val="0"/>
          <w:numId w:val="4"/>
        </w:numPr>
        <w:tabs>
          <w:tab w:val="left" w:pos="3675"/>
        </w:tabs>
        <w:snapToGrid w:val="0"/>
        <w:spacing w:before="120" w:after="0" w:line="360" w:lineRule="auto"/>
        <w:ind w:leftChars="0" w:firstLineChars="0"/>
        <w:rPr>
          <w:rFonts w:ascii="Times New Roman" w:hAnsi="Times New Roman" w:cs="Times New Roman"/>
          <w:sz w:val="24"/>
        </w:rPr>
      </w:pPr>
      <w:r>
        <w:rPr>
          <w:rFonts w:ascii="Times New Roman" w:hAnsi="Times New Roman" w:cs="Times New Roman"/>
          <w:sz w:val="24"/>
        </w:rPr>
        <w:t>未经采购方书面许可公开展示、发表或透露监测结果给第三方；</w:t>
      </w:r>
    </w:p>
    <w:p>
      <w:pPr>
        <w:pStyle w:val="15"/>
        <w:numPr>
          <w:ilvl w:val="0"/>
          <w:numId w:val="4"/>
        </w:numPr>
        <w:tabs>
          <w:tab w:val="left" w:pos="3675"/>
        </w:tabs>
        <w:snapToGrid w:val="0"/>
        <w:spacing w:before="120" w:after="0" w:line="360" w:lineRule="auto"/>
        <w:ind w:leftChars="0" w:firstLineChars="0"/>
        <w:rPr>
          <w:rFonts w:ascii="Times New Roman" w:hAnsi="Times New Roman" w:cs="Times New Roman"/>
          <w:sz w:val="24"/>
        </w:rPr>
      </w:pPr>
      <w:r>
        <w:rPr>
          <w:rFonts w:ascii="Times New Roman" w:hAnsi="Times New Roman" w:cs="Times New Roman"/>
          <w:sz w:val="24"/>
        </w:rPr>
        <w:t>出现调整数据等弄虚作假行为。</w:t>
      </w:r>
    </w:p>
    <w:p>
      <w:pPr>
        <w:ind w:firstLine="480"/>
      </w:pPr>
    </w:p>
    <w:p>
      <w:pPr>
        <w:ind w:firstLine="480"/>
      </w:pPr>
    </w:p>
    <w:p>
      <w:pPr>
        <w:pStyle w:val="2"/>
        <w:spacing w:before="0" w:beforeLines="0" w:after="0" w:afterLines="0"/>
      </w:pPr>
      <w:bookmarkStart w:id="3" w:name="_Hlk30327884"/>
      <w:r>
        <w:rPr>
          <w:rFonts w:cs="Times New Roman"/>
        </w:rPr>
        <w:t>验收考核</w:t>
      </w:r>
    </w:p>
    <w:p>
      <w:pPr>
        <w:ind w:firstLine="480"/>
      </w:pPr>
      <w:r>
        <w:t>乙方向甲方申请验收时，需提交以下材料：</w:t>
      </w:r>
    </w:p>
    <w:p>
      <w:pPr>
        <w:ind w:firstLine="480"/>
      </w:pPr>
      <w:r>
        <w:t>（1）</w:t>
      </w:r>
      <w:r>
        <w:rPr>
          <w:rFonts w:hint="eastAsia"/>
        </w:rPr>
        <w:t>季度比对报告3份，年度比对报告1份。</w:t>
      </w:r>
    </w:p>
    <w:p>
      <w:pPr>
        <w:ind w:firstLine="480"/>
      </w:pPr>
      <w:r>
        <w:rPr>
          <w:rFonts w:hint="eastAsia"/>
        </w:rPr>
        <w:t>（2）</w:t>
      </w:r>
      <w:r>
        <w:t>样品分析报告、质量保证和质量控制报告、原始数据和谱图的纸质和电子版，以及甲方认为必要的其他文档。</w:t>
      </w:r>
    </w:p>
    <w:p>
      <w:pPr>
        <w:ind w:firstLine="480"/>
      </w:pPr>
    </w:p>
    <w:bookmarkEnd w:id="3"/>
    <w:p>
      <w:pPr>
        <w:pStyle w:val="2"/>
        <w:spacing w:before="0" w:beforeLines="0" w:after="0" w:afterLines="0"/>
        <w:rPr>
          <w:rFonts w:cs="Times New Roman"/>
        </w:rPr>
      </w:pPr>
      <w:r>
        <w:rPr>
          <w:rFonts w:cs="Times New Roman"/>
        </w:rPr>
        <w:t>评分标准</w:t>
      </w:r>
    </w:p>
    <w:p>
      <w:pPr>
        <w:pStyle w:val="15"/>
        <w:tabs>
          <w:tab w:val="left" w:pos="3675"/>
        </w:tabs>
        <w:snapToGrid w:val="0"/>
        <w:spacing w:before="120" w:after="0" w:line="360" w:lineRule="auto"/>
        <w:ind w:left="0" w:leftChars="0" w:firstLine="480"/>
        <w:jc w:val="center"/>
        <w:rPr>
          <w:rFonts w:ascii="黑体" w:hAnsi="黑体" w:eastAsia="黑体" w:cs="Times New Roman"/>
          <w:bCs/>
          <w:sz w:val="24"/>
          <w:szCs w:val="22"/>
        </w:rPr>
      </w:pPr>
      <w:r>
        <w:rPr>
          <w:rFonts w:hint="eastAsia" w:ascii="黑体" w:hAnsi="黑体" w:eastAsia="黑体"/>
          <w:bCs/>
          <w:sz w:val="24"/>
        </w:rPr>
        <w:t>表</w:t>
      </w:r>
      <w:r>
        <w:rPr>
          <w:rFonts w:ascii="黑体" w:hAnsi="黑体" w:eastAsia="黑体"/>
          <w:bCs/>
          <w:sz w:val="24"/>
        </w:rPr>
        <w:t xml:space="preserve">1 </w:t>
      </w:r>
      <w:r>
        <w:rPr>
          <w:rFonts w:hint="eastAsia" w:ascii="黑体" w:hAnsi="黑体" w:eastAsia="黑体"/>
          <w:bCs/>
          <w:sz w:val="24"/>
        </w:rPr>
        <w:t>技术评分表</w:t>
      </w:r>
    </w:p>
    <w:tbl>
      <w:tblPr>
        <w:tblStyle w:val="23"/>
        <w:tblW w:w="92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134"/>
        <w:gridCol w:w="6095"/>
        <w:gridCol w:w="1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jc w:val="center"/>
        </w:trPr>
        <w:tc>
          <w:tcPr>
            <w:tcW w:w="846" w:type="dxa"/>
            <w:shd w:val="clear" w:color="auto" w:fill="EEECE1"/>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序号</w:t>
            </w:r>
          </w:p>
        </w:tc>
        <w:tc>
          <w:tcPr>
            <w:tcW w:w="1134" w:type="dxa"/>
            <w:shd w:val="clear" w:color="auto" w:fill="EEECE1"/>
            <w:vAlign w:val="center"/>
          </w:tcPr>
          <w:p>
            <w:pPr>
              <w:spacing w:before="120"/>
              <w:rPr>
                <w:rFonts w:asciiTheme="minorEastAsia" w:hAnsiTheme="minorEastAsia" w:eastAsiaTheme="minorEastAsia"/>
                <w:sz w:val="21"/>
                <w:szCs w:val="18"/>
              </w:rPr>
            </w:pPr>
            <w:r>
              <w:rPr>
                <w:rFonts w:hint="eastAsia" w:asciiTheme="minorEastAsia" w:hAnsiTheme="minorEastAsia" w:eastAsiaTheme="minorEastAsia"/>
                <w:sz w:val="21"/>
                <w:szCs w:val="18"/>
              </w:rPr>
              <w:t>评审项目</w:t>
            </w:r>
          </w:p>
        </w:tc>
        <w:tc>
          <w:tcPr>
            <w:tcW w:w="6095" w:type="dxa"/>
            <w:shd w:val="clear" w:color="auto" w:fill="EEECE1"/>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评分范围</w:t>
            </w:r>
          </w:p>
        </w:tc>
        <w:tc>
          <w:tcPr>
            <w:tcW w:w="1211" w:type="dxa"/>
            <w:shd w:val="clear" w:color="auto" w:fill="EEECE1"/>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最高分值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1" w:hRule="atLeast"/>
          <w:jc w:val="center"/>
        </w:trPr>
        <w:tc>
          <w:tcPr>
            <w:tcW w:w="846" w:type="dxa"/>
            <w:vAlign w:val="center"/>
          </w:tcPr>
          <w:p>
            <w:pPr>
              <w:spacing w:before="120"/>
              <w:jc w:val="center"/>
              <w:rPr>
                <w:rFonts w:asciiTheme="minorEastAsia" w:hAnsiTheme="minorEastAsia" w:eastAsiaTheme="minorEastAsia"/>
                <w:sz w:val="21"/>
                <w:szCs w:val="18"/>
              </w:rPr>
            </w:pPr>
            <w:r>
              <w:rPr>
                <w:rFonts w:asciiTheme="minorEastAsia" w:hAnsiTheme="minorEastAsia" w:eastAsiaTheme="minorEastAsia"/>
                <w:sz w:val="21"/>
                <w:szCs w:val="18"/>
              </w:rPr>
              <w:t>1</w:t>
            </w:r>
          </w:p>
        </w:tc>
        <w:tc>
          <w:tcPr>
            <w:tcW w:w="1134" w:type="dxa"/>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服务方案整体设计</w:t>
            </w:r>
          </w:p>
        </w:tc>
        <w:tc>
          <w:tcPr>
            <w:tcW w:w="6095" w:type="dxa"/>
            <w:vAlign w:val="center"/>
          </w:tcPr>
          <w:p>
            <w:pPr>
              <w:pStyle w:val="13"/>
              <w:spacing w:before="120" w:beforeLines="0"/>
              <w:ind w:firstLine="0" w:firstLineChars="0"/>
              <w:rPr>
                <w:rFonts w:asciiTheme="minorEastAsia" w:hAnsiTheme="minorEastAsia" w:eastAsiaTheme="minorEastAsia"/>
                <w:sz w:val="21"/>
                <w:szCs w:val="18"/>
              </w:rPr>
            </w:pPr>
            <w:r>
              <w:rPr>
                <w:rFonts w:hint="eastAsia" w:asciiTheme="minorEastAsia" w:hAnsiTheme="minorEastAsia" w:eastAsiaTheme="minorEastAsia"/>
                <w:sz w:val="21"/>
                <w:szCs w:val="18"/>
              </w:rPr>
              <w:t>服务方案整体设计满足且优于采购文件要求，方案完整，可行性强为优，得1</w:t>
            </w:r>
            <w:r>
              <w:rPr>
                <w:rFonts w:asciiTheme="minorEastAsia" w:hAnsiTheme="minorEastAsia" w:eastAsiaTheme="minorEastAsia"/>
                <w:sz w:val="21"/>
                <w:szCs w:val="18"/>
              </w:rPr>
              <w:t>0</w:t>
            </w:r>
            <w:r>
              <w:rPr>
                <w:rFonts w:hint="eastAsia" w:asciiTheme="minorEastAsia" w:hAnsiTheme="minorEastAsia" w:eastAsiaTheme="minorEastAsia"/>
                <w:sz w:val="21"/>
                <w:szCs w:val="18"/>
              </w:rPr>
              <w:t>分；</w:t>
            </w:r>
          </w:p>
          <w:p>
            <w:pPr>
              <w:pStyle w:val="13"/>
              <w:spacing w:before="120" w:beforeLines="0"/>
              <w:ind w:firstLine="0" w:firstLineChars="0"/>
              <w:rPr>
                <w:rFonts w:asciiTheme="minorEastAsia" w:hAnsiTheme="minorEastAsia" w:eastAsiaTheme="minorEastAsia"/>
                <w:sz w:val="21"/>
                <w:szCs w:val="18"/>
              </w:rPr>
            </w:pPr>
            <w:r>
              <w:rPr>
                <w:rFonts w:hint="eastAsia" w:asciiTheme="minorEastAsia" w:hAnsiTheme="minorEastAsia" w:eastAsiaTheme="minorEastAsia"/>
                <w:sz w:val="21"/>
                <w:szCs w:val="18"/>
              </w:rPr>
              <w:t>服务方案整体设计基本符合采购文件要求，方案不完整，可行性一般为良，得7分；</w:t>
            </w:r>
          </w:p>
          <w:p>
            <w:pPr>
              <w:pStyle w:val="13"/>
              <w:spacing w:before="120" w:beforeLines="0"/>
              <w:ind w:firstLine="0" w:firstLineChars="0"/>
              <w:rPr>
                <w:rFonts w:asciiTheme="minorEastAsia" w:hAnsiTheme="minorEastAsia" w:eastAsiaTheme="minorEastAsia"/>
                <w:sz w:val="21"/>
                <w:szCs w:val="18"/>
              </w:rPr>
            </w:pPr>
            <w:r>
              <w:rPr>
                <w:rFonts w:hint="eastAsia" w:asciiTheme="minorEastAsia" w:hAnsiTheme="minorEastAsia" w:eastAsiaTheme="minorEastAsia"/>
                <w:sz w:val="21"/>
                <w:szCs w:val="18"/>
              </w:rPr>
              <w:t>整体服务方案不完全符合采购文件要求，方案不完整，可行性差为一般，得4分；</w:t>
            </w:r>
          </w:p>
          <w:p>
            <w:pPr>
              <w:pStyle w:val="13"/>
              <w:spacing w:before="120" w:beforeLines="0"/>
              <w:ind w:firstLine="0" w:firstLineChars="0"/>
              <w:rPr>
                <w:rFonts w:asciiTheme="minorEastAsia" w:hAnsiTheme="minorEastAsia" w:eastAsiaTheme="minorEastAsia"/>
                <w:sz w:val="21"/>
                <w:szCs w:val="18"/>
              </w:rPr>
            </w:pPr>
            <w:r>
              <w:rPr>
                <w:rFonts w:hint="eastAsia" w:asciiTheme="minorEastAsia" w:hAnsiTheme="minorEastAsia" w:eastAsiaTheme="minorEastAsia"/>
                <w:sz w:val="21"/>
                <w:szCs w:val="18"/>
              </w:rPr>
              <w:t>无相关描述不得分。</w:t>
            </w:r>
          </w:p>
        </w:tc>
        <w:tc>
          <w:tcPr>
            <w:tcW w:w="1211" w:type="dxa"/>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1" w:hRule="atLeast"/>
          <w:jc w:val="center"/>
        </w:trPr>
        <w:tc>
          <w:tcPr>
            <w:tcW w:w="846" w:type="dxa"/>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2</w:t>
            </w:r>
          </w:p>
        </w:tc>
        <w:tc>
          <w:tcPr>
            <w:tcW w:w="1134" w:type="dxa"/>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实验室</w:t>
            </w:r>
          </w:p>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资质</w:t>
            </w:r>
          </w:p>
        </w:tc>
        <w:tc>
          <w:tcPr>
            <w:tcW w:w="6095" w:type="dxa"/>
            <w:vAlign w:val="center"/>
          </w:tcPr>
          <w:p>
            <w:pPr>
              <w:pStyle w:val="13"/>
              <w:spacing w:before="120" w:beforeLines="0"/>
              <w:ind w:firstLine="0" w:firstLineChars="0"/>
              <w:rPr>
                <w:rFonts w:asciiTheme="minorEastAsia" w:hAnsiTheme="minorEastAsia" w:eastAsiaTheme="minorEastAsia"/>
                <w:sz w:val="21"/>
                <w:szCs w:val="18"/>
              </w:rPr>
            </w:pPr>
            <w:r>
              <w:rPr>
                <w:rFonts w:hint="eastAsia" w:asciiTheme="minorEastAsia" w:hAnsiTheme="minorEastAsia" w:eastAsiaTheme="minorEastAsia"/>
                <w:sz w:val="21"/>
                <w:szCs w:val="18"/>
              </w:rPr>
              <w:t>拥有检验检测机构资质认定证书，得10分；认证物种包括环境空气挥发性有机物的，加10分，其他物种每增加1项加1分，满分25分。</w:t>
            </w:r>
          </w:p>
        </w:tc>
        <w:tc>
          <w:tcPr>
            <w:tcW w:w="1211" w:type="dxa"/>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0" w:hRule="atLeast"/>
          <w:jc w:val="center"/>
        </w:trPr>
        <w:tc>
          <w:tcPr>
            <w:tcW w:w="846" w:type="dxa"/>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3</w:t>
            </w:r>
          </w:p>
        </w:tc>
        <w:tc>
          <w:tcPr>
            <w:tcW w:w="1134" w:type="dxa"/>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用户需求响应情况</w:t>
            </w:r>
          </w:p>
        </w:tc>
        <w:tc>
          <w:tcPr>
            <w:tcW w:w="6095" w:type="dxa"/>
            <w:vAlign w:val="center"/>
          </w:tcPr>
          <w:p>
            <w:pPr>
              <w:spacing w:before="120"/>
              <w:rPr>
                <w:rFonts w:asciiTheme="minorEastAsia" w:hAnsiTheme="minorEastAsia" w:eastAsiaTheme="minorEastAsia"/>
                <w:strike/>
                <w:sz w:val="21"/>
                <w:szCs w:val="18"/>
              </w:rPr>
            </w:pPr>
            <w:r>
              <w:rPr>
                <w:rFonts w:hint="eastAsia" w:asciiTheme="minorEastAsia" w:hAnsiTheme="minorEastAsia" w:eastAsiaTheme="minorEastAsia"/>
                <w:sz w:val="21"/>
                <w:szCs w:val="18"/>
              </w:rPr>
              <w:t>根据比对报告的内容设计等进行评比：</w:t>
            </w:r>
          </w:p>
          <w:p>
            <w:pPr>
              <w:pStyle w:val="13"/>
              <w:spacing w:before="120" w:beforeLines="0"/>
              <w:ind w:firstLine="0" w:firstLineChars="0"/>
              <w:rPr>
                <w:rFonts w:asciiTheme="minorEastAsia" w:hAnsiTheme="minorEastAsia" w:eastAsiaTheme="minorEastAsia"/>
                <w:sz w:val="21"/>
                <w:szCs w:val="18"/>
              </w:rPr>
            </w:pPr>
            <w:r>
              <w:rPr>
                <w:rFonts w:asciiTheme="minorEastAsia" w:hAnsiTheme="minorEastAsia" w:eastAsiaTheme="minorEastAsia"/>
                <w:sz w:val="21"/>
                <w:szCs w:val="18"/>
              </w:rPr>
              <w:t>1</w:t>
            </w:r>
            <w:r>
              <w:rPr>
                <w:rFonts w:hint="eastAsia" w:asciiTheme="minorEastAsia" w:hAnsiTheme="minorEastAsia" w:eastAsiaTheme="minorEastAsia"/>
                <w:sz w:val="21"/>
                <w:szCs w:val="18"/>
              </w:rPr>
              <w:t>、报告模板设计科学合理，能完全满足用户需求，得</w:t>
            </w:r>
            <w:r>
              <w:rPr>
                <w:rFonts w:asciiTheme="minorEastAsia" w:hAnsiTheme="minorEastAsia" w:eastAsiaTheme="minorEastAsia"/>
                <w:sz w:val="21"/>
                <w:szCs w:val="18"/>
              </w:rPr>
              <w:t>1</w:t>
            </w:r>
            <w:r>
              <w:rPr>
                <w:rFonts w:hint="eastAsia" w:asciiTheme="minorEastAsia" w:hAnsiTheme="minorEastAsia" w:eastAsiaTheme="minorEastAsia"/>
                <w:sz w:val="21"/>
                <w:szCs w:val="18"/>
              </w:rPr>
              <w:t>0分；</w:t>
            </w:r>
          </w:p>
          <w:p>
            <w:pPr>
              <w:pStyle w:val="13"/>
              <w:spacing w:before="120" w:beforeLines="0"/>
              <w:ind w:firstLine="0" w:firstLineChars="0"/>
              <w:rPr>
                <w:rFonts w:asciiTheme="minorEastAsia" w:hAnsiTheme="minorEastAsia" w:eastAsiaTheme="minorEastAsia"/>
                <w:sz w:val="21"/>
                <w:szCs w:val="18"/>
              </w:rPr>
            </w:pPr>
            <w:r>
              <w:rPr>
                <w:rFonts w:asciiTheme="minorEastAsia" w:hAnsiTheme="minorEastAsia" w:eastAsiaTheme="minorEastAsia"/>
                <w:sz w:val="21"/>
                <w:szCs w:val="18"/>
              </w:rPr>
              <w:t>2</w:t>
            </w:r>
            <w:r>
              <w:rPr>
                <w:rFonts w:hint="eastAsia" w:asciiTheme="minorEastAsia" w:hAnsiTheme="minorEastAsia" w:eastAsiaTheme="minorEastAsia"/>
                <w:sz w:val="21"/>
                <w:szCs w:val="18"/>
              </w:rPr>
              <w:t>、报告模板设基本合理，基本满足用户的大部分需求，得7分；</w:t>
            </w:r>
          </w:p>
          <w:p>
            <w:pPr>
              <w:pStyle w:val="13"/>
              <w:spacing w:before="120" w:beforeLines="0"/>
              <w:ind w:firstLine="0" w:firstLineChars="0"/>
              <w:rPr>
                <w:rFonts w:asciiTheme="minorEastAsia" w:hAnsiTheme="minorEastAsia" w:eastAsiaTheme="minorEastAsia"/>
                <w:sz w:val="21"/>
                <w:szCs w:val="18"/>
              </w:rPr>
            </w:pPr>
            <w:r>
              <w:rPr>
                <w:rFonts w:asciiTheme="minorEastAsia" w:hAnsiTheme="minorEastAsia" w:eastAsiaTheme="minorEastAsia"/>
                <w:sz w:val="21"/>
                <w:szCs w:val="18"/>
              </w:rPr>
              <w:t>3</w:t>
            </w:r>
            <w:r>
              <w:rPr>
                <w:rFonts w:hint="eastAsia" w:asciiTheme="minorEastAsia" w:hAnsiTheme="minorEastAsia" w:eastAsiaTheme="minorEastAsia"/>
                <w:sz w:val="21"/>
                <w:szCs w:val="18"/>
              </w:rPr>
              <w:t>、报告模板不科学、不合理，不能满足用户的大部分需求，得</w:t>
            </w:r>
            <w:r>
              <w:rPr>
                <w:rFonts w:asciiTheme="minorEastAsia" w:hAnsiTheme="minorEastAsia" w:eastAsiaTheme="minorEastAsia"/>
                <w:sz w:val="21"/>
                <w:szCs w:val="18"/>
              </w:rPr>
              <w:t>4</w:t>
            </w:r>
            <w:r>
              <w:rPr>
                <w:rFonts w:hint="eastAsia" w:asciiTheme="minorEastAsia" w:hAnsiTheme="minorEastAsia" w:eastAsiaTheme="minorEastAsia"/>
                <w:sz w:val="21"/>
                <w:szCs w:val="18"/>
              </w:rPr>
              <w:t>分；</w:t>
            </w:r>
          </w:p>
          <w:p>
            <w:pPr>
              <w:pStyle w:val="13"/>
              <w:spacing w:before="120" w:beforeLines="0"/>
              <w:ind w:firstLine="0" w:firstLineChars="0"/>
              <w:rPr>
                <w:rFonts w:asciiTheme="minorEastAsia" w:hAnsiTheme="minorEastAsia" w:eastAsiaTheme="minorEastAsia"/>
                <w:sz w:val="21"/>
                <w:szCs w:val="18"/>
              </w:rPr>
            </w:pPr>
            <w:r>
              <w:rPr>
                <w:rFonts w:hint="eastAsia" w:asciiTheme="minorEastAsia" w:hAnsiTheme="minorEastAsia" w:eastAsiaTheme="minorEastAsia"/>
                <w:sz w:val="21"/>
                <w:szCs w:val="18"/>
              </w:rPr>
              <w:t>无相关描述不得分。</w:t>
            </w:r>
          </w:p>
        </w:tc>
        <w:tc>
          <w:tcPr>
            <w:tcW w:w="1211" w:type="dxa"/>
            <w:vAlign w:val="center"/>
          </w:tcPr>
          <w:p>
            <w:pPr>
              <w:spacing w:before="120"/>
              <w:jc w:val="center"/>
              <w:rPr>
                <w:rFonts w:asciiTheme="minorEastAsia" w:hAnsiTheme="minorEastAsia" w:eastAsiaTheme="minorEastAsia"/>
                <w:sz w:val="21"/>
                <w:szCs w:val="18"/>
              </w:rPr>
            </w:pPr>
            <w:r>
              <w:rPr>
                <w:rFonts w:asciiTheme="minorEastAsia" w:hAnsiTheme="minorEastAsia" w:eastAsiaTheme="minorEastAsia"/>
                <w:sz w:val="21"/>
                <w:szCs w:val="18"/>
              </w:rPr>
              <w:t>1</w:t>
            </w:r>
            <w:r>
              <w:rPr>
                <w:rFonts w:hint="eastAsia" w:asciiTheme="minorEastAsia" w:hAnsiTheme="minorEastAsia" w:eastAsiaTheme="minorEastAsia"/>
                <w:sz w:val="21"/>
                <w:szCs w:val="18"/>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2" w:hRule="atLeast"/>
          <w:jc w:val="center"/>
        </w:trPr>
        <w:tc>
          <w:tcPr>
            <w:tcW w:w="846" w:type="dxa"/>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4</w:t>
            </w:r>
          </w:p>
        </w:tc>
        <w:tc>
          <w:tcPr>
            <w:tcW w:w="1134" w:type="dxa"/>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项目负责人评价</w:t>
            </w:r>
          </w:p>
        </w:tc>
        <w:tc>
          <w:tcPr>
            <w:tcW w:w="6095" w:type="dxa"/>
            <w:vAlign w:val="center"/>
          </w:tcPr>
          <w:p>
            <w:pPr>
              <w:pStyle w:val="13"/>
              <w:spacing w:before="120" w:beforeLines="0"/>
              <w:ind w:firstLine="0" w:firstLineChars="0"/>
              <w:rPr>
                <w:rFonts w:asciiTheme="minorEastAsia" w:hAnsiTheme="minorEastAsia" w:eastAsiaTheme="minorEastAsia"/>
                <w:sz w:val="21"/>
                <w:szCs w:val="18"/>
              </w:rPr>
            </w:pPr>
            <w:r>
              <w:rPr>
                <w:rFonts w:hint="eastAsia" w:asciiTheme="minorEastAsia" w:hAnsiTheme="minorEastAsia" w:eastAsiaTheme="minorEastAsia"/>
                <w:sz w:val="21"/>
                <w:szCs w:val="18"/>
              </w:rPr>
              <w:t>根据项目负责人的情况进行评价：</w:t>
            </w:r>
          </w:p>
          <w:p>
            <w:pPr>
              <w:pStyle w:val="13"/>
              <w:spacing w:before="120" w:beforeLines="0"/>
              <w:ind w:firstLine="0" w:firstLineChars="0"/>
              <w:rPr>
                <w:rFonts w:asciiTheme="minorEastAsia" w:hAnsiTheme="minorEastAsia" w:eastAsiaTheme="minorEastAsia"/>
                <w:sz w:val="21"/>
                <w:szCs w:val="18"/>
              </w:rPr>
            </w:pPr>
            <w:r>
              <w:rPr>
                <w:rFonts w:asciiTheme="minorEastAsia" w:hAnsiTheme="minorEastAsia" w:eastAsiaTheme="minorEastAsia"/>
                <w:sz w:val="21"/>
                <w:szCs w:val="18"/>
              </w:rPr>
              <w:t>1.项目负责人具有高级职称</w:t>
            </w:r>
            <w:r>
              <w:rPr>
                <w:rFonts w:hint="eastAsia" w:asciiTheme="minorEastAsia" w:hAnsiTheme="minorEastAsia" w:eastAsiaTheme="minorEastAsia"/>
                <w:sz w:val="21"/>
                <w:szCs w:val="18"/>
              </w:rPr>
              <w:t>，</w:t>
            </w:r>
            <w:r>
              <w:rPr>
                <w:rFonts w:asciiTheme="minorEastAsia" w:hAnsiTheme="minorEastAsia" w:eastAsiaTheme="minorEastAsia"/>
                <w:sz w:val="21"/>
                <w:szCs w:val="18"/>
              </w:rPr>
              <w:t>得</w:t>
            </w:r>
            <w:r>
              <w:rPr>
                <w:rFonts w:hint="eastAsia" w:asciiTheme="minorEastAsia" w:hAnsiTheme="minorEastAsia" w:eastAsiaTheme="minorEastAsia"/>
                <w:sz w:val="21"/>
                <w:szCs w:val="18"/>
              </w:rPr>
              <w:t>4</w:t>
            </w:r>
            <w:r>
              <w:rPr>
                <w:rFonts w:asciiTheme="minorEastAsia" w:hAnsiTheme="minorEastAsia" w:eastAsiaTheme="minorEastAsia"/>
                <w:sz w:val="21"/>
                <w:szCs w:val="18"/>
              </w:rPr>
              <w:t>分；具有中级职称</w:t>
            </w:r>
            <w:r>
              <w:rPr>
                <w:rFonts w:hint="eastAsia" w:asciiTheme="minorEastAsia" w:hAnsiTheme="minorEastAsia" w:eastAsiaTheme="minorEastAsia"/>
                <w:sz w:val="21"/>
                <w:szCs w:val="18"/>
              </w:rPr>
              <w:t>，</w:t>
            </w:r>
            <w:r>
              <w:rPr>
                <w:rFonts w:asciiTheme="minorEastAsia" w:hAnsiTheme="minorEastAsia" w:eastAsiaTheme="minorEastAsia"/>
                <w:sz w:val="21"/>
                <w:szCs w:val="18"/>
              </w:rPr>
              <w:t>得</w:t>
            </w:r>
            <w:r>
              <w:rPr>
                <w:rFonts w:hint="eastAsia" w:asciiTheme="minorEastAsia" w:hAnsiTheme="minorEastAsia" w:eastAsiaTheme="minorEastAsia"/>
                <w:sz w:val="21"/>
                <w:szCs w:val="18"/>
              </w:rPr>
              <w:t>3</w:t>
            </w:r>
            <w:r>
              <w:rPr>
                <w:rFonts w:asciiTheme="minorEastAsia" w:hAnsiTheme="minorEastAsia" w:eastAsiaTheme="minorEastAsia"/>
                <w:sz w:val="21"/>
                <w:szCs w:val="18"/>
              </w:rPr>
              <w:t>分；具有初级职称，得2分；不满足不得分。</w:t>
            </w:r>
          </w:p>
          <w:p>
            <w:pPr>
              <w:pStyle w:val="13"/>
              <w:spacing w:before="120" w:beforeLines="0"/>
              <w:ind w:firstLine="0" w:firstLineChars="0"/>
              <w:rPr>
                <w:rFonts w:asciiTheme="minorEastAsia" w:hAnsiTheme="minorEastAsia" w:eastAsiaTheme="minorEastAsia"/>
                <w:sz w:val="21"/>
                <w:szCs w:val="18"/>
              </w:rPr>
            </w:pPr>
            <w:r>
              <w:rPr>
                <w:rFonts w:hint="eastAsia" w:asciiTheme="minorEastAsia" w:hAnsiTheme="minorEastAsia" w:eastAsiaTheme="minorEastAsia"/>
                <w:sz w:val="21"/>
                <w:szCs w:val="18"/>
              </w:rPr>
              <w:t>2</w:t>
            </w:r>
            <w:r>
              <w:rPr>
                <w:rFonts w:asciiTheme="minorEastAsia" w:hAnsiTheme="minorEastAsia" w:eastAsiaTheme="minorEastAsia"/>
                <w:sz w:val="21"/>
                <w:szCs w:val="18"/>
              </w:rPr>
              <w:t>.项目负责人承担过同类国家级项目，得3分；承担过同类省级项目，得1分；不满足不得分。</w:t>
            </w:r>
          </w:p>
          <w:p>
            <w:pPr>
              <w:pStyle w:val="13"/>
              <w:spacing w:before="120" w:beforeLines="0"/>
              <w:ind w:firstLine="0" w:firstLineChars="0"/>
              <w:rPr>
                <w:rFonts w:asciiTheme="minorEastAsia" w:hAnsiTheme="minorEastAsia" w:eastAsiaTheme="minorEastAsia"/>
                <w:sz w:val="21"/>
                <w:szCs w:val="18"/>
              </w:rPr>
            </w:pPr>
            <w:r>
              <w:rPr>
                <w:rFonts w:hint="eastAsia" w:asciiTheme="minorEastAsia" w:hAnsiTheme="minorEastAsia" w:eastAsiaTheme="minorEastAsia"/>
                <w:sz w:val="21"/>
                <w:szCs w:val="18"/>
              </w:rPr>
              <w:t>【注：提供职称证、学历证以及能体现项目负责人姓名的参与的同类项目证明材料复印件并加盖响应供应商公章，并提供社保部门出具所提供人员近半年在本单位购买社保的证明文件复印件，不提供不得分】</w:t>
            </w:r>
          </w:p>
        </w:tc>
        <w:tc>
          <w:tcPr>
            <w:tcW w:w="1211" w:type="dxa"/>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7分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2" w:hRule="atLeast"/>
          <w:jc w:val="center"/>
        </w:trPr>
        <w:tc>
          <w:tcPr>
            <w:tcW w:w="846" w:type="dxa"/>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5</w:t>
            </w:r>
          </w:p>
        </w:tc>
        <w:tc>
          <w:tcPr>
            <w:tcW w:w="1134" w:type="dxa"/>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项目组配备人员评价</w:t>
            </w:r>
          </w:p>
        </w:tc>
        <w:tc>
          <w:tcPr>
            <w:tcW w:w="6095" w:type="dxa"/>
            <w:vAlign w:val="center"/>
          </w:tcPr>
          <w:p>
            <w:pPr>
              <w:spacing w:before="120"/>
              <w:rPr>
                <w:rFonts w:asciiTheme="minorEastAsia" w:hAnsiTheme="minorEastAsia" w:eastAsiaTheme="minorEastAsia"/>
                <w:strike/>
                <w:sz w:val="21"/>
                <w:szCs w:val="18"/>
              </w:rPr>
            </w:pPr>
            <w:r>
              <w:rPr>
                <w:rFonts w:hint="eastAsia" w:asciiTheme="minorEastAsia" w:hAnsiTheme="minorEastAsia" w:eastAsiaTheme="minorEastAsia"/>
                <w:sz w:val="21"/>
                <w:szCs w:val="18"/>
              </w:rPr>
              <w:t>根据各响应供应商拟投入本项目的项目组人员（项目负责人除外）情况进行评价：</w:t>
            </w:r>
          </w:p>
          <w:p>
            <w:pPr>
              <w:spacing w:before="120"/>
              <w:rPr>
                <w:rFonts w:asciiTheme="minorEastAsia" w:hAnsiTheme="minorEastAsia" w:eastAsiaTheme="minorEastAsia"/>
                <w:sz w:val="21"/>
                <w:szCs w:val="18"/>
              </w:rPr>
            </w:pPr>
            <w:r>
              <w:rPr>
                <w:rFonts w:asciiTheme="minorEastAsia" w:hAnsiTheme="minorEastAsia" w:eastAsiaTheme="minorEastAsia"/>
                <w:sz w:val="21"/>
                <w:szCs w:val="18"/>
              </w:rPr>
              <w:t>1.</w:t>
            </w:r>
            <w:r>
              <w:rPr>
                <w:rFonts w:hint="eastAsia" w:asciiTheme="minorEastAsia" w:hAnsiTheme="minorEastAsia" w:eastAsiaTheme="minorEastAsia"/>
                <w:sz w:val="21"/>
                <w:szCs w:val="18"/>
              </w:rPr>
              <w:t>项目组成员具有高级职称的，每个得2分，最高可得6分；</w:t>
            </w:r>
          </w:p>
          <w:p>
            <w:pPr>
              <w:spacing w:before="120"/>
              <w:rPr>
                <w:rFonts w:asciiTheme="minorEastAsia" w:hAnsiTheme="minorEastAsia" w:eastAsiaTheme="minorEastAsia"/>
                <w:strike/>
                <w:sz w:val="21"/>
                <w:szCs w:val="18"/>
              </w:rPr>
            </w:pPr>
            <w:r>
              <w:rPr>
                <w:rFonts w:asciiTheme="minorEastAsia" w:hAnsiTheme="minorEastAsia" w:eastAsiaTheme="minorEastAsia"/>
                <w:sz w:val="21"/>
                <w:szCs w:val="18"/>
              </w:rPr>
              <w:t xml:space="preserve">2. </w:t>
            </w:r>
            <w:r>
              <w:rPr>
                <w:rFonts w:hint="eastAsia" w:asciiTheme="minorEastAsia" w:hAnsiTheme="minorEastAsia" w:eastAsiaTheme="minorEastAsia"/>
                <w:sz w:val="21"/>
                <w:szCs w:val="18"/>
              </w:rPr>
              <w:t>项目组成员具有中级职称的，每个得1分，最高可得2分。</w:t>
            </w:r>
          </w:p>
          <w:p>
            <w:pPr>
              <w:spacing w:before="120"/>
              <w:rPr>
                <w:rFonts w:asciiTheme="minorEastAsia" w:hAnsiTheme="minorEastAsia" w:eastAsiaTheme="minorEastAsia"/>
                <w:sz w:val="21"/>
                <w:szCs w:val="18"/>
              </w:rPr>
            </w:pPr>
            <w:r>
              <w:rPr>
                <w:rFonts w:hint="eastAsia" w:asciiTheme="minorEastAsia" w:hAnsiTheme="minorEastAsia" w:eastAsiaTheme="minorEastAsia"/>
                <w:sz w:val="21"/>
                <w:szCs w:val="18"/>
              </w:rPr>
              <w:t>【注：提供职称证复印件并加盖响应供应商公章，并提供社保部门出具所提供人员近半年在本单位购买社保的证明文件复印件，不提供不得分】</w:t>
            </w:r>
          </w:p>
        </w:tc>
        <w:tc>
          <w:tcPr>
            <w:tcW w:w="1211" w:type="dxa"/>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jc w:val="center"/>
        </w:trPr>
        <w:tc>
          <w:tcPr>
            <w:tcW w:w="9286" w:type="dxa"/>
            <w:gridSpan w:val="4"/>
            <w:vAlign w:val="center"/>
          </w:tcPr>
          <w:p>
            <w:pPr>
              <w:spacing w:before="120"/>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合计：</w:t>
            </w:r>
            <w:r>
              <w:rPr>
                <w:rFonts w:asciiTheme="minorEastAsia" w:hAnsiTheme="minorEastAsia" w:eastAsiaTheme="minorEastAsia"/>
                <w:sz w:val="21"/>
                <w:szCs w:val="18"/>
              </w:rPr>
              <w:t>60</w:t>
            </w:r>
            <w:r>
              <w:rPr>
                <w:rFonts w:hint="eastAsia" w:asciiTheme="minorEastAsia" w:hAnsiTheme="minorEastAsia" w:eastAsiaTheme="minorEastAsia"/>
                <w:sz w:val="21"/>
                <w:szCs w:val="18"/>
              </w:rPr>
              <w:t>分</w:t>
            </w:r>
          </w:p>
        </w:tc>
      </w:tr>
    </w:tbl>
    <w:p>
      <w:pPr>
        <w:spacing w:before="120"/>
        <w:ind w:firstLine="480"/>
      </w:pPr>
    </w:p>
    <w:p>
      <w:pPr>
        <w:pStyle w:val="15"/>
        <w:tabs>
          <w:tab w:val="left" w:pos="3675"/>
        </w:tabs>
        <w:snapToGrid w:val="0"/>
        <w:spacing w:before="120" w:after="0" w:line="360" w:lineRule="auto"/>
        <w:ind w:left="0" w:leftChars="0" w:firstLine="480"/>
        <w:jc w:val="center"/>
        <w:rPr>
          <w:rFonts w:ascii="黑体" w:hAnsi="黑体" w:eastAsia="黑体"/>
          <w:bCs/>
        </w:rPr>
      </w:pPr>
      <w:r>
        <w:rPr>
          <w:rFonts w:hint="eastAsia" w:ascii="黑体" w:hAnsi="黑体" w:eastAsia="黑体"/>
          <w:bCs/>
          <w:sz w:val="24"/>
        </w:rPr>
        <w:t>表</w:t>
      </w:r>
      <w:r>
        <w:rPr>
          <w:rFonts w:ascii="黑体" w:hAnsi="黑体" w:eastAsia="黑体"/>
          <w:bCs/>
          <w:sz w:val="24"/>
        </w:rPr>
        <w:t xml:space="preserve">2 </w:t>
      </w:r>
      <w:r>
        <w:rPr>
          <w:rFonts w:hint="eastAsia" w:ascii="黑体" w:hAnsi="黑体" w:eastAsia="黑体"/>
          <w:bCs/>
          <w:sz w:val="24"/>
        </w:rPr>
        <w:t>商务评分表</w:t>
      </w:r>
    </w:p>
    <w:tbl>
      <w:tblPr>
        <w:tblStyle w:val="23"/>
        <w:tblW w:w="92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6"/>
        <w:gridCol w:w="812"/>
        <w:gridCol w:w="6690"/>
        <w:gridCol w:w="1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jc w:val="center"/>
        </w:trPr>
        <w:tc>
          <w:tcPr>
            <w:tcW w:w="566" w:type="dxa"/>
            <w:shd w:val="clear" w:color="auto" w:fill="EEECE1"/>
            <w:vAlign w:val="center"/>
          </w:tcPr>
          <w:p>
            <w:pPr>
              <w:spacing w:before="120" w:line="300" w:lineRule="exact"/>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序号</w:t>
            </w:r>
          </w:p>
        </w:tc>
        <w:tc>
          <w:tcPr>
            <w:tcW w:w="812" w:type="dxa"/>
            <w:shd w:val="clear" w:color="auto" w:fill="EEECE1"/>
            <w:vAlign w:val="center"/>
          </w:tcPr>
          <w:p>
            <w:pPr>
              <w:spacing w:before="120" w:line="300" w:lineRule="exact"/>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评审项目</w:t>
            </w:r>
          </w:p>
        </w:tc>
        <w:tc>
          <w:tcPr>
            <w:tcW w:w="6690" w:type="dxa"/>
            <w:shd w:val="clear" w:color="auto" w:fill="EEECE1"/>
            <w:vAlign w:val="center"/>
          </w:tcPr>
          <w:p>
            <w:pPr>
              <w:spacing w:before="120" w:line="300" w:lineRule="exact"/>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评分范围</w:t>
            </w:r>
          </w:p>
        </w:tc>
        <w:tc>
          <w:tcPr>
            <w:tcW w:w="1218" w:type="dxa"/>
            <w:shd w:val="clear" w:color="auto" w:fill="EEECE1"/>
            <w:vAlign w:val="center"/>
          </w:tcPr>
          <w:p>
            <w:pPr>
              <w:spacing w:before="120" w:line="300" w:lineRule="exact"/>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最高分值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7" w:hRule="atLeast"/>
          <w:jc w:val="center"/>
        </w:trPr>
        <w:tc>
          <w:tcPr>
            <w:tcW w:w="566" w:type="dxa"/>
            <w:vAlign w:val="center"/>
          </w:tcPr>
          <w:p>
            <w:pPr>
              <w:spacing w:before="120" w:line="300" w:lineRule="exact"/>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1</w:t>
            </w:r>
          </w:p>
        </w:tc>
        <w:tc>
          <w:tcPr>
            <w:tcW w:w="812" w:type="dxa"/>
            <w:vAlign w:val="center"/>
          </w:tcPr>
          <w:p>
            <w:pPr>
              <w:spacing w:before="120" w:line="300" w:lineRule="exact"/>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服务业绩</w:t>
            </w:r>
          </w:p>
        </w:tc>
        <w:tc>
          <w:tcPr>
            <w:tcW w:w="6690" w:type="dxa"/>
            <w:vAlign w:val="center"/>
          </w:tcPr>
          <w:p>
            <w:pPr>
              <w:spacing w:before="120" w:line="300" w:lineRule="exact"/>
              <w:rPr>
                <w:rFonts w:asciiTheme="minorEastAsia" w:hAnsiTheme="minorEastAsia" w:eastAsiaTheme="minorEastAsia"/>
                <w:bCs/>
                <w:sz w:val="21"/>
                <w:szCs w:val="18"/>
              </w:rPr>
            </w:pPr>
            <w:r>
              <w:rPr>
                <w:rFonts w:hint="eastAsia" w:asciiTheme="minorEastAsia" w:hAnsiTheme="minorEastAsia" w:eastAsiaTheme="minorEastAsia"/>
                <w:bCs/>
                <w:sz w:val="21"/>
                <w:szCs w:val="18"/>
              </w:rPr>
              <w:t>响应供应商提供</w:t>
            </w:r>
            <w:r>
              <w:rPr>
                <w:rFonts w:hint="eastAsia" w:asciiTheme="minorEastAsia" w:hAnsiTheme="minorEastAsia" w:eastAsiaTheme="minorEastAsia"/>
                <w:sz w:val="21"/>
                <w:szCs w:val="18"/>
              </w:rPr>
              <w:t>自2</w:t>
            </w:r>
            <w:r>
              <w:rPr>
                <w:rFonts w:asciiTheme="minorEastAsia" w:hAnsiTheme="minorEastAsia" w:eastAsiaTheme="minorEastAsia"/>
                <w:sz w:val="21"/>
                <w:szCs w:val="18"/>
              </w:rPr>
              <w:t>017</w:t>
            </w:r>
            <w:r>
              <w:rPr>
                <w:rFonts w:hint="eastAsia" w:asciiTheme="minorEastAsia" w:hAnsiTheme="minorEastAsia" w:eastAsiaTheme="minorEastAsia"/>
                <w:sz w:val="21"/>
                <w:szCs w:val="18"/>
              </w:rPr>
              <w:t>年至今、</w:t>
            </w:r>
            <w:r>
              <w:rPr>
                <w:rFonts w:hint="eastAsia" w:asciiTheme="minorEastAsia" w:hAnsiTheme="minorEastAsia" w:eastAsiaTheme="minorEastAsia"/>
                <w:bCs/>
                <w:sz w:val="21"/>
                <w:szCs w:val="18"/>
              </w:rPr>
              <w:t>通过验收的相关服务业绩，每提供一个业绩得2分，最高6分。</w:t>
            </w:r>
          </w:p>
          <w:p>
            <w:pPr>
              <w:spacing w:before="120" w:line="300" w:lineRule="exact"/>
              <w:rPr>
                <w:rFonts w:asciiTheme="minorEastAsia" w:hAnsiTheme="minorEastAsia" w:eastAsiaTheme="minorEastAsia"/>
                <w:bCs/>
                <w:sz w:val="21"/>
                <w:szCs w:val="18"/>
              </w:rPr>
            </w:pPr>
            <w:r>
              <w:rPr>
                <w:rFonts w:hint="eastAsia" w:asciiTheme="minorEastAsia" w:hAnsiTheme="minorEastAsia" w:eastAsiaTheme="minorEastAsia"/>
                <w:bCs/>
                <w:sz w:val="21"/>
                <w:szCs w:val="18"/>
              </w:rPr>
              <w:t>需提供业绩清单、合同复印件、中标（成交）通知书以及验收报告复印件等证明资料，未能提供业绩证明材料或材料不完整的，其业绩不予认定。</w:t>
            </w:r>
          </w:p>
        </w:tc>
        <w:tc>
          <w:tcPr>
            <w:tcW w:w="1218" w:type="dxa"/>
            <w:vAlign w:val="center"/>
          </w:tcPr>
          <w:p>
            <w:pPr>
              <w:spacing w:before="120" w:line="300" w:lineRule="exact"/>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0" w:hRule="atLeast"/>
          <w:jc w:val="center"/>
        </w:trPr>
        <w:tc>
          <w:tcPr>
            <w:tcW w:w="566" w:type="dxa"/>
            <w:vAlign w:val="center"/>
          </w:tcPr>
          <w:p>
            <w:pPr>
              <w:spacing w:before="120" w:line="300" w:lineRule="exact"/>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2</w:t>
            </w:r>
          </w:p>
        </w:tc>
        <w:tc>
          <w:tcPr>
            <w:tcW w:w="812" w:type="dxa"/>
            <w:vAlign w:val="center"/>
          </w:tcPr>
          <w:p>
            <w:pPr>
              <w:spacing w:before="120" w:line="300" w:lineRule="exact"/>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科研能力</w:t>
            </w:r>
          </w:p>
        </w:tc>
        <w:tc>
          <w:tcPr>
            <w:tcW w:w="6690" w:type="dxa"/>
            <w:vAlign w:val="center"/>
          </w:tcPr>
          <w:p>
            <w:pPr>
              <w:autoSpaceDE w:val="0"/>
              <w:autoSpaceDN w:val="0"/>
              <w:adjustRightInd w:val="0"/>
              <w:spacing w:before="120" w:line="380" w:lineRule="exact"/>
              <w:ind w:right="6"/>
              <w:rPr>
                <w:rFonts w:asciiTheme="minorEastAsia" w:hAnsiTheme="minorEastAsia" w:eastAsiaTheme="minorEastAsia"/>
                <w:bCs/>
                <w:sz w:val="21"/>
                <w:szCs w:val="18"/>
              </w:rPr>
            </w:pPr>
            <w:r>
              <w:rPr>
                <w:rFonts w:hint="eastAsia" w:asciiTheme="minorEastAsia" w:hAnsiTheme="minorEastAsia" w:eastAsiaTheme="minorEastAsia"/>
                <w:bCs/>
                <w:sz w:val="21"/>
                <w:szCs w:val="18"/>
              </w:rPr>
              <w:t>项目成员在近5年有相关服务项目的成果发表，服务项目按照VOCs、PM2.5源解析、OC的放射性碳同位素、EC的放射性同位素、硝酸根同位素、铵离子同位素和硫酸根同位素分7项，每符合1项得2分，最多得</w:t>
            </w:r>
            <w:r>
              <w:rPr>
                <w:rFonts w:asciiTheme="minorEastAsia" w:hAnsiTheme="minorEastAsia" w:eastAsiaTheme="minorEastAsia"/>
                <w:bCs/>
                <w:sz w:val="21"/>
                <w:szCs w:val="18"/>
              </w:rPr>
              <w:t>1</w:t>
            </w:r>
            <w:r>
              <w:rPr>
                <w:rFonts w:hint="eastAsia" w:asciiTheme="minorEastAsia" w:hAnsiTheme="minorEastAsia" w:eastAsiaTheme="minorEastAsia"/>
                <w:bCs/>
                <w:sz w:val="21"/>
                <w:szCs w:val="18"/>
              </w:rPr>
              <w:t>4分。</w:t>
            </w:r>
          </w:p>
          <w:p>
            <w:pPr>
              <w:spacing w:before="120" w:line="300" w:lineRule="exact"/>
              <w:rPr>
                <w:rFonts w:asciiTheme="minorEastAsia" w:hAnsiTheme="minorEastAsia" w:eastAsiaTheme="minorEastAsia"/>
                <w:sz w:val="21"/>
                <w:szCs w:val="18"/>
              </w:rPr>
            </w:pPr>
            <w:r>
              <w:rPr>
                <w:rFonts w:hint="eastAsia" w:asciiTheme="minorEastAsia" w:hAnsiTheme="minorEastAsia" w:eastAsiaTheme="minorEastAsia"/>
                <w:sz w:val="21"/>
                <w:szCs w:val="18"/>
              </w:rPr>
              <w:t>【提供上述证书或证明文件复印件作为评审依据，否则不得分。】</w:t>
            </w:r>
          </w:p>
        </w:tc>
        <w:tc>
          <w:tcPr>
            <w:tcW w:w="1218" w:type="dxa"/>
            <w:vAlign w:val="center"/>
          </w:tcPr>
          <w:p>
            <w:pPr>
              <w:spacing w:before="120" w:line="300" w:lineRule="exact"/>
              <w:jc w:val="center"/>
              <w:rPr>
                <w:rFonts w:asciiTheme="minorEastAsia" w:hAnsiTheme="minorEastAsia" w:eastAsiaTheme="minorEastAsia"/>
                <w:sz w:val="21"/>
                <w:szCs w:val="18"/>
              </w:rPr>
            </w:pPr>
            <w:r>
              <w:rPr>
                <w:rFonts w:asciiTheme="minorEastAsia" w:hAnsiTheme="minorEastAsia" w:eastAsiaTheme="minorEastAsia"/>
                <w:sz w:val="21"/>
                <w:szCs w:val="18"/>
              </w:rPr>
              <w:t>1</w:t>
            </w:r>
            <w:r>
              <w:rPr>
                <w:rFonts w:hint="eastAsia" w:asciiTheme="minorEastAsia" w:hAnsiTheme="minorEastAsia" w:eastAsiaTheme="minorEastAsia"/>
                <w:sz w:val="21"/>
                <w:szCs w:val="18"/>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9" w:hRule="atLeast"/>
          <w:jc w:val="center"/>
        </w:trPr>
        <w:tc>
          <w:tcPr>
            <w:tcW w:w="9286" w:type="dxa"/>
            <w:gridSpan w:val="4"/>
            <w:vAlign w:val="center"/>
          </w:tcPr>
          <w:p>
            <w:pPr>
              <w:spacing w:before="120" w:line="300" w:lineRule="exact"/>
              <w:jc w:val="center"/>
              <w:rPr>
                <w:rFonts w:asciiTheme="minorEastAsia" w:hAnsiTheme="minorEastAsia" w:eastAsiaTheme="minorEastAsia"/>
                <w:sz w:val="21"/>
                <w:szCs w:val="18"/>
              </w:rPr>
            </w:pPr>
            <w:r>
              <w:rPr>
                <w:rFonts w:hint="eastAsia" w:asciiTheme="minorEastAsia" w:hAnsiTheme="minorEastAsia" w:eastAsiaTheme="minorEastAsia"/>
                <w:sz w:val="21"/>
                <w:szCs w:val="18"/>
              </w:rPr>
              <w:t>合计：</w:t>
            </w:r>
            <w:r>
              <w:rPr>
                <w:rFonts w:asciiTheme="minorEastAsia" w:hAnsiTheme="minorEastAsia" w:eastAsiaTheme="minorEastAsia"/>
                <w:sz w:val="21"/>
                <w:szCs w:val="18"/>
              </w:rPr>
              <w:t>20</w:t>
            </w:r>
            <w:r>
              <w:rPr>
                <w:rFonts w:hint="eastAsia" w:asciiTheme="minorEastAsia" w:hAnsiTheme="minorEastAsia" w:eastAsiaTheme="minorEastAsia"/>
                <w:sz w:val="21"/>
                <w:szCs w:val="18"/>
              </w:rPr>
              <w:t>分</w:t>
            </w:r>
          </w:p>
        </w:tc>
      </w:tr>
    </w:tbl>
    <w:p>
      <w:pPr>
        <w:pStyle w:val="15"/>
        <w:tabs>
          <w:tab w:val="left" w:pos="3675"/>
        </w:tabs>
        <w:snapToGrid w:val="0"/>
        <w:spacing w:before="120" w:after="0" w:line="360" w:lineRule="auto"/>
        <w:ind w:left="0" w:leftChars="0" w:firstLine="480"/>
        <w:jc w:val="center"/>
        <w:rPr>
          <w:rFonts w:ascii="黑体" w:hAnsi="黑体" w:eastAsia="黑体"/>
          <w:bCs/>
          <w:sz w:val="24"/>
        </w:rPr>
      </w:pPr>
    </w:p>
    <w:p>
      <w:pPr>
        <w:pStyle w:val="15"/>
        <w:tabs>
          <w:tab w:val="left" w:pos="3675"/>
        </w:tabs>
        <w:snapToGrid w:val="0"/>
        <w:spacing w:before="120" w:after="0" w:line="360" w:lineRule="auto"/>
        <w:ind w:left="0" w:leftChars="0" w:firstLine="480"/>
        <w:jc w:val="center"/>
        <w:rPr>
          <w:rFonts w:ascii="黑体" w:hAnsi="黑体" w:eastAsia="黑体"/>
          <w:bCs/>
        </w:rPr>
      </w:pPr>
      <w:r>
        <w:rPr>
          <w:rFonts w:hint="eastAsia" w:ascii="黑体" w:hAnsi="黑体" w:eastAsia="黑体"/>
          <w:bCs/>
          <w:sz w:val="24"/>
        </w:rPr>
        <w:t>表</w:t>
      </w:r>
      <w:r>
        <w:rPr>
          <w:rFonts w:ascii="黑体" w:hAnsi="黑体" w:eastAsia="黑体"/>
          <w:bCs/>
          <w:sz w:val="24"/>
        </w:rPr>
        <w:t xml:space="preserve">3 </w:t>
      </w:r>
      <w:r>
        <w:rPr>
          <w:rFonts w:hint="eastAsia" w:ascii="黑体" w:hAnsi="黑体" w:eastAsia="黑体"/>
          <w:bCs/>
          <w:sz w:val="24"/>
        </w:rPr>
        <w:t>价格评审表</w:t>
      </w:r>
    </w:p>
    <w:tbl>
      <w:tblPr>
        <w:tblStyle w:val="23"/>
        <w:tblW w:w="9702"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657"/>
        <w:gridCol w:w="704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99" w:hRule="atLeast"/>
          <w:tblHeader/>
          <w:jc w:val="center"/>
        </w:trPr>
        <w:tc>
          <w:tcPr>
            <w:tcW w:w="2657" w:type="dxa"/>
            <w:shd w:val="clear" w:color="auto" w:fill="EEECE1"/>
            <w:vAlign w:val="center"/>
          </w:tcPr>
          <w:p>
            <w:pPr>
              <w:spacing w:before="120"/>
              <w:ind w:firstLine="482"/>
              <w:jc w:val="center"/>
              <w:rPr>
                <w:rFonts w:ascii="宋体" w:hAnsi="宋体" w:cs="宋体"/>
                <w:b/>
                <w:bCs/>
                <w:sz w:val="21"/>
                <w:szCs w:val="18"/>
              </w:rPr>
            </w:pPr>
            <w:r>
              <w:rPr>
                <w:rFonts w:hint="eastAsia" w:ascii="宋体" w:hAnsi="宋体" w:cs="宋体"/>
                <w:b/>
                <w:bCs/>
                <w:sz w:val="21"/>
                <w:szCs w:val="18"/>
              </w:rPr>
              <w:t>评分项目</w:t>
            </w:r>
          </w:p>
        </w:tc>
        <w:tc>
          <w:tcPr>
            <w:tcW w:w="7045" w:type="dxa"/>
            <w:shd w:val="clear" w:color="auto" w:fill="EEECE1"/>
            <w:vAlign w:val="center"/>
          </w:tcPr>
          <w:p>
            <w:pPr>
              <w:spacing w:before="120"/>
              <w:ind w:firstLine="482"/>
              <w:jc w:val="center"/>
              <w:rPr>
                <w:rFonts w:ascii="宋体" w:hAnsi="宋体" w:cs="宋体"/>
                <w:b/>
                <w:bCs/>
                <w:sz w:val="21"/>
                <w:szCs w:val="18"/>
              </w:rPr>
            </w:pPr>
            <w:r>
              <w:rPr>
                <w:rFonts w:hint="eastAsia" w:ascii="宋体" w:hAnsi="宋体" w:cs="宋体"/>
                <w:b/>
                <w:bCs/>
                <w:sz w:val="21"/>
                <w:szCs w:val="18"/>
              </w:rPr>
              <w:t>评分标准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187" w:hRule="atLeast"/>
          <w:tblHeader/>
          <w:jc w:val="center"/>
        </w:trPr>
        <w:tc>
          <w:tcPr>
            <w:tcW w:w="2657" w:type="dxa"/>
            <w:vAlign w:val="center"/>
          </w:tcPr>
          <w:p>
            <w:pPr>
              <w:spacing w:before="120"/>
              <w:ind w:firstLine="480"/>
              <w:jc w:val="center"/>
              <w:rPr>
                <w:rFonts w:ascii="宋体" w:hAnsi="宋体" w:cs="宋体"/>
                <w:sz w:val="21"/>
                <w:szCs w:val="18"/>
              </w:rPr>
            </w:pPr>
            <w:r>
              <w:rPr>
                <w:rFonts w:hint="eastAsia" w:ascii="宋体" w:hAnsi="宋体" w:cs="宋体"/>
                <w:sz w:val="21"/>
                <w:szCs w:val="18"/>
              </w:rPr>
              <w:t>投标总价</w:t>
            </w:r>
          </w:p>
        </w:tc>
        <w:tc>
          <w:tcPr>
            <w:tcW w:w="7045" w:type="dxa"/>
            <w:vAlign w:val="center"/>
          </w:tcPr>
          <w:p>
            <w:pPr>
              <w:spacing w:before="120"/>
              <w:ind w:firstLine="480"/>
              <w:jc w:val="center"/>
              <w:rPr>
                <w:rFonts w:ascii="宋体" w:hAnsi="宋体" w:cs="宋体"/>
                <w:sz w:val="21"/>
                <w:szCs w:val="18"/>
              </w:rPr>
            </w:pPr>
            <w:r>
              <w:rPr>
                <w:rFonts w:hint="eastAsia" w:ascii="宋体" w:hAnsi="宋体" w:cs="宋体"/>
                <w:sz w:val="21"/>
                <w:szCs w:val="18"/>
              </w:rPr>
              <w:t>投标报价得分</w:t>
            </w:r>
            <w:r>
              <w:rPr>
                <w:rFonts w:ascii="宋体" w:hAnsi="宋体" w:cs="宋体"/>
                <w:sz w:val="21"/>
                <w:szCs w:val="18"/>
              </w:rPr>
              <w:t xml:space="preserve">=(评标基准价/投标报价) </w:t>
            </w:r>
            <w:r>
              <w:rPr>
                <w:rFonts w:hint="eastAsia" w:ascii="宋体" w:hAnsi="宋体" w:cs="宋体"/>
                <w:sz w:val="21"/>
                <w:szCs w:val="18"/>
              </w:rPr>
              <w:t>×价格分值</w:t>
            </w:r>
          </w:p>
        </w:tc>
      </w:tr>
    </w:tbl>
    <w:p>
      <w:pPr>
        <w:adjustRightInd w:val="0"/>
        <w:snapToGrid w:val="0"/>
        <w:spacing w:before="240" w:beforeLines="100"/>
        <w:ind w:firstLine="480"/>
        <w:rPr>
          <w:rFonts w:ascii="宋体" w:hAnsi="宋体" w:cs="宋体"/>
        </w:rPr>
      </w:pPr>
      <w:r>
        <w:rPr>
          <w:rFonts w:hint="eastAsia" w:ascii="宋体" w:hAnsi="宋体" w:cs="宋体"/>
        </w:rPr>
        <w:t>价格分计算方法：满足招标文件要求且投标价格最低的投标报价（小型，微型企业按折后价格为准）为评标基准价，其价格分为满分。其他投标人的价格分统一按照下列公式计算：投标报价得分=(评标基准价／投标报价)×价格分值。</w:t>
      </w:r>
    </w:p>
    <w:p>
      <w:pPr>
        <w:jc w:val="center"/>
        <w:rPr>
          <w:lang w:bidi="th-TH"/>
        </w:rPr>
      </w:pPr>
    </w:p>
    <w:sectPr>
      <w:headerReference r:id="rId5" w:type="first"/>
      <w:footerReference r:id="rId8" w:type="first"/>
      <w:headerReference r:id="rId3" w:type="default"/>
      <w:footerReference r:id="rId6" w:type="default"/>
      <w:headerReference r:id="rId4" w:type="even"/>
      <w:footerReference r:id="rId7" w:type="even"/>
      <w:pgSz w:w="11906" w:h="16838"/>
      <w:pgMar w:top="1276" w:right="1276" w:bottom="1276" w:left="1276" w:header="851" w:footer="85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Light">
    <w:altName w:val="宋体"/>
    <w:panose1 w:val="00000000000000000000"/>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16" w:usb3="00000000" w:csb0="0004000F" w:csb1="00000000"/>
  </w:font>
  <w:font w:name="Cambria">
    <w:panose1 w:val="02040503050406030204"/>
    <w:charset w:val="00"/>
    <w:family w:val="roman"/>
    <w:pitch w:val="default"/>
    <w:sig w:usb0="A00002EF" w:usb1="4000004B" w:usb2="00000000" w:usb3="00000000" w:csb0="2000009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420"/>
      <w:jc w:val="center"/>
      <w:rPr>
        <w:sz w:val="21"/>
        <w:szCs w:val="21"/>
      </w:rPr>
    </w:pPr>
    <w:r>
      <w:rPr>
        <w:rFonts w:hint="eastAsia"/>
        <w:sz w:val="21"/>
        <w:szCs w:val="21"/>
      </w:rPr>
      <w:t xml:space="preserve">- </w:t>
    </w:r>
    <w:r>
      <w:rPr>
        <w:sz w:val="21"/>
        <w:szCs w:val="21"/>
      </w:rPr>
      <w:fldChar w:fldCharType="begin"/>
    </w:r>
    <w:r>
      <w:rPr>
        <w:rStyle w:val="21"/>
        <w:sz w:val="21"/>
        <w:szCs w:val="21"/>
      </w:rPr>
      <w:instrText xml:space="preserve"> PAGE </w:instrText>
    </w:r>
    <w:r>
      <w:rPr>
        <w:sz w:val="21"/>
        <w:szCs w:val="21"/>
      </w:rPr>
      <w:fldChar w:fldCharType="separate"/>
    </w:r>
    <w:r>
      <w:rPr>
        <w:rStyle w:val="21"/>
        <w:sz w:val="21"/>
        <w:szCs w:val="21"/>
      </w:rPr>
      <w:t>2</w:t>
    </w:r>
    <w:r>
      <w:rPr>
        <w:sz w:val="21"/>
        <w:szCs w:val="21"/>
      </w:rPr>
      <w:fldChar w:fldCharType="end"/>
    </w:r>
    <w:r>
      <w:rPr>
        <w:rFonts w:hint="eastAsia"/>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F3177"/>
    <w:multiLevelType w:val="multilevel"/>
    <w:tmpl w:val="0ADF3177"/>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1">
    <w:nsid w:val="0AF50275"/>
    <w:multiLevelType w:val="multilevel"/>
    <w:tmpl w:val="0AF50275"/>
    <w:lvl w:ilvl="0" w:tentative="0">
      <w:start w:val="1"/>
      <w:numFmt w:val="decimal"/>
      <w:pStyle w:val="49"/>
      <w:suff w:val="space"/>
      <w:lvlText w:val="%1"/>
      <w:lvlJc w:val="left"/>
      <w:pPr>
        <w:tabs>
          <w:tab w:val="left" w:pos="425"/>
        </w:tabs>
        <w:ind w:left="0" w:firstLine="0"/>
      </w:pPr>
    </w:lvl>
    <w:lvl w:ilvl="1" w:tentative="0">
      <w:start w:val="1"/>
      <w:numFmt w:val="decimal"/>
      <w:suff w:val="space"/>
      <w:lvlText w:val="%1.%2"/>
      <w:lvlJc w:val="left"/>
      <w:pPr>
        <w:tabs>
          <w:tab w:val="left" w:pos="992"/>
        </w:tabs>
        <w:ind w:left="0" w:firstLine="0"/>
      </w:pPr>
    </w:lvl>
    <w:lvl w:ilvl="2" w:tentative="0">
      <w:start w:val="1"/>
      <w:numFmt w:val="decimal"/>
      <w:suff w:val="space"/>
      <w:lvlText w:val="%1.%2.%3"/>
      <w:lvlJc w:val="left"/>
      <w:pPr>
        <w:tabs>
          <w:tab w:val="left" w:pos="1418"/>
        </w:tabs>
        <w:ind w:left="0" w:firstLine="0"/>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193546A8"/>
    <w:multiLevelType w:val="multilevel"/>
    <w:tmpl w:val="193546A8"/>
    <w:lvl w:ilvl="0" w:tentative="0">
      <w:start w:val="1"/>
      <w:numFmt w:val="chineseCountingThousand"/>
      <w:lvlText w:val="第%1章"/>
      <w:lvlJc w:val="left"/>
      <w:pPr>
        <w:tabs>
          <w:tab w:val="left" w:pos="1582"/>
        </w:tabs>
        <w:ind w:left="574" w:hanging="432"/>
      </w:pPr>
      <w:rPr>
        <w:rFonts w:hint="eastAsia" w:ascii="黑体" w:hAnsi="Arial" w:eastAsia="黑体" w:cs="Arial"/>
      </w:rPr>
    </w:lvl>
    <w:lvl w:ilvl="1" w:tentative="0">
      <w:start w:val="1"/>
      <w:numFmt w:val="decimal"/>
      <w:pStyle w:val="55"/>
      <w:isLgl/>
      <w:lvlText w:val="%1.%2"/>
      <w:lvlJc w:val="left"/>
      <w:pPr>
        <w:tabs>
          <w:tab w:val="left" w:pos="576"/>
        </w:tabs>
        <w:ind w:left="576" w:hanging="576"/>
      </w:pPr>
      <w:rPr>
        <w:rFonts w:hint="default" w:ascii="Arial" w:hAnsi="Arial" w:cs="Arial"/>
      </w:rPr>
    </w:lvl>
    <w:lvl w:ilvl="2" w:tentative="0">
      <w:start w:val="1"/>
      <w:numFmt w:val="decimal"/>
      <w:isLgl/>
      <w:suff w:val="nothing"/>
      <w:lvlText w:val="%1.%2.%3 "/>
      <w:lvlJc w:val="left"/>
      <w:pPr>
        <w:ind w:left="964" w:hanging="964"/>
      </w:pPr>
      <w:rPr>
        <w:rFonts w:hint="default" w:ascii="Arial" w:hAnsi="Arial" w:cs="Arial"/>
        <w:b/>
        <w:i w:val="0"/>
      </w:rPr>
    </w:lvl>
    <w:lvl w:ilvl="3" w:tentative="0">
      <w:start w:val="1"/>
      <w:numFmt w:val="decimal"/>
      <w:isLgl/>
      <w:suff w:val="nothing"/>
      <w:lvlText w:val="%1.%2.%3.%4 "/>
      <w:lvlJc w:val="left"/>
      <w:pPr>
        <w:ind w:left="0" w:firstLine="0"/>
      </w:pPr>
      <w:rPr>
        <w:rFonts w:hint="default" w:ascii="Arial" w:hAnsi="Arial" w:eastAsia="黑体" w:cs="Arial"/>
        <w:b w:val="0"/>
        <w:i w:val="0"/>
        <w:snapToGrid/>
        <w:spacing w:val="0"/>
        <w:kern w:val="28"/>
        <w:position w:val="0"/>
        <w:sz w:val="28"/>
        <w:szCs w:val="28"/>
      </w:rPr>
    </w:lvl>
    <w:lvl w:ilvl="4" w:tentative="0">
      <w:start w:val="1"/>
      <w:numFmt w:val="decimal"/>
      <w:lvlText w:val="%5"/>
      <w:lvlJc w:val="left"/>
      <w:pPr>
        <w:tabs>
          <w:tab w:val="left" w:pos="1008"/>
        </w:tabs>
        <w:ind w:left="1008" w:hanging="1008"/>
      </w:pPr>
      <w:rPr>
        <w:rFonts w:hint="default" w:ascii="Arial" w:hAnsi="Arial" w:cs="Arial"/>
        <w:sz w:val="28"/>
        <w:szCs w:val="28"/>
      </w:rPr>
    </w:lvl>
    <w:lvl w:ilvl="5" w:tentative="0">
      <w:start w:val="1"/>
      <w:numFmt w:val="decimal"/>
      <w:lvlText w:val="%1.%2.%3.%4.%5.%6"/>
      <w:lvlJc w:val="left"/>
      <w:pPr>
        <w:tabs>
          <w:tab w:val="left" w:pos="1294"/>
        </w:tabs>
        <w:ind w:left="1294"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3">
    <w:nsid w:val="1EF30551"/>
    <w:multiLevelType w:val="multilevel"/>
    <w:tmpl w:val="1EF30551"/>
    <w:lvl w:ilvl="0" w:tentative="0">
      <w:start w:val="1"/>
      <w:numFmt w:val="decimal"/>
      <w:pStyle w:val="2"/>
      <w:lvlText w:val="%1"/>
      <w:lvlJc w:val="left"/>
      <w:pPr>
        <w:ind w:left="425" w:hanging="425"/>
      </w:pPr>
      <w:rPr>
        <w:rFonts w:hint="eastAsia"/>
      </w:rPr>
    </w:lvl>
    <w:lvl w:ilvl="1" w:tentative="0">
      <w:start w:val="1"/>
      <w:numFmt w:val="decimal"/>
      <w:pStyle w:val="3"/>
      <w:lvlText w:val="%1.%2"/>
      <w:lvlJc w:val="left"/>
      <w:pPr>
        <w:ind w:left="425" w:hanging="425"/>
      </w:pPr>
      <w:rPr>
        <w:rFonts w:hint="eastAsia"/>
      </w:rPr>
    </w:lvl>
    <w:lvl w:ilvl="2" w:tentative="0">
      <w:start w:val="1"/>
      <w:numFmt w:val="decimal"/>
      <w:pStyle w:val="4"/>
      <w:lvlText w:val="%1.%2.%3"/>
      <w:lvlJc w:val="left"/>
      <w:pPr>
        <w:ind w:left="425" w:hanging="425"/>
      </w:pPr>
      <w:rPr>
        <w:rFonts w:hint="eastAsia"/>
      </w:rPr>
    </w:lvl>
    <w:lvl w:ilvl="3" w:tentative="0">
      <w:start w:val="1"/>
      <w:numFmt w:val="decimal"/>
      <w:pStyle w:val="5"/>
      <w:lvlText w:val="%1.%2.%3.%4"/>
      <w:lvlJc w:val="left"/>
      <w:pPr>
        <w:ind w:left="3544" w:hanging="425"/>
      </w:pPr>
      <w:rPr>
        <w:rFonts w:hint="eastAsia"/>
      </w:rPr>
    </w:lvl>
    <w:lvl w:ilvl="4" w:tentative="0">
      <w:start w:val="1"/>
      <w:numFmt w:val="decimal"/>
      <w:pStyle w:val="6"/>
      <w:lvlText w:val="%1.%2.%3.%4.%5"/>
      <w:lvlJc w:val="left"/>
      <w:pPr>
        <w:ind w:left="7939" w:hanging="425"/>
      </w:pPr>
      <w:rPr>
        <w:rFonts w:hint="eastAsia"/>
      </w:rPr>
    </w:lvl>
    <w:lvl w:ilvl="5" w:tentative="0">
      <w:start w:val="1"/>
      <w:numFmt w:val="decimal"/>
      <w:pStyle w:val="7"/>
      <w:lvlText w:val="%1.%2.%3.%4.%5.%6"/>
      <w:lvlJc w:val="left"/>
      <w:pPr>
        <w:ind w:left="425" w:hanging="425"/>
      </w:pPr>
      <w:rPr>
        <w:rFonts w:hint="eastAsia"/>
      </w:rPr>
    </w:lvl>
    <w:lvl w:ilvl="6" w:tentative="0">
      <w:start w:val="1"/>
      <w:numFmt w:val="decimal"/>
      <w:pStyle w:val="8"/>
      <w:lvlText w:val="%1.%2.%3.%4.%5.%6.%7"/>
      <w:lvlJc w:val="left"/>
      <w:pPr>
        <w:ind w:left="425" w:hanging="425"/>
      </w:pPr>
      <w:rPr>
        <w:rFonts w:hint="eastAsia"/>
      </w:rPr>
    </w:lvl>
    <w:lvl w:ilvl="7" w:tentative="0">
      <w:start w:val="1"/>
      <w:numFmt w:val="decimal"/>
      <w:pStyle w:val="9"/>
      <w:lvlText w:val="%1.%2.%3.%4.%5.%6.%7.%8"/>
      <w:lvlJc w:val="left"/>
      <w:pPr>
        <w:ind w:left="425" w:hanging="425"/>
      </w:pPr>
      <w:rPr>
        <w:rFonts w:hint="eastAsia"/>
      </w:rPr>
    </w:lvl>
    <w:lvl w:ilvl="8" w:tentative="0">
      <w:start w:val="1"/>
      <w:numFmt w:val="decimal"/>
      <w:pStyle w:val="10"/>
      <w:lvlText w:val="%1.%2.%3.%4.%5.%6.%7.%8.%9"/>
      <w:lvlJc w:val="left"/>
      <w:pPr>
        <w:ind w:left="425" w:hanging="425"/>
      </w:pPr>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F25"/>
    <w:rsid w:val="00001A98"/>
    <w:rsid w:val="00001ED5"/>
    <w:rsid w:val="000029BF"/>
    <w:rsid w:val="000172A1"/>
    <w:rsid w:val="00024DF5"/>
    <w:rsid w:val="00025DD4"/>
    <w:rsid w:val="000274BB"/>
    <w:rsid w:val="000303D0"/>
    <w:rsid w:val="000311A0"/>
    <w:rsid w:val="00040673"/>
    <w:rsid w:val="00042B6D"/>
    <w:rsid w:val="00047049"/>
    <w:rsid w:val="00047439"/>
    <w:rsid w:val="00047ED7"/>
    <w:rsid w:val="000555F0"/>
    <w:rsid w:val="0005638F"/>
    <w:rsid w:val="00056D26"/>
    <w:rsid w:val="00060349"/>
    <w:rsid w:val="000606A2"/>
    <w:rsid w:val="00065E7E"/>
    <w:rsid w:val="0006641F"/>
    <w:rsid w:val="000720E1"/>
    <w:rsid w:val="00072DB5"/>
    <w:rsid w:val="000745A9"/>
    <w:rsid w:val="00076A6B"/>
    <w:rsid w:val="00080FA2"/>
    <w:rsid w:val="00092D93"/>
    <w:rsid w:val="0009761D"/>
    <w:rsid w:val="000A1A98"/>
    <w:rsid w:val="000A2DFE"/>
    <w:rsid w:val="000A3BFE"/>
    <w:rsid w:val="000A6442"/>
    <w:rsid w:val="000B3067"/>
    <w:rsid w:val="000B664B"/>
    <w:rsid w:val="000B6DEB"/>
    <w:rsid w:val="000B761F"/>
    <w:rsid w:val="000C115B"/>
    <w:rsid w:val="000C4272"/>
    <w:rsid w:val="000C72C5"/>
    <w:rsid w:val="000D03FA"/>
    <w:rsid w:val="000D1CAC"/>
    <w:rsid w:val="000D5B0E"/>
    <w:rsid w:val="000D61BF"/>
    <w:rsid w:val="000D693E"/>
    <w:rsid w:val="000E1AF7"/>
    <w:rsid w:val="000F168E"/>
    <w:rsid w:val="000F3D48"/>
    <w:rsid w:val="000F3DC7"/>
    <w:rsid w:val="000F4D21"/>
    <w:rsid w:val="000F53A0"/>
    <w:rsid w:val="000F554E"/>
    <w:rsid w:val="00104813"/>
    <w:rsid w:val="00104D60"/>
    <w:rsid w:val="00105BA0"/>
    <w:rsid w:val="001105B6"/>
    <w:rsid w:val="0011384C"/>
    <w:rsid w:val="00121781"/>
    <w:rsid w:val="001235DF"/>
    <w:rsid w:val="00130C01"/>
    <w:rsid w:val="00133197"/>
    <w:rsid w:val="00135709"/>
    <w:rsid w:val="00135CD8"/>
    <w:rsid w:val="001368DC"/>
    <w:rsid w:val="001369CF"/>
    <w:rsid w:val="001376BF"/>
    <w:rsid w:val="001406A8"/>
    <w:rsid w:val="00141013"/>
    <w:rsid w:val="001447B1"/>
    <w:rsid w:val="00145BF2"/>
    <w:rsid w:val="001462DB"/>
    <w:rsid w:val="00146E14"/>
    <w:rsid w:val="00151E0C"/>
    <w:rsid w:val="00157DF0"/>
    <w:rsid w:val="00162921"/>
    <w:rsid w:val="0017307E"/>
    <w:rsid w:val="001735CE"/>
    <w:rsid w:val="00173ADE"/>
    <w:rsid w:val="00181210"/>
    <w:rsid w:val="00181EAB"/>
    <w:rsid w:val="0018443C"/>
    <w:rsid w:val="00187CA3"/>
    <w:rsid w:val="0019467D"/>
    <w:rsid w:val="00195680"/>
    <w:rsid w:val="001970BC"/>
    <w:rsid w:val="001A2C74"/>
    <w:rsid w:val="001B0855"/>
    <w:rsid w:val="001B0B4F"/>
    <w:rsid w:val="001B104D"/>
    <w:rsid w:val="001B164D"/>
    <w:rsid w:val="001B18E6"/>
    <w:rsid w:val="001B1E24"/>
    <w:rsid w:val="001B242E"/>
    <w:rsid w:val="001C28DF"/>
    <w:rsid w:val="001C77F1"/>
    <w:rsid w:val="001D57B7"/>
    <w:rsid w:val="001E0956"/>
    <w:rsid w:val="001E0CB6"/>
    <w:rsid w:val="001E247F"/>
    <w:rsid w:val="001E2602"/>
    <w:rsid w:val="001E4055"/>
    <w:rsid w:val="001E460A"/>
    <w:rsid w:val="001E59DB"/>
    <w:rsid w:val="001F2108"/>
    <w:rsid w:val="001F78EF"/>
    <w:rsid w:val="002023EF"/>
    <w:rsid w:val="00202EB1"/>
    <w:rsid w:val="00216020"/>
    <w:rsid w:val="00216653"/>
    <w:rsid w:val="00220149"/>
    <w:rsid w:val="00221E72"/>
    <w:rsid w:val="00222F31"/>
    <w:rsid w:val="00224F25"/>
    <w:rsid w:val="00232B6B"/>
    <w:rsid w:val="002335D0"/>
    <w:rsid w:val="00234377"/>
    <w:rsid w:val="00235260"/>
    <w:rsid w:val="00237F0C"/>
    <w:rsid w:val="0024237C"/>
    <w:rsid w:val="0025350A"/>
    <w:rsid w:val="0026168E"/>
    <w:rsid w:val="002630C7"/>
    <w:rsid w:val="002737C6"/>
    <w:rsid w:val="00274702"/>
    <w:rsid w:val="00287FAB"/>
    <w:rsid w:val="00293881"/>
    <w:rsid w:val="00294DB6"/>
    <w:rsid w:val="002956D9"/>
    <w:rsid w:val="00297E9B"/>
    <w:rsid w:val="002A6014"/>
    <w:rsid w:val="002B60BF"/>
    <w:rsid w:val="002C1107"/>
    <w:rsid w:val="002C1A63"/>
    <w:rsid w:val="002D1587"/>
    <w:rsid w:val="002E3044"/>
    <w:rsid w:val="002E37C7"/>
    <w:rsid w:val="002E6034"/>
    <w:rsid w:val="002F05F8"/>
    <w:rsid w:val="002F0707"/>
    <w:rsid w:val="002F2574"/>
    <w:rsid w:val="002F45DD"/>
    <w:rsid w:val="00300011"/>
    <w:rsid w:val="00301E48"/>
    <w:rsid w:val="00306831"/>
    <w:rsid w:val="00306CD6"/>
    <w:rsid w:val="003100CC"/>
    <w:rsid w:val="0031450B"/>
    <w:rsid w:val="00314EB5"/>
    <w:rsid w:val="00321325"/>
    <w:rsid w:val="00322394"/>
    <w:rsid w:val="0032486A"/>
    <w:rsid w:val="00326F93"/>
    <w:rsid w:val="0033393C"/>
    <w:rsid w:val="00337313"/>
    <w:rsid w:val="00337B8A"/>
    <w:rsid w:val="0034143F"/>
    <w:rsid w:val="00343160"/>
    <w:rsid w:val="0034550B"/>
    <w:rsid w:val="00346C97"/>
    <w:rsid w:val="00352594"/>
    <w:rsid w:val="00354FFF"/>
    <w:rsid w:val="00355C0B"/>
    <w:rsid w:val="00356934"/>
    <w:rsid w:val="00364A41"/>
    <w:rsid w:val="003670D4"/>
    <w:rsid w:val="003715BB"/>
    <w:rsid w:val="00372921"/>
    <w:rsid w:val="0037391A"/>
    <w:rsid w:val="00374A9C"/>
    <w:rsid w:val="003802AE"/>
    <w:rsid w:val="00390B1B"/>
    <w:rsid w:val="00391A72"/>
    <w:rsid w:val="00392283"/>
    <w:rsid w:val="0039373C"/>
    <w:rsid w:val="00394C20"/>
    <w:rsid w:val="00395240"/>
    <w:rsid w:val="00397458"/>
    <w:rsid w:val="003A08C0"/>
    <w:rsid w:val="003A646E"/>
    <w:rsid w:val="003A694C"/>
    <w:rsid w:val="003B02B9"/>
    <w:rsid w:val="003B3416"/>
    <w:rsid w:val="003B7F09"/>
    <w:rsid w:val="003C0873"/>
    <w:rsid w:val="003C09D7"/>
    <w:rsid w:val="003C31B9"/>
    <w:rsid w:val="003C5D12"/>
    <w:rsid w:val="003D0AAC"/>
    <w:rsid w:val="003D0C9D"/>
    <w:rsid w:val="003D1BD3"/>
    <w:rsid w:val="003D52B8"/>
    <w:rsid w:val="003E2726"/>
    <w:rsid w:val="003E2C86"/>
    <w:rsid w:val="003E3C05"/>
    <w:rsid w:val="003F7460"/>
    <w:rsid w:val="00404276"/>
    <w:rsid w:val="004048DE"/>
    <w:rsid w:val="004143C0"/>
    <w:rsid w:val="00424458"/>
    <w:rsid w:val="00436146"/>
    <w:rsid w:val="00440EA2"/>
    <w:rsid w:val="00443013"/>
    <w:rsid w:val="00451D3F"/>
    <w:rsid w:val="00456345"/>
    <w:rsid w:val="00457071"/>
    <w:rsid w:val="004574A8"/>
    <w:rsid w:val="0046031E"/>
    <w:rsid w:val="0046486F"/>
    <w:rsid w:val="00466416"/>
    <w:rsid w:val="004803F9"/>
    <w:rsid w:val="00481C33"/>
    <w:rsid w:val="004967AE"/>
    <w:rsid w:val="004A4152"/>
    <w:rsid w:val="004A7A14"/>
    <w:rsid w:val="004B00F4"/>
    <w:rsid w:val="004B1BE8"/>
    <w:rsid w:val="004C1AD6"/>
    <w:rsid w:val="004C4C0E"/>
    <w:rsid w:val="004D3D75"/>
    <w:rsid w:val="004D4991"/>
    <w:rsid w:val="004D4C60"/>
    <w:rsid w:val="004D5362"/>
    <w:rsid w:val="004D6B2C"/>
    <w:rsid w:val="004D72E5"/>
    <w:rsid w:val="004E024D"/>
    <w:rsid w:val="004E279B"/>
    <w:rsid w:val="004F68D2"/>
    <w:rsid w:val="00502A99"/>
    <w:rsid w:val="005115DB"/>
    <w:rsid w:val="00513434"/>
    <w:rsid w:val="005212AF"/>
    <w:rsid w:val="00521554"/>
    <w:rsid w:val="00524061"/>
    <w:rsid w:val="0052464F"/>
    <w:rsid w:val="005304A6"/>
    <w:rsid w:val="00530C82"/>
    <w:rsid w:val="005371A1"/>
    <w:rsid w:val="00542142"/>
    <w:rsid w:val="00543306"/>
    <w:rsid w:val="0055096A"/>
    <w:rsid w:val="00562040"/>
    <w:rsid w:val="00564584"/>
    <w:rsid w:val="00572168"/>
    <w:rsid w:val="00577118"/>
    <w:rsid w:val="005772C8"/>
    <w:rsid w:val="00580A73"/>
    <w:rsid w:val="005814EA"/>
    <w:rsid w:val="00582627"/>
    <w:rsid w:val="005904B4"/>
    <w:rsid w:val="00595994"/>
    <w:rsid w:val="005A3DF0"/>
    <w:rsid w:val="005A3F21"/>
    <w:rsid w:val="005A486B"/>
    <w:rsid w:val="005C1F06"/>
    <w:rsid w:val="005C46C3"/>
    <w:rsid w:val="005C4C79"/>
    <w:rsid w:val="005D3AB4"/>
    <w:rsid w:val="005E0D81"/>
    <w:rsid w:val="005E1CAE"/>
    <w:rsid w:val="005E578E"/>
    <w:rsid w:val="005E70B2"/>
    <w:rsid w:val="005F5296"/>
    <w:rsid w:val="005F581A"/>
    <w:rsid w:val="005F5ACE"/>
    <w:rsid w:val="005F61C9"/>
    <w:rsid w:val="005F7AD4"/>
    <w:rsid w:val="0060094E"/>
    <w:rsid w:val="00614DF7"/>
    <w:rsid w:val="006158B9"/>
    <w:rsid w:val="00625BDE"/>
    <w:rsid w:val="006305F5"/>
    <w:rsid w:val="00631343"/>
    <w:rsid w:val="00632163"/>
    <w:rsid w:val="00632833"/>
    <w:rsid w:val="006331FC"/>
    <w:rsid w:val="006350EF"/>
    <w:rsid w:val="00635A34"/>
    <w:rsid w:val="006476AC"/>
    <w:rsid w:val="0065038A"/>
    <w:rsid w:val="00657AE6"/>
    <w:rsid w:val="00662E3A"/>
    <w:rsid w:val="00663894"/>
    <w:rsid w:val="00666D57"/>
    <w:rsid w:val="00676831"/>
    <w:rsid w:val="0068604D"/>
    <w:rsid w:val="006867F0"/>
    <w:rsid w:val="00690345"/>
    <w:rsid w:val="00691105"/>
    <w:rsid w:val="00693F71"/>
    <w:rsid w:val="006A4440"/>
    <w:rsid w:val="006A4FAD"/>
    <w:rsid w:val="006B49C7"/>
    <w:rsid w:val="006D419F"/>
    <w:rsid w:val="006D50D0"/>
    <w:rsid w:val="006D65B8"/>
    <w:rsid w:val="006F0446"/>
    <w:rsid w:val="006F2C50"/>
    <w:rsid w:val="006F59F1"/>
    <w:rsid w:val="006F6A99"/>
    <w:rsid w:val="0070525C"/>
    <w:rsid w:val="00706995"/>
    <w:rsid w:val="0070744A"/>
    <w:rsid w:val="00714671"/>
    <w:rsid w:val="007239F6"/>
    <w:rsid w:val="0072448F"/>
    <w:rsid w:val="00724729"/>
    <w:rsid w:val="00725D35"/>
    <w:rsid w:val="00726C47"/>
    <w:rsid w:val="00727F20"/>
    <w:rsid w:val="00732D1A"/>
    <w:rsid w:val="007371EC"/>
    <w:rsid w:val="007414F2"/>
    <w:rsid w:val="00746C2C"/>
    <w:rsid w:val="0075311B"/>
    <w:rsid w:val="0077188C"/>
    <w:rsid w:val="00773841"/>
    <w:rsid w:val="00774A0C"/>
    <w:rsid w:val="0078015F"/>
    <w:rsid w:val="007865A9"/>
    <w:rsid w:val="00794579"/>
    <w:rsid w:val="007A3149"/>
    <w:rsid w:val="007A3F59"/>
    <w:rsid w:val="007A7C22"/>
    <w:rsid w:val="007B0CF6"/>
    <w:rsid w:val="007B5262"/>
    <w:rsid w:val="007B58CF"/>
    <w:rsid w:val="007C2A03"/>
    <w:rsid w:val="007C69B0"/>
    <w:rsid w:val="007D1592"/>
    <w:rsid w:val="007D5D5A"/>
    <w:rsid w:val="007D7215"/>
    <w:rsid w:val="007D7D84"/>
    <w:rsid w:val="007E129B"/>
    <w:rsid w:val="007E5D60"/>
    <w:rsid w:val="007F1469"/>
    <w:rsid w:val="00805CBD"/>
    <w:rsid w:val="00813702"/>
    <w:rsid w:val="00821018"/>
    <w:rsid w:val="00821D5B"/>
    <w:rsid w:val="0082536A"/>
    <w:rsid w:val="00826F4F"/>
    <w:rsid w:val="00830E9C"/>
    <w:rsid w:val="00832D18"/>
    <w:rsid w:val="008426AD"/>
    <w:rsid w:val="008478CF"/>
    <w:rsid w:val="00853120"/>
    <w:rsid w:val="008545B4"/>
    <w:rsid w:val="008637A2"/>
    <w:rsid w:val="00866077"/>
    <w:rsid w:val="00866570"/>
    <w:rsid w:val="00871A7B"/>
    <w:rsid w:val="00877D3F"/>
    <w:rsid w:val="008801D3"/>
    <w:rsid w:val="00883209"/>
    <w:rsid w:val="00887214"/>
    <w:rsid w:val="00896FB2"/>
    <w:rsid w:val="008A0BFB"/>
    <w:rsid w:val="008A15C9"/>
    <w:rsid w:val="008A3C21"/>
    <w:rsid w:val="008B78B5"/>
    <w:rsid w:val="008C0924"/>
    <w:rsid w:val="008C1E81"/>
    <w:rsid w:val="008D4413"/>
    <w:rsid w:val="008E02CC"/>
    <w:rsid w:val="008E180A"/>
    <w:rsid w:val="008E2F01"/>
    <w:rsid w:val="008E41D5"/>
    <w:rsid w:val="008E4223"/>
    <w:rsid w:val="008E4B50"/>
    <w:rsid w:val="008E72D7"/>
    <w:rsid w:val="008E7719"/>
    <w:rsid w:val="008F00D0"/>
    <w:rsid w:val="008F4590"/>
    <w:rsid w:val="008F5F45"/>
    <w:rsid w:val="008F713F"/>
    <w:rsid w:val="00900EB8"/>
    <w:rsid w:val="00902186"/>
    <w:rsid w:val="00902493"/>
    <w:rsid w:val="009040F5"/>
    <w:rsid w:val="00907303"/>
    <w:rsid w:val="009104E1"/>
    <w:rsid w:val="0091275E"/>
    <w:rsid w:val="009164AD"/>
    <w:rsid w:val="00923569"/>
    <w:rsid w:val="00926387"/>
    <w:rsid w:val="0093005E"/>
    <w:rsid w:val="00933DF7"/>
    <w:rsid w:val="00934218"/>
    <w:rsid w:val="00942FE8"/>
    <w:rsid w:val="00950EA2"/>
    <w:rsid w:val="009525C2"/>
    <w:rsid w:val="00956FBB"/>
    <w:rsid w:val="00963468"/>
    <w:rsid w:val="00963975"/>
    <w:rsid w:val="009643E7"/>
    <w:rsid w:val="00970896"/>
    <w:rsid w:val="009734D3"/>
    <w:rsid w:val="00974FCA"/>
    <w:rsid w:val="009752E0"/>
    <w:rsid w:val="00977259"/>
    <w:rsid w:val="00977B9E"/>
    <w:rsid w:val="00982DA6"/>
    <w:rsid w:val="009850F1"/>
    <w:rsid w:val="00985910"/>
    <w:rsid w:val="00986382"/>
    <w:rsid w:val="0099340E"/>
    <w:rsid w:val="0099409F"/>
    <w:rsid w:val="009940F5"/>
    <w:rsid w:val="00994988"/>
    <w:rsid w:val="009A2BF5"/>
    <w:rsid w:val="009A39A6"/>
    <w:rsid w:val="009B039E"/>
    <w:rsid w:val="009B042A"/>
    <w:rsid w:val="009B1ED8"/>
    <w:rsid w:val="009B264A"/>
    <w:rsid w:val="009B7A34"/>
    <w:rsid w:val="009D37D1"/>
    <w:rsid w:val="009E52CB"/>
    <w:rsid w:val="009E5C54"/>
    <w:rsid w:val="009E66FC"/>
    <w:rsid w:val="009F1338"/>
    <w:rsid w:val="009F7BBB"/>
    <w:rsid w:val="00A00E13"/>
    <w:rsid w:val="00A07625"/>
    <w:rsid w:val="00A10680"/>
    <w:rsid w:val="00A143F3"/>
    <w:rsid w:val="00A169F1"/>
    <w:rsid w:val="00A21302"/>
    <w:rsid w:val="00A26004"/>
    <w:rsid w:val="00A270BE"/>
    <w:rsid w:val="00A510A9"/>
    <w:rsid w:val="00A522FA"/>
    <w:rsid w:val="00A63637"/>
    <w:rsid w:val="00A66F12"/>
    <w:rsid w:val="00A700AB"/>
    <w:rsid w:val="00A70C41"/>
    <w:rsid w:val="00A7152D"/>
    <w:rsid w:val="00A77BBF"/>
    <w:rsid w:val="00A809AB"/>
    <w:rsid w:val="00A8527F"/>
    <w:rsid w:val="00A92461"/>
    <w:rsid w:val="00AA1613"/>
    <w:rsid w:val="00AA4055"/>
    <w:rsid w:val="00AA4E6C"/>
    <w:rsid w:val="00AA65A7"/>
    <w:rsid w:val="00AB7583"/>
    <w:rsid w:val="00AC183E"/>
    <w:rsid w:val="00AC43C6"/>
    <w:rsid w:val="00AC52BE"/>
    <w:rsid w:val="00AC7505"/>
    <w:rsid w:val="00AD21A1"/>
    <w:rsid w:val="00AD57D2"/>
    <w:rsid w:val="00AE11C2"/>
    <w:rsid w:val="00AE11D3"/>
    <w:rsid w:val="00AE1B7D"/>
    <w:rsid w:val="00AE1D1C"/>
    <w:rsid w:val="00AE203F"/>
    <w:rsid w:val="00AE6BAD"/>
    <w:rsid w:val="00AF52D7"/>
    <w:rsid w:val="00B004EB"/>
    <w:rsid w:val="00B02FD4"/>
    <w:rsid w:val="00B04E51"/>
    <w:rsid w:val="00B17C19"/>
    <w:rsid w:val="00B20C69"/>
    <w:rsid w:val="00B224C5"/>
    <w:rsid w:val="00B24DEB"/>
    <w:rsid w:val="00B34DC2"/>
    <w:rsid w:val="00B35116"/>
    <w:rsid w:val="00B405C6"/>
    <w:rsid w:val="00B449A9"/>
    <w:rsid w:val="00B44B67"/>
    <w:rsid w:val="00B44E5D"/>
    <w:rsid w:val="00B518C7"/>
    <w:rsid w:val="00B5229C"/>
    <w:rsid w:val="00B62E84"/>
    <w:rsid w:val="00B64289"/>
    <w:rsid w:val="00B66232"/>
    <w:rsid w:val="00B729F6"/>
    <w:rsid w:val="00B73EA8"/>
    <w:rsid w:val="00B76623"/>
    <w:rsid w:val="00B8758E"/>
    <w:rsid w:val="00B91D95"/>
    <w:rsid w:val="00B93142"/>
    <w:rsid w:val="00B94F78"/>
    <w:rsid w:val="00BA0DF5"/>
    <w:rsid w:val="00BA119B"/>
    <w:rsid w:val="00BA23AB"/>
    <w:rsid w:val="00BB1506"/>
    <w:rsid w:val="00BB1C2A"/>
    <w:rsid w:val="00BB277E"/>
    <w:rsid w:val="00BB3778"/>
    <w:rsid w:val="00BB6D6F"/>
    <w:rsid w:val="00BB78FF"/>
    <w:rsid w:val="00BC0EDF"/>
    <w:rsid w:val="00BC5B2C"/>
    <w:rsid w:val="00BC6AA2"/>
    <w:rsid w:val="00BC760C"/>
    <w:rsid w:val="00BD015C"/>
    <w:rsid w:val="00BE0893"/>
    <w:rsid w:val="00BE0948"/>
    <w:rsid w:val="00BE40C3"/>
    <w:rsid w:val="00BF61AD"/>
    <w:rsid w:val="00C00681"/>
    <w:rsid w:val="00C05F5B"/>
    <w:rsid w:val="00C0666C"/>
    <w:rsid w:val="00C10109"/>
    <w:rsid w:val="00C11B89"/>
    <w:rsid w:val="00C15478"/>
    <w:rsid w:val="00C16D75"/>
    <w:rsid w:val="00C17F71"/>
    <w:rsid w:val="00C20589"/>
    <w:rsid w:val="00C22349"/>
    <w:rsid w:val="00C24B78"/>
    <w:rsid w:val="00C264E4"/>
    <w:rsid w:val="00C26B14"/>
    <w:rsid w:val="00C272FD"/>
    <w:rsid w:val="00C27809"/>
    <w:rsid w:val="00C300B4"/>
    <w:rsid w:val="00C316CF"/>
    <w:rsid w:val="00C33820"/>
    <w:rsid w:val="00C37924"/>
    <w:rsid w:val="00C401C1"/>
    <w:rsid w:val="00C44B66"/>
    <w:rsid w:val="00C50FEF"/>
    <w:rsid w:val="00C537AA"/>
    <w:rsid w:val="00C54C3D"/>
    <w:rsid w:val="00C55B60"/>
    <w:rsid w:val="00C60BBD"/>
    <w:rsid w:val="00C62C75"/>
    <w:rsid w:val="00C62F66"/>
    <w:rsid w:val="00C6387B"/>
    <w:rsid w:val="00C65E2F"/>
    <w:rsid w:val="00C6728B"/>
    <w:rsid w:val="00C7001C"/>
    <w:rsid w:val="00C72FC7"/>
    <w:rsid w:val="00C74192"/>
    <w:rsid w:val="00C7470A"/>
    <w:rsid w:val="00C907E0"/>
    <w:rsid w:val="00C961A8"/>
    <w:rsid w:val="00C97D12"/>
    <w:rsid w:val="00CA00A3"/>
    <w:rsid w:val="00CA221A"/>
    <w:rsid w:val="00CA328B"/>
    <w:rsid w:val="00CA4D7B"/>
    <w:rsid w:val="00CA7E7E"/>
    <w:rsid w:val="00CB17DE"/>
    <w:rsid w:val="00CB2568"/>
    <w:rsid w:val="00CB2E97"/>
    <w:rsid w:val="00CB459C"/>
    <w:rsid w:val="00CC55EA"/>
    <w:rsid w:val="00CC655E"/>
    <w:rsid w:val="00CC7000"/>
    <w:rsid w:val="00CD0368"/>
    <w:rsid w:val="00CD0708"/>
    <w:rsid w:val="00CD2FFF"/>
    <w:rsid w:val="00CD46C1"/>
    <w:rsid w:val="00CD7861"/>
    <w:rsid w:val="00CE2024"/>
    <w:rsid w:val="00CE2562"/>
    <w:rsid w:val="00CE60F3"/>
    <w:rsid w:val="00CF0786"/>
    <w:rsid w:val="00CF3B91"/>
    <w:rsid w:val="00CF3F3E"/>
    <w:rsid w:val="00CF5D2E"/>
    <w:rsid w:val="00CF64D2"/>
    <w:rsid w:val="00CF65C9"/>
    <w:rsid w:val="00CF73E0"/>
    <w:rsid w:val="00D002B6"/>
    <w:rsid w:val="00D0116E"/>
    <w:rsid w:val="00D01777"/>
    <w:rsid w:val="00D02F41"/>
    <w:rsid w:val="00D0609C"/>
    <w:rsid w:val="00D0630B"/>
    <w:rsid w:val="00D0782A"/>
    <w:rsid w:val="00D16C62"/>
    <w:rsid w:val="00D174E3"/>
    <w:rsid w:val="00D177B0"/>
    <w:rsid w:val="00D21196"/>
    <w:rsid w:val="00D305E0"/>
    <w:rsid w:val="00D326BE"/>
    <w:rsid w:val="00D402B8"/>
    <w:rsid w:val="00D41B9E"/>
    <w:rsid w:val="00D41CBD"/>
    <w:rsid w:val="00D42E6A"/>
    <w:rsid w:val="00D43618"/>
    <w:rsid w:val="00D51448"/>
    <w:rsid w:val="00D60E24"/>
    <w:rsid w:val="00D616A4"/>
    <w:rsid w:val="00D63F57"/>
    <w:rsid w:val="00D6565E"/>
    <w:rsid w:val="00D7364E"/>
    <w:rsid w:val="00D73CB4"/>
    <w:rsid w:val="00D80BE6"/>
    <w:rsid w:val="00D824C3"/>
    <w:rsid w:val="00D8343D"/>
    <w:rsid w:val="00D85C74"/>
    <w:rsid w:val="00D9165F"/>
    <w:rsid w:val="00D94A1C"/>
    <w:rsid w:val="00D96A5C"/>
    <w:rsid w:val="00DA2F0E"/>
    <w:rsid w:val="00DA7E2C"/>
    <w:rsid w:val="00DC253C"/>
    <w:rsid w:val="00DC3BDB"/>
    <w:rsid w:val="00DC5F32"/>
    <w:rsid w:val="00DD3C39"/>
    <w:rsid w:val="00DD6C4F"/>
    <w:rsid w:val="00DD79B7"/>
    <w:rsid w:val="00DE232E"/>
    <w:rsid w:val="00DE254B"/>
    <w:rsid w:val="00DE731A"/>
    <w:rsid w:val="00DE7810"/>
    <w:rsid w:val="00DF234C"/>
    <w:rsid w:val="00DF42B4"/>
    <w:rsid w:val="00DF7C49"/>
    <w:rsid w:val="00E005BA"/>
    <w:rsid w:val="00E00EF1"/>
    <w:rsid w:val="00E04DDD"/>
    <w:rsid w:val="00E311EA"/>
    <w:rsid w:val="00E31390"/>
    <w:rsid w:val="00E3334B"/>
    <w:rsid w:val="00E36422"/>
    <w:rsid w:val="00E42160"/>
    <w:rsid w:val="00E54A3D"/>
    <w:rsid w:val="00E56A0E"/>
    <w:rsid w:val="00E5774C"/>
    <w:rsid w:val="00E612CC"/>
    <w:rsid w:val="00E70ADE"/>
    <w:rsid w:val="00E71901"/>
    <w:rsid w:val="00E72779"/>
    <w:rsid w:val="00E74FC7"/>
    <w:rsid w:val="00E808D5"/>
    <w:rsid w:val="00E81B84"/>
    <w:rsid w:val="00E82623"/>
    <w:rsid w:val="00E84402"/>
    <w:rsid w:val="00E859C3"/>
    <w:rsid w:val="00E92296"/>
    <w:rsid w:val="00E95244"/>
    <w:rsid w:val="00EB1AA0"/>
    <w:rsid w:val="00EC3416"/>
    <w:rsid w:val="00EC7BF8"/>
    <w:rsid w:val="00ED3853"/>
    <w:rsid w:val="00ED55F7"/>
    <w:rsid w:val="00EE0F0D"/>
    <w:rsid w:val="00EE3F32"/>
    <w:rsid w:val="00EE56B9"/>
    <w:rsid w:val="00EE66C2"/>
    <w:rsid w:val="00EF3EAF"/>
    <w:rsid w:val="00EF44B2"/>
    <w:rsid w:val="00F122B1"/>
    <w:rsid w:val="00F147A8"/>
    <w:rsid w:val="00F200A9"/>
    <w:rsid w:val="00F25CDE"/>
    <w:rsid w:val="00F36E03"/>
    <w:rsid w:val="00F44052"/>
    <w:rsid w:val="00F462B2"/>
    <w:rsid w:val="00F464CF"/>
    <w:rsid w:val="00F545FB"/>
    <w:rsid w:val="00F62560"/>
    <w:rsid w:val="00F62B2E"/>
    <w:rsid w:val="00F64272"/>
    <w:rsid w:val="00F66818"/>
    <w:rsid w:val="00F71041"/>
    <w:rsid w:val="00F73643"/>
    <w:rsid w:val="00F74714"/>
    <w:rsid w:val="00F86014"/>
    <w:rsid w:val="00F90E18"/>
    <w:rsid w:val="00F92E96"/>
    <w:rsid w:val="00F93F84"/>
    <w:rsid w:val="00F96176"/>
    <w:rsid w:val="00F967DE"/>
    <w:rsid w:val="00F976D4"/>
    <w:rsid w:val="00FA24B9"/>
    <w:rsid w:val="00FA28F6"/>
    <w:rsid w:val="00FA4582"/>
    <w:rsid w:val="00FA5DED"/>
    <w:rsid w:val="00FB7401"/>
    <w:rsid w:val="00FC1AA2"/>
    <w:rsid w:val="00FC6FCF"/>
    <w:rsid w:val="00FC7BF3"/>
    <w:rsid w:val="00FD02F9"/>
    <w:rsid w:val="00FD4746"/>
    <w:rsid w:val="00FD5B40"/>
    <w:rsid w:val="00FE030B"/>
    <w:rsid w:val="00FE0565"/>
    <w:rsid w:val="00FE0F26"/>
    <w:rsid w:val="00FE73D7"/>
    <w:rsid w:val="00FE7714"/>
    <w:rsid w:val="00FF32AC"/>
    <w:rsid w:val="00FF3A55"/>
    <w:rsid w:val="00FF70D0"/>
    <w:rsid w:val="01A024B9"/>
    <w:rsid w:val="05AF2B06"/>
    <w:rsid w:val="08056CF3"/>
    <w:rsid w:val="0A12445F"/>
    <w:rsid w:val="0B1F0AB2"/>
    <w:rsid w:val="134D5915"/>
    <w:rsid w:val="146C0815"/>
    <w:rsid w:val="149C76B0"/>
    <w:rsid w:val="18DC341E"/>
    <w:rsid w:val="1A213F4E"/>
    <w:rsid w:val="1CD3515A"/>
    <w:rsid w:val="1EB97DAE"/>
    <w:rsid w:val="259F1147"/>
    <w:rsid w:val="29030B70"/>
    <w:rsid w:val="2B4D09A5"/>
    <w:rsid w:val="345C06C9"/>
    <w:rsid w:val="356D1EEF"/>
    <w:rsid w:val="3C7C5DF7"/>
    <w:rsid w:val="3DE679AF"/>
    <w:rsid w:val="3DFB7E16"/>
    <w:rsid w:val="436B77AA"/>
    <w:rsid w:val="4E0D4A23"/>
    <w:rsid w:val="55D822E4"/>
    <w:rsid w:val="56692883"/>
    <w:rsid w:val="594F4708"/>
    <w:rsid w:val="59D00273"/>
    <w:rsid w:val="5DF67003"/>
    <w:rsid w:val="5ED91510"/>
    <w:rsid w:val="62F120E0"/>
    <w:rsid w:val="669D57D3"/>
    <w:rsid w:val="67BC3AEC"/>
    <w:rsid w:val="6FDF3E88"/>
    <w:rsid w:val="77E444C9"/>
    <w:rsid w:val="78003707"/>
    <w:rsid w:val="7A9C5BA1"/>
    <w:rsid w:val="7C5C1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nhideWhenUsed="0" w:uiPriority="0" w:semiHidden="0" w:name="Strong"/>
    <w:lsdException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imes New Roman"/>
      <w:sz w:val="24"/>
      <w:szCs w:val="21"/>
      <w:lang w:val="en-US" w:eastAsia="zh-CN" w:bidi="ar-SA"/>
    </w:rPr>
  </w:style>
  <w:style w:type="paragraph" w:styleId="2">
    <w:name w:val="heading 1"/>
    <w:basedOn w:val="1"/>
    <w:next w:val="1"/>
    <w:link w:val="24"/>
    <w:qFormat/>
    <w:uiPriority w:val="0"/>
    <w:pPr>
      <w:keepNext/>
      <w:numPr>
        <w:ilvl w:val="0"/>
        <w:numId w:val="1"/>
      </w:numPr>
      <w:spacing w:before="120" w:beforeLines="50" w:after="120" w:afterLines="50"/>
      <w:jc w:val="left"/>
      <w:outlineLvl w:val="0"/>
    </w:pPr>
    <w:rPr>
      <w:rFonts w:cs="Arial"/>
      <w:b/>
      <w:bCs/>
      <w:kern w:val="2"/>
      <w:sz w:val="32"/>
      <w:szCs w:val="24"/>
    </w:rPr>
  </w:style>
  <w:style w:type="paragraph" w:styleId="3">
    <w:name w:val="heading 2"/>
    <w:basedOn w:val="1"/>
    <w:next w:val="1"/>
    <w:link w:val="25"/>
    <w:qFormat/>
    <w:uiPriority w:val="0"/>
    <w:pPr>
      <w:keepNext/>
      <w:keepLines/>
      <w:numPr>
        <w:ilvl w:val="1"/>
        <w:numId w:val="1"/>
      </w:numPr>
      <w:outlineLvl w:val="1"/>
    </w:pPr>
    <w:rPr>
      <w:b/>
      <w:bCs/>
      <w:kern w:val="2"/>
      <w:sz w:val="28"/>
      <w:szCs w:val="28"/>
      <w:lang w:bidi="th-TH"/>
    </w:rPr>
  </w:style>
  <w:style w:type="paragraph" w:styleId="4">
    <w:name w:val="heading 3"/>
    <w:basedOn w:val="1"/>
    <w:next w:val="1"/>
    <w:link w:val="26"/>
    <w:qFormat/>
    <w:uiPriority w:val="0"/>
    <w:pPr>
      <w:keepNext/>
      <w:keepLines/>
      <w:numPr>
        <w:ilvl w:val="2"/>
        <w:numId w:val="1"/>
      </w:numPr>
      <w:outlineLvl w:val="2"/>
    </w:pPr>
    <w:rPr>
      <w:rFonts w:hAnsi="宋体"/>
      <w:b/>
      <w:bCs/>
      <w:kern w:val="2"/>
      <w:szCs w:val="24"/>
    </w:rPr>
  </w:style>
  <w:style w:type="paragraph" w:styleId="5">
    <w:name w:val="heading 4"/>
    <w:basedOn w:val="1"/>
    <w:next w:val="1"/>
    <w:link w:val="27"/>
    <w:unhideWhenUsed/>
    <w:qFormat/>
    <w:uiPriority w:val="0"/>
    <w:pPr>
      <w:keepNext/>
      <w:keepLines/>
      <w:numPr>
        <w:ilvl w:val="3"/>
        <w:numId w:val="1"/>
      </w:numPr>
      <w:ind w:left="425"/>
      <w:outlineLvl w:val="3"/>
    </w:pPr>
    <w:rPr>
      <w:b/>
      <w:bCs/>
      <w:kern w:val="2"/>
      <w:szCs w:val="28"/>
    </w:rPr>
  </w:style>
  <w:style w:type="paragraph" w:styleId="6">
    <w:name w:val="heading 5"/>
    <w:basedOn w:val="1"/>
    <w:next w:val="1"/>
    <w:link w:val="28"/>
    <w:unhideWhenUsed/>
    <w:qFormat/>
    <w:uiPriority w:val="0"/>
    <w:pPr>
      <w:keepNext/>
      <w:keepLines/>
      <w:numPr>
        <w:ilvl w:val="4"/>
        <w:numId w:val="1"/>
      </w:numPr>
      <w:outlineLvl w:val="4"/>
    </w:pPr>
    <w:rPr>
      <w:b/>
      <w:bCs/>
      <w:kern w:val="2"/>
      <w:szCs w:val="28"/>
    </w:rPr>
  </w:style>
  <w:style w:type="paragraph" w:styleId="7">
    <w:name w:val="heading 6"/>
    <w:basedOn w:val="1"/>
    <w:next w:val="1"/>
    <w:link w:val="29"/>
    <w:unhideWhenUsed/>
    <w:qFormat/>
    <w:uiPriority w:val="0"/>
    <w:pPr>
      <w:keepNext/>
      <w:keepLines/>
      <w:numPr>
        <w:ilvl w:val="5"/>
        <w:numId w:val="1"/>
      </w:numPr>
      <w:outlineLvl w:val="5"/>
    </w:pPr>
    <w:rPr>
      <w:b/>
      <w:bCs/>
      <w:kern w:val="2"/>
      <w:szCs w:val="24"/>
    </w:rPr>
  </w:style>
  <w:style w:type="paragraph" w:styleId="8">
    <w:name w:val="heading 7"/>
    <w:basedOn w:val="1"/>
    <w:next w:val="1"/>
    <w:link w:val="30"/>
    <w:unhideWhenUsed/>
    <w:qFormat/>
    <w:uiPriority w:val="0"/>
    <w:pPr>
      <w:keepNext/>
      <w:keepLines/>
      <w:numPr>
        <w:ilvl w:val="6"/>
        <w:numId w:val="1"/>
      </w:numPr>
      <w:outlineLvl w:val="6"/>
    </w:pPr>
    <w:rPr>
      <w:b/>
      <w:bCs/>
      <w:kern w:val="2"/>
      <w:szCs w:val="24"/>
    </w:rPr>
  </w:style>
  <w:style w:type="paragraph" w:styleId="9">
    <w:name w:val="heading 8"/>
    <w:basedOn w:val="1"/>
    <w:next w:val="1"/>
    <w:link w:val="31"/>
    <w:unhideWhenUsed/>
    <w:qFormat/>
    <w:uiPriority w:val="0"/>
    <w:pPr>
      <w:keepNext/>
      <w:keepLines/>
      <w:numPr>
        <w:ilvl w:val="7"/>
        <w:numId w:val="1"/>
      </w:numPr>
      <w:outlineLvl w:val="7"/>
    </w:pPr>
    <w:rPr>
      <w:b/>
      <w:kern w:val="2"/>
      <w:szCs w:val="24"/>
    </w:rPr>
  </w:style>
  <w:style w:type="paragraph" w:styleId="10">
    <w:name w:val="heading 9"/>
    <w:basedOn w:val="1"/>
    <w:next w:val="1"/>
    <w:link w:val="42"/>
    <w:semiHidden/>
    <w:unhideWhenUsed/>
    <w:qFormat/>
    <w:uiPriority w:val="0"/>
    <w:pPr>
      <w:keepNext/>
      <w:keepLines/>
      <w:numPr>
        <w:ilvl w:val="8"/>
        <w:numId w:val="1"/>
      </w:numPr>
      <w:outlineLvl w:val="8"/>
    </w:pPr>
    <w:rPr>
      <w:b/>
      <w:kern w:val="2"/>
    </w:rPr>
  </w:style>
  <w:style w:type="character" w:default="1" w:styleId="20">
    <w:name w:val="Default Paragraph Font"/>
    <w:semiHidden/>
    <w:unhideWhenUsed/>
    <w:uiPriority w:val="1"/>
  </w:style>
  <w:style w:type="table" w:default="1" w:styleId="23">
    <w:name w:val="Normal Table"/>
    <w:semiHidden/>
    <w:unhideWhenUsed/>
    <w:uiPriority w:val="99"/>
    <w:tblPr>
      <w:tblLayout w:type="fixed"/>
      <w:tblCellMar>
        <w:top w:w="0" w:type="dxa"/>
        <w:left w:w="108" w:type="dxa"/>
        <w:bottom w:w="0" w:type="dxa"/>
        <w:right w:w="108" w:type="dxa"/>
      </w:tblCellMar>
    </w:tblPr>
  </w:style>
  <w:style w:type="paragraph" w:styleId="11">
    <w:name w:val="annotation subject"/>
    <w:basedOn w:val="12"/>
    <w:next w:val="12"/>
    <w:link w:val="56"/>
    <w:semiHidden/>
    <w:unhideWhenUsed/>
    <w:qFormat/>
    <w:uiPriority w:val="99"/>
    <w:pPr>
      <w:spacing w:line="360" w:lineRule="auto"/>
      <w:ind w:firstLine="0" w:firstLineChars="0"/>
    </w:pPr>
    <w:rPr>
      <w:rFonts w:ascii="Times New Roman" w:hAnsi="Times New Roman"/>
      <w:b/>
      <w:bCs/>
      <w:sz w:val="24"/>
    </w:rPr>
  </w:style>
  <w:style w:type="paragraph" w:styleId="12">
    <w:name w:val="annotation text"/>
    <w:basedOn w:val="1"/>
    <w:link w:val="50"/>
    <w:unhideWhenUsed/>
    <w:qFormat/>
    <w:uiPriority w:val="99"/>
    <w:pPr>
      <w:spacing w:line="240" w:lineRule="auto"/>
      <w:ind w:firstLine="200" w:firstLineChars="200"/>
      <w:jc w:val="left"/>
    </w:pPr>
    <w:rPr>
      <w:rFonts w:ascii="Calibri" w:hAnsi="Calibri"/>
      <w:sz w:val="21"/>
    </w:rPr>
  </w:style>
  <w:style w:type="paragraph" w:styleId="13">
    <w:name w:val="Normal Indent"/>
    <w:basedOn w:val="1"/>
    <w:qFormat/>
    <w:uiPriority w:val="0"/>
    <w:pPr>
      <w:spacing w:before="50" w:beforeLines="50"/>
      <w:ind w:firstLine="420" w:firstLineChars="200"/>
    </w:pPr>
    <w:rPr>
      <w:kern w:val="2"/>
      <w:szCs w:val="22"/>
    </w:rPr>
  </w:style>
  <w:style w:type="paragraph" w:styleId="14">
    <w:name w:val="caption"/>
    <w:basedOn w:val="1"/>
    <w:next w:val="1"/>
    <w:link w:val="46"/>
    <w:unhideWhenUsed/>
    <w:qFormat/>
    <w:uiPriority w:val="35"/>
    <w:rPr>
      <w:rFonts w:ascii="等线 Light" w:hAnsi="等线 Light" w:eastAsia="黑体"/>
      <w:sz w:val="20"/>
      <w:szCs w:val="20"/>
    </w:rPr>
  </w:style>
  <w:style w:type="paragraph" w:styleId="15">
    <w:name w:val="Body Text Indent"/>
    <w:basedOn w:val="1"/>
    <w:link w:val="60"/>
    <w:qFormat/>
    <w:uiPriority w:val="0"/>
    <w:pPr>
      <w:spacing w:beforeLines="50" w:after="120" w:line="400" w:lineRule="exact"/>
      <w:ind w:left="420" w:leftChars="200" w:firstLine="200" w:firstLineChars="200"/>
    </w:pPr>
    <w:rPr>
      <w:rFonts w:ascii="等线" w:hAnsi="等线" w:cs="宋体"/>
      <w:kern w:val="2"/>
      <w:sz w:val="21"/>
      <w:szCs w:val="24"/>
    </w:rPr>
  </w:style>
  <w:style w:type="paragraph" w:styleId="16">
    <w:name w:val="Balloon Text"/>
    <w:basedOn w:val="1"/>
    <w:link w:val="52"/>
    <w:semiHidden/>
    <w:unhideWhenUsed/>
    <w:qFormat/>
    <w:uiPriority w:val="99"/>
    <w:pPr>
      <w:spacing w:line="240" w:lineRule="auto"/>
    </w:pPr>
    <w:rPr>
      <w:sz w:val="18"/>
      <w:szCs w:val="18"/>
    </w:rPr>
  </w:style>
  <w:style w:type="paragraph" w:styleId="17">
    <w:name w:val="footer"/>
    <w:basedOn w:val="1"/>
    <w:link w:val="48"/>
    <w:unhideWhenUsed/>
    <w:qFormat/>
    <w:uiPriority w:val="99"/>
    <w:pPr>
      <w:tabs>
        <w:tab w:val="center" w:pos="4153"/>
        <w:tab w:val="right" w:pos="8306"/>
      </w:tabs>
      <w:snapToGrid w:val="0"/>
      <w:spacing w:line="240" w:lineRule="auto"/>
      <w:jc w:val="left"/>
    </w:pPr>
    <w:rPr>
      <w:sz w:val="18"/>
      <w:szCs w:val="18"/>
    </w:rPr>
  </w:style>
  <w:style w:type="paragraph" w:styleId="18">
    <w:name w:val="header"/>
    <w:basedOn w:val="1"/>
    <w:link w:val="47"/>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9">
    <w:name w:val="Title"/>
    <w:basedOn w:val="1"/>
    <w:link w:val="53"/>
    <w:qFormat/>
    <w:uiPriority w:val="0"/>
    <w:pPr>
      <w:spacing w:before="240" w:after="60" w:line="400" w:lineRule="exact"/>
      <w:ind w:firstLine="200" w:firstLineChars="200"/>
      <w:jc w:val="center"/>
      <w:outlineLvl w:val="0"/>
    </w:pPr>
    <w:rPr>
      <w:rFonts w:ascii="Arial" w:hAnsi="Arial" w:cs="Arial"/>
      <w:b/>
      <w:bCs/>
      <w:kern w:val="2"/>
      <w:sz w:val="32"/>
      <w:szCs w:val="32"/>
    </w:rPr>
  </w:style>
  <w:style w:type="character" w:styleId="21">
    <w:name w:val="page number"/>
    <w:basedOn w:val="20"/>
    <w:qFormat/>
    <w:uiPriority w:val="0"/>
  </w:style>
  <w:style w:type="character" w:styleId="22">
    <w:name w:val="annotation reference"/>
    <w:qFormat/>
    <w:uiPriority w:val="99"/>
    <w:rPr>
      <w:sz w:val="21"/>
      <w:szCs w:val="21"/>
    </w:rPr>
  </w:style>
  <w:style w:type="character" w:customStyle="1" w:styleId="24">
    <w:name w:val="标题 1 Char"/>
    <w:basedOn w:val="20"/>
    <w:link w:val="2"/>
    <w:qFormat/>
    <w:uiPriority w:val="0"/>
    <w:rPr>
      <w:rFonts w:cs="Arial"/>
      <w:b/>
      <w:bCs/>
      <w:kern w:val="2"/>
      <w:sz w:val="32"/>
      <w:szCs w:val="24"/>
    </w:rPr>
  </w:style>
  <w:style w:type="character" w:customStyle="1" w:styleId="25">
    <w:name w:val="标题 2 Char"/>
    <w:link w:val="3"/>
    <w:qFormat/>
    <w:uiPriority w:val="0"/>
    <w:rPr>
      <w:b/>
      <w:bCs/>
      <w:kern w:val="2"/>
      <w:sz w:val="28"/>
      <w:szCs w:val="28"/>
      <w:lang w:bidi="th-TH"/>
    </w:rPr>
  </w:style>
  <w:style w:type="character" w:customStyle="1" w:styleId="26">
    <w:name w:val="标题 3 Char"/>
    <w:basedOn w:val="20"/>
    <w:link w:val="4"/>
    <w:qFormat/>
    <w:uiPriority w:val="0"/>
    <w:rPr>
      <w:rFonts w:hAnsi="宋体"/>
      <w:b/>
      <w:bCs/>
      <w:kern w:val="2"/>
      <w:sz w:val="24"/>
      <w:szCs w:val="24"/>
    </w:rPr>
  </w:style>
  <w:style w:type="character" w:customStyle="1" w:styleId="27">
    <w:name w:val="标题 4 Char"/>
    <w:link w:val="5"/>
    <w:qFormat/>
    <w:uiPriority w:val="0"/>
    <w:rPr>
      <w:b/>
      <w:bCs/>
      <w:kern w:val="2"/>
      <w:sz w:val="24"/>
      <w:szCs w:val="28"/>
    </w:rPr>
  </w:style>
  <w:style w:type="character" w:customStyle="1" w:styleId="28">
    <w:name w:val="标题 5 Char"/>
    <w:link w:val="6"/>
    <w:qFormat/>
    <w:uiPriority w:val="0"/>
    <w:rPr>
      <w:b/>
      <w:bCs/>
      <w:kern w:val="2"/>
      <w:sz w:val="24"/>
      <w:szCs w:val="28"/>
    </w:rPr>
  </w:style>
  <w:style w:type="character" w:customStyle="1" w:styleId="29">
    <w:name w:val="标题 6 Char"/>
    <w:link w:val="7"/>
    <w:qFormat/>
    <w:uiPriority w:val="0"/>
    <w:rPr>
      <w:b/>
      <w:bCs/>
      <w:kern w:val="2"/>
      <w:sz w:val="24"/>
      <w:szCs w:val="24"/>
    </w:rPr>
  </w:style>
  <w:style w:type="character" w:customStyle="1" w:styleId="30">
    <w:name w:val="标题 7 Char"/>
    <w:link w:val="8"/>
    <w:qFormat/>
    <w:uiPriority w:val="0"/>
    <w:rPr>
      <w:b/>
      <w:bCs/>
      <w:kern w:val="2"/>
      <w:sz w:val="24"/>
      <w:szCs w:val="24"/>
    </w:rPr>
  </w:style>
  <w:style w:type="character" w:customStyle="1" w:styleId="31">
    <w:name w:val="标题 8 Char"/>
    <w:link w:val="9"/>
    <w:qFormat/>
    <w:uiPriority w:val="0"/>
    <w:rPr>
      <w:b/>
      <w:kern w:val="2"/>
      <w:sz w:val="24"/>
      <w:szCs w:val="24"/>
    </w:rPr>
  </w:style>
  <w:style w:type="paragraph" w:customStyle="1" w:styleId="32">
    <w:name w:val="段落正文"/>
    <w:basedOn w:val="1"/>
    <w:link w:val="33"/>
    <w:qFormat/>
    <w:uiPriority w:val="0"/>
    <w:pPr>
      <w:ind w:firstLine="200" w:firstLineChars="200"/>
    </w:pPr>
    <w:rPr>
      <w:kern w:val="2"/>
    </w:rPr>
  </w:style>
  <w:style w:type="character" w:customStyle="1" w:styleId="33">
    <w:name w:val="段落正文 字符"/>
    <w:basedOn w:val="20"/>
    <w:link w:val="32"/>
    <w:qFormat/>
    <w:uiPriority w:val="0"/>
    <w:rPr>
      <w:kern w:val="2"/>
      <w:sz w:val="24"/>
    </w:rPr>
  </w:style>
  <w:style w:type="paragraph" w:customStyle="1" w:styleId="34">
    <w:name w:val="表格标题"/>
    <w:basedOn w:val="1"/>
    <w:link w:val="35"/>
    <w:qFormat/>
    <w:uiPriority w:val="0"/>
    <w:pPr>
      <w:jc w:val="center"/>
    </w:pPr>
    <w:rPr>
      <w:kern w:val="2"/>
      <w:szCs w:val="24"/>
    </w:rPr>
  </w:style>
  <w:style w:type="character" w:customStyle="1" w:styleId="35">
    <w:name w:val="表格标题 字符"/>
    <w:basedOn w:val="20"/>
    <w:link w:val="34"/>
    <w:qFormat/>
    <w:uiPriority w:val="0"/>
    <w:rPr>
      <w:kern w:val="2"/>
      <w:sz w:val="24"/>
      <w:szCs w:val="24"/>
    </w:rPr>
  </w:style>
  <w:style w:type="paragraph" w:customStyle="1" w:styleId="36">
    <w:name w:val="居中正文"/>
    <w:basedOn w:val="1"/>
    <w:link w:val="37"/>
    <w:qFormat/>
    <w:uiPriority w:val="0"/>
    <w:pPr>
      <w:jc w:val="center"/>
    </w:pPr>
    <w:rPr>
      <w:kern w:val="2"/>
      <w:szCs w:val="24"/>
    </w:rPr>
  </w:style>
  <w:style w:type="character" w:customStyle="1" w:styleId="37">
    <w:name w:val="居中正文 字符"/>
    <w:basedOn w:val="20"/>
    <w:link w:val="36"/>
    <w:qFormat/>
    <w:uiPriority w:val="0"/>
    <w:rPr>
      <w:kern w:val="2"/>
      <w:sz w:val="24"/>
      <w:szCs w:val="24"/>
    </w:rPr>
  </w:style>
  <w:style w:type="paragraph" w:customStyle="1" w:styleId="38">
    <w:name w:val="图片标题"/>
    <w:basedOn w:val="1"/>
    <w:link w:val="39"/>
    <w:qFormat/>
    <w:uiPriority w:val="0"/>
    <w:pPr>
      <w:jc w:val="center"/>
    </w:pPr>
    <w:rPr>
      <w:kern w:val="2"/>
      <w:szCs w:val="24"/>
    </w:rPr>
  </w:style>
  <w:style w:type="character" w:customStyle="1" w:styleId="39">
    <w:name w:val="图片标题 字符"/>
    <w:basedOn w:val="20"/>
    <w:link w:val="38"/>
    <w:qFormat/>
    <w:uiPriority w:val="0"/>
    <w:rPr>
      <w:kern w:val="2"/>
      <w:sz w:val="24"/>
      <w:szCs w:val="24"/>
    </w:rPr>
  </w:style>
  <w:style w:type="paragraph" w:customStyle="1" w:styleId="40">
    <w:name w:val="无序列表"/>
    <w:basedOn w:val="32"/>
    <w:link w:val="41"/>
    <w:qFormat/>
    <w:uiPriority w:val="0"/>
  </w:style>
  <w:style w:type="character" w:customStyle="1" w:styleId="41">
    <w:name w:val="无序列表 字符"/>
    <w:basedOn w:val="33"/>
    <w:link w:val="40"/>
    <w:qFormat/>
    <w:uiPriority w:val="0"/>
    <w:rPr>
      <w:kern w:val="2"/>
      <w:sz w:val="24"/>
    </w:rPr>
  </w:style>
  <w:style w:type="character" w:customStyle="1" w:styleId="42">
    <w:name w:val="标题 9 Char"/>
    <w:link w:val="10"/>
    <w:semiHidden/>
    <w:qFormat/>
    <w:uiPriority w:val="0"/>
    <w:rPr>
      <w:b/>
      <w:kern w:val="2"/>
      <w:sz w:val="24"/>
    </w:rPr>
  </w:style>
  <w:style w:type="paragraph" w:styleId="43">
    <w:name w:val="No Spacing"/>
    <w:qFormat/>
    <w:uiPriority w:val="1"/>
    <w:pPr>
      <w:widowControl w:val="0"/>
      <w:spacing w:line="360" w:lineRule="auto"/>
      <w:jc w:val="both"/>
    </w:pPr>
    <w:rPr>
      <w:rFonts w:ascii="Times New Roman" w:hAnsi="Times New Roman" w:eastAsia="宋体" w:cs="Times New Roman"/>
      <w:sz w:val="24"/>
      <w:szCs w:val="21"/>
      <w:lang w:val="en-US" w:eastAsia="zh-CN" w:bidi="ar-SA"/>
    </w:rPr>
  </w:style>
  <w:style w:type="character" w:customStyle="1" w:styleId="44">
    <w:name w:val="明显参考1"/>
    <w:basedOn w:val="20"/>
    <w:qFormat/>
    <w:uiPriority w:val="32"/>
    <w:rPr>
      <w:rFonts w:ascii="Times New Roman" w:hAnsi="Times New Roman" w:eastAsia="宋体"/>
      <w:b/>
      <w:bCs/>
      <w:smallCaps/>
      <w:color w:val="C0504D" w:themeColor="accent2"/>
      <w:spacing w:val="5"/>
      <w:sz w:val="24"/>
      <w:u w:val="single"/>
      <w14:textFill>
        <w14:solidFill>
          <w14:schemeClr w14:val="accent2"/>
        </w14:solidFill>
      </w14:textFill>
    </w:rPr>
  </w:style>
  <w:style w:type="character" w:customStyle="1" w:styleId="45">
    <w:name w:val="书籍标题1"/>
    <w:basedOn w:val="20"/>
    <w:qFormat/>
    <w:uiPriority w:val="33"/>
    <w:rPr>
      <w:rFonts w:ascii="Times New Roman" w:hAnsi="Times New Roman" w:eastAsia="宋体"/>
      <w:bCs/>
      <w:smallCaps/>
      <w:spacing w:val="5"/>
      <w:sz w:val="24"/>
    </w:rPr>
  </w:style>
  <w:style w:type="character" w:customStyle="1" w:styleId="46">
    <w:name w:val="题注 Char"/>
    <w:link w:val="14"/>
    <w:qFormat/>
    <w:locked/>
    <w:uiPriority w:val="35"/>
    <w:rPr>
      <w:rFonts w:ascii="等线 Light" w:hAnsi="等线 Light" w:eastAsia="黑体"/>
      <w:sz w:val="20"/>
      <w:szCs w:val="20"/>
    </w:rPr>
  </w:style>
  <w:style w:type="character" w:customStyle="1" w:styleId="47">
    <w:name w:val="页眉 Char"/>
    <w:basedOn w:val="20"/>
    <w:link w:val="18"/>
    <w:qFormat/>
    <w:uiPriority w:val="0"/>
    <w:rPr>
      <w:sz w:val="18"/>
      <w:szCs w:val="18"/>
    </w:rPr>
  </w:style>
  <w:style w:type="character" w:customStyle="1" w:styleId="48">
    <w:name w:val="页脚 Char"/>
    <w:basedOn w:val="20"/>
    <w:link w:val="17"/>
    <w:qFormat/>
    <w:uiPriority w:val="0"/>
    <w:rPr>
      <w:sz w:val="18"/>
      <w:szCs w:val="18"/>
    </w:rPr>
  </w:style>
  <w:style w:type="paragraph" w:customStyle="1" w:styleId="49">
    <w:name w:val="MM Topic 1"/>
    <w:basedOn w:val="2"/>
    <w:qFormat/>
    <w:uiPriority w:val="99"/>
    <w:pPr>
      <w:keepLines/>
      <w:numPr>
        <w:numId w:val="2"/>
      </w:numPr>
      <w:tabs>
        <w:tab w:val="left" w:pos="425"/>
      </w:tabs>
      <w:spacing w:before="340" w:beforeLines="0" w:after="330" w:afterLines="0" w:line="578" w:lineRule="auto"/>
      <w:ind w:left="-4" w:leftChars="-4" w:hanging="1" w:hangingChars="1"/>
      <w:jc w:val="both"/>
    </w:pPr>
    <w:rPr>
      <w:rFonts w:cs="Times New Roman"/>
      <w:kern w:val="44"/>
      <w:sz w:val="44"/>
      <w:szCs w:val="44"/>
    </w:rPr>
  </w:style>
  <w:style w:type="character" w:customStyle="1" w:styleId="50">
    <w:name w:val="批注文字 Char"/>
    <w:basedOn w:val="20"/>
    <w:link w:val="12"/>
    <w:qFormat/>
    <w:uiPriority w:val="99"/>
    <w:rPr>
      <w:rFonts w:ascii="Calibri" w:hAnsi="Calibri"/>
    </w:rPr>
  </w:style>
  <w:style w:type="character" w:customStyle="1" w:styleId="51">
    <w:name w:val="批注文字 字符1"/>
    <w:basedOn w:val="20"/>
    <w:semiHidden/>
    <w:qFormat/>
    <w:uiPriority w:val="99"/>
    <w:rPr>
      <w:sz w:val="24"/>
    </w:rPr>
  </w:style>
  <w:style w:type="character" w:customStyle="1" w:styleId="52">
    <w:name w:val="批注框文本 Char"/>
    <w:basedOn w:val="20"/>
    <w:link w:val="16"/>
    <w:semiHidden/>
    <w:qFormat/>
    <w:uiPriority w:val="99"/>
    <w:rPr>
      <w:sz w:val="18"/>
      <w:szCs w:val="18"/>
    </w:rPr>
  </w:style>
  <w:style w:type="character" w:customStyle="1" w:styleId="53">
    <w:name w:val="标题 Char"/>
    <w:link w:val="19"/>
    <w:qFormat/>
    <w:uiPriority w:val="0"/>
    <w:rPr>
      <w:rFonts w:ascii="Arial" w:hAnsi="Arial" w:cs="Arial"/>
      <w:b/>
      <w:bCs/>
      <w:kern w:val="2"/>
      <w:sz w:val="32"/>
      <w:szCs w:val="32"/>
    </w:rPr>
  </w:style>
  <w:style w:type="character" w:customStyle="1" w:styleId="54">
    <w:name w:val="标题 字符1"/>
    <w:basedOn w:val="20"/>
    <w:qFormat/>
    <w:uiPriority w:val="0"/>
    <w:rPr>
      <w:rFonts w:asciiTheme="majorHAnsi" w:hAnsiTheme="majorHAnsi" w:eastAsiaTheme="majorEastAsia" w:cstheme="majorBidi"/>
      <w:b/>
      <w:bCs/>
      <w:sz w:val="32"/>
      <w:szCs w:val="32"/>
    </w:rPr>
  </w:style>
  <w:style w:type="paragraph" w:customStyle="1" w:styleId="55">
    <w:name w:val="样式 标题 2H2Heading 2 HiddenHeading 2 CCBS2nd levelh22Header..."/>
    <w:basedOn w:val="3"/>
    <w:qFormat/>
    <w:uiPriority w:val="99"/>
    <w:pPr>
      <w:widowControl/>
      <w:numPr>
        <w:numId w:val="3"/>
      </w:numPr>
      <w:tabs>
        <w:tab w:val="left" w:pos="1582"/>
      </w:tabs>
      <w:adjustRightInd w:val="0"/>
      <w:spacing w:before="240" w:after="240" w:line="240" w:lineRule="auto"/>
      <w:ind w:right="104" w:rightChars="50"/>
    </w:pPr>
    <w:rPr>
      <w:rFonts w:ascii="Verdana" w:hAnsi="Arial" w:eastAsia="黑体" w:cs="宋体"/>
      <w:kern w:val="0"/>
      <w:sz w:val="32"/>
      <w:szCs w:val="20"/>
      <w:lang w:bidi="ar-SA"/>
    </w:rPr>
  </w:style>
  <w:style w:type="character" w:customStyle="1" w:styleId="56">
    <w:name w:val="批注主题 Char"/>
    <w:basedOn w:val="50"/>
    <w:link w:val="11"/>
    <w:semiHidden/>
    <w:qFormat/>
    <w:uiPriority w:val="99"/>
    <w:rPr>
      <w:rFonts w:ascii="Calibri" w:hAnsi="Calibri"/>
      <w:b/>
      <w:bCs/>
      <w:sz w:val="24"/>
    </w:rPr>
  </w:style>
  <w:style w:type="paragraph" w:customStyle="1" w:styleId="57">
    <w:name w:val="!正文"/>
    <w:basedOn w:val="1"/>
    <w:qFormat/>
    <w:uiPriority w:val="0"/>
    <w:pPr>
      <w:spacing w:before="120" w:after="120"/>
      <w:ind w:firstLine="200" w:firstLineChars="200"/>
    </w:pPr>
    <w:rPr>
      <w:rFonts w:ascii="仿宋" w:hAnsi="仿宋" w:eastAsia="仿宋"/>
      <w:szCs w:val="28"/>
    </w:rPr>
  </w:style>
  <w:style w:type="paragraph" w:customStyle="1" w:styleId="58">
    <w:name w:val="修订1"/>
    <w:hidden/>
    <w:semiHidden/>
    <w:qFormat/>
    <w:uiPriority w:val="99"/>
    <w:rPr>
      <w:rFonts w:ascii="Times New Roman" w:hAnsi="Times New Roman" w:eastAsia="宋体" w:cs="Times New Roman"/>
      <w:sz w:val="24"/>
      <w:szCs w:val="21"/>
      <w:lang w:val="en-US" w:eastAsia="zh-CN" w:bidi="ar-SA"/>
    </w:rPr>
  </w:style>
  <w:style w:type="paragraph" w:styleId="59">
    <w:name w:val="List Paragraph"/>
    <w:basedOn w:val="1"/>
    <w:qFormat/>
    <w:uiPriority w:val="34"/>
    <w:pPr>
      <w:spacing w:line="240" w:lineRule="auto"/>
      <w:ind w:firstLine="420" w:firstLineChars="200"/>
    </w:pPr>
    <w:rPr>
      <w:rFonts w:ascii="Calibri" w:hAnsi="Calibri"/>
      <w:kern w:val="2"/>
      <w:sz w:val="21"/>
      <w:szCs w:val="22"/>
    </w:rPr>
  </w:style>
  <w:style w:type="character" w:customStyle="1" w:styleId="60">
    <w:name w:val="正文文本缩进 Char"/>
    <w:basedOn w:val="20"/>
    <w:link w:val="15"/>
    <w:qFormat/>
    <w:uiPriority w:val="0"/>
    <w:rPr>
      <w:rFonts w:ascii="等线" w:hAnsi="等线" w:eastAsia="宋体" w:cs="宋体"/>
      <w:kern w:val="2"/>
      <w:sz w:val="21"/>
      <w:szCs w:val="24"/>
    </w:rPr>
  </w:style>
  <w:style w:type="paragraph" w:customStyle="1" w:styleId="61">
    <w:name w:val="列表段落1"/>
    <w:basedOn w:val="1"/>
    <w:qFormat/>
    <w:uiPriority w:val="34"/>
    <w:pPr>
      <w:spacing w:before="50" w:beforeLines="50"/>
      <w:ind w:firstLine="420" w:firstLineChars="200"/>
    </w:pPr>
    <w:rPr>
      <w:kern w:val="2"/>
      <w:szCs w:val="2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80971A-30D2-4A26-A956-8B1C3B232983}">
  <ds:schemaRefs/>
</ds:datastoreItem>
</file>

<file path=docProps/app.xml><?xml version="1.0" encoding="utf-8"?>
<Properties xmlns="http://schemas.openxmlformats.org/officeDocument/2006/extended-properties" xmlns:vt="http://schemas.openxmlformats.org/officeDocument/2006/docPropsVTypes">
  <Template>Normal</Template>
  <Pages>10</Pages>
  <Words>1038</Words>
  <Characters>5923</Characters>
  <Lines>49</Lines>
  <Paragraphs>13</Paragraphs>
  <TotalTime>272</TotalTime>
  <ScaleCrop>false</ScaleCrop>
  <LinksUpToDate>false</LinksUpToDate>
  <CharactersWithSpaces>6948</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2020-05-13T01:32:00Z</dcterms:created>
  <dc:creator>fanht</dc:creator>
  <cp:lastModifiedBy>刘奕慧</cp:lastModifiedBy>
  <dcterms:modified xsi:type="dcterms:W3CDTF">2020-05-18T03:00:01Z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