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snapToGrid/>
        <w:spacing w:after="0" w:line="460" w:lineRule="exact"/>
        <w:jc w:val="center"/>
        <w:rPr>
          <w:rFonts w:ascii="黑体" w:hAnsi="黑体" w:eastAsia="黑体" w:cs="Times New Roman"/>
          <w:sz w:val="30"/>
          <w:szCs w:val="30"/>
        </w:rPr>
      </w:pPr>
      <w:r>
        <w:rPr>
          <w:rFonts w:hint="eastAsia" w:ascii="黑体" w:hAnsi="黑体" w:eastAsia="黑体" w:cs="Times New Roman"/>
          <w:sz w:val="30"/>
          <w:szCs w:val="30"/>
        </w:rPr>
        <w:t>2</w:t>
      </w:r>
      <w:r>
        <w:rPr>
          <w:rFonts w:ascii="黑体" w:hAnsi="黑体" w:eastAsia="黑体" w:cs="Times New Roman"/>
          <w:sz w:val="30"/>
          <w:szCs w:val="30"/>
        </w:rPr>
        <w:t>020</w:t>
      </w:r>
      <w:r>
        <w:rPr>
          <w:rFonts w:hint="eastAsia" w:ascii="黑体" w:hAnsi="黑体" w:eastAsia="黑体" w:cs="Times New Roman"/>
          <w:sz w:val="30"/>
          <w:szCs w:val="30"/>
        </w:rPr>
        <w:t>年广东省殡葬行业有组织排放废气二噁英类监督性监测</w:t>
      </w:r>
    </w:p>
    <w:p>
      <w:pPr>
        <w:widowControl w:val="0"/>
        <w:adjustRightInd/>
        <w:snapToGrid/>
        <w:spacing w:after="0" w:line="460" w:lineRule="exact"/>
        <w:jc w:val="center"/>
        <w:rPr>
          <w:rFonts w:ascii="黑体" w:hAnsi="黑体" w:eastAsia="黑体" w:cs="Times New Roman"/>
          <w:sz w:val="30"/>
          <w:szCs w:val="30"/>
        </w:rPr>
      </w:pPr>
      <w:r>
        <w:rPr>
          <w:rFonts w:hint="eastAsia" w:ascii="黑体" w:hAnsi="黑体" w:eastAsia="黑体" w:cs="Times New Roman"/>
          <w:sz w:val="30"/>
          <w:szCs w:val="30"/>
        </w:rPr>
        <w:t>项目需求</w:t>
      </w:r>
    </w:p>
    <w:p>
      <w:pPr>
        <w:suppressAutoHyphens/>
        <w:spacing w:after="120" w:line="460" w:lineRule="exact"/>
        <w:ind w:firstLine="720" w:firstLineChars="300"/>
        <w:rPr>
          <w:rFonts w:ascii="Times New Roman" w:hAnsi="Times New Roman" w:eastAsia="宋体" w:cs="Times New Roman"/>
          <w:bCs/>
          <w:color w:val="242424"/>
          <w:sz w:val="24"/>
          <w:szCs w:val="21"/>
        </w:rPr>
      </w:pPr>
    </w:p>
    <w:p>
      <w:pPr>
        <w:suppressAutoHyphens/>
        <w:spacing w:after="120" w:line="460" w:lineRule="exact"/>
        <w:ind w:firstLine="439" w:firstLineChars="183"/>
        <w:jc w:val="both"/>
        <w:rPr>
          <w:rFonts w:ascii="Times New Roman" w:hAnsi="Times New Roman" w:eastAsia="宋体" w:cs="Times New Roman"/>
          <w:bCs/>
          <w:color w:val="242424"/>
          <w:sz w:val="24"/>
          <w:szCs w:val="21"/>
        </w:rPr>
      </w:pPr>
      <w:r>
        <w:rPr>
          <w:rFonts w:ascii="Times New Roman" w:hAnsi="Times New Roman" w:eastAsia="宋体" w:cs="Times New Roman"/>
          <w:bCs/>
          <w:color w:val="242424"/>
          <w:sz w:val="24"/>
          <w:szCs w:val="21"/>
        </w:rPr>
        <w:t>广东省环境监测中心</w:t>
      </w:r>
      <w:r>
        <w:rPr>
          <w:rFonts w:hint="eastAsia" w:ascii="Times New Roman" w:hAnsi="Times New Roman" w:eastAsia="宋体" w:cs="Times New Roman"/>
          <w:bCs/>
          <w:color w:val="242424"/>
          <w:sz w:val="24"/>
          <w:szCs w:val="21"/>
        </w:rPr>
        <w:t>按照广东省生态环境厅《关于印发&lt;广东省二噁英重点排放源监督性监测方案&gt;的通知》的要求开展</w:t>
      </w:r>
      <w:r>
        <w:rPr>
          <w:rFonts w:ascii="Times New Roman" w:hAnsi="Times New Roman" w:eastAsia="宋体" w:cs="Times New Roman"/>
          <w:bCs/>
          <w:color w:val="242424"/>
          <w:sz w:val="24"/>
          <w:szCs w:val="21"/>
        </w:rPr>
        <w:t>20</w:t>
      </w:r>
      <w:r>
        <w:rPr>
          <w:rFonts w:hint="eastAsia" w:ascii="Times New Roman" w:hAnsi="Times New Roman" w:eastAsia="宋体" w:cs="Times New Roman"/>
          <w:bCs/>
          <w:color w:val="242424"/>
          <w:sz w:val="24"/>
          <w:szCs w:val="21"/>
        </w:rPr>
        <w:t>20</w:t>
      </w:r>
      <w:r>
        <w:rPr>
          <w:rFonts w:ascii="Times New Roman" w:hAnsi="Times New Roman" w:eastAsia="宋体" w:cs="Times New Roman"/>
          <w:bCs/>
          <w:color w:val="242424"/>
          <w:sz w:val="24"/>
          <w:szCs w:val="21"/>
        </w:rPr>
        <w:t>年</w:t>
      </w:r>
      <w:r>
        <w:rPr>
          <w:rFonts w:hint="eastAsia" w:ascii="Times New Roman" w:hAnsi="Times New Roman" w:eastAsia="宋体" w:cs="Times New Roman"/>
          <w:bCs/>
          <w:color w:val="242424"/>
          <w:sz w:val="24"/>
          <w:szCs w:val="21"/>
        </w:rPr>
        <w:t>二噁英类监督性监测工作，现委托社会第三方检测机构开展殡葬行业有组织排放废气二噁英类监督性监测工作。</w:t>
      </w:r>
    </w:p>
    <w:p>
      <w:pPr>
        <w:suppressAutoHyphens/>
        <w:spacing w:after="120" w:line="460" w:lineRule="exact"/>
        <w:ind w:firstLine="720" w:firstLineChars="300"/>
        <w:rPr>
          <w:rFonts w:ascii="Times New Roman" w:hAnsi="Times New Roman" w:eastAsia="宋体" w:cs="Times New Roman"/>
          <w:bCs/>
          <w:color w:val="242424"/>
          <w:sz w:val="24"/>
          <w:szCs w:val="21"/>
        </w:rPr>
      </w:pPr>
    </w:p>
    <w:p>
      <w:pPr>
        <w:pStyle w:val="2"/>
        <w:spacing w:beforeLines="0" w:afterLines="0"/>
        <w:rPr>
          <w:rFonts w:cs="Times New Roman"/>
        </w:rPr>
      </w:pPr>
      <w:r>
        <w:rPr>
          <w:rFonts w:cs="Times New Roman"/>
        </w:rPr>
        <w:t>项目目标</w:t>
      </w:r>
    </w:p>
    <w:p>
      <w:pPr>
        <w:ind w:firstLine="600" w:firstLineChars="250"/>
        <w:jc w:val="both"/>
        <w:rPr>
          <w:rFonts w:ascii="Times New Roman" w:hAnsi="Times New Roman" w:eastAsia="宋体" w:cs="Times New Roman"/>
          <w:bCs/>
          <w:color w:val="242424"/>
          <w:sz w:val="24"/>
          <w:szCs w:val="21"/>
        </w:rPr>
      </w:pPr>
      <w:r>
        <w:rPr>
          <w:rFonts w:hint="eastAsia" w:ascii="Times New Roman" w:hAnsi="Times New Roman" w:eastAsia="宋体" w:cs="Times New Roman"/>
          <w:bCs/>
          <w:color w:val="242424"/>
          <w:sz w:val="24"/>
          <w:szCs w:val="21"/>
        </w:rPr>
        <w:t>在广东省内，抽取10家殡葬单位开展有组织排放废气二噁英类监督性监测，了解殡葬行业有组织排放废气二噁英类达标排放情况。</w:t>
      </w:r>
    </w:p>
    <w:p/>
    <w:p>
      <w:pPr>
        <w:pStyle w:val="2"/>
        <w:spacing w:beforeLines="0" w:afterLines="0"/>
        <w:rPr>
          <w:rFonts w:cs="Times New Roman"/>
        </w:rPr>
      </w:pPr>
      <w:r>
        <w:rPr>
          <w:rFonts w:cs="Times New Roman"/>
        </w:rPr>
        <w:t>项目内容</w:t>
      </w:r>
    </w:p>
    <w:p>
      <w:pPr>
        <w:pStyle w:val="3"/>
      </w:pPr>
      <w:r>
        <w:t>服务内容</w:t>
      </w:r>
    </w:p>
    <w:p>
      <w:pPr>
        <w:tabs>
          <w:tab w:val="left" w:pos="6972"/>
        </w:tabs>
        <w:suppressAutoHyphens/>
        <w:spacing w:before="240" w:beforeLines="100" w:after="240" w:afterLines="100" w:line="360" w:lineRule="auto"/>
        <w:ind w:firstLine="439" w:firstLineChars="183"/>
        <w:rPr>
          <w:rFonts w:ascii="Times New Roman" w:hAnsi="Times New Roman" w:eastAsia="宋体" w:cs="Times New Roman"/>
          <w:bCs/>
          <w:color w:val="242424"/>
          <w:sz w:val="24"/>
          <w:szCs w:val="21"/>
        </w:rPr>
      </w:pPr>
      <w:r>
        <w:rPr>
          <w:rFonts w:hint="eastAsia" w:ascii="Times New Roman" w:hAnsi="Times New Roman" w:eastAsia="宋体" w:cs="Times New Roman"/>
          <w:bCs/>
          <w:color w:val="242424"/>
          <w:sz w:val="24"/>
          <w:szCs w:val="21"/>
        </w:rPr>
        <w:t>2020年广东省殡葬行业有组织排放废气二噁英类监督性监测项目服务内容见下表。</w:t>
      </w:r>
    </w:p>
    <w:tbl>
      <w:tblPr>
        <w:tblStyle w:val="20"/>
        <w:tblW w:w="8116" w:type="dxa"/>
        <w:tblInd w:w="0" w:type="dxa"/>
        <w:tblLayout w:type="fixed"/>
        <w:tblCellMar>
          <w:top w:w="0" w:type="dxa"/>
          <w:left w:w="0" w:type="dxa"/>
          <w:bottom w:w="0" w:type="dxa"/>
          <w:right w:w="0" w:type="dxa"/>
        </w:tblCellMar>
      </w:tblPr>
      <w:tblGrid>
        <w:gridCol w:w="1433"/>
        <w:gridCol w:w="1559"/>
        <w:gridCol w:w="2552"/>
        <w:gridCol w:w="1275"/>
        <w:gridCol w:w="1297"/>
      </w:tblGrid>
      <w:tr>
        <w:tblPrEx>
          <w:tblLayout w:type="fixed"/>
          <w:tblCellMar>
            <w:top w:w="0" w:type="dxa"/>
            <w:left w:w="0" w:type="dxa"/>
            <w:bottom w:w="0" w:type="dxa"/>
            <w:right w:w="0" w:type="dxa"/>
          </w:tblCellMar>
        </w:tblPrEx>
        <w:trPr>
          <w:trHeight w:val="625" w:hRule="atLeast"/>
        </w:trPr>
        <w:tc>
          <w:tcPr>
            <w:tcW w:w="1433" w:type="dxa"/>
            <w:tcBorders>
              <w:top w:val="single" w:color="000000" w:sz="4" w:space="0"/>
              <w:left w:val="single" w:color="000000" w:sz="4" w:space="0"/>
              <w:bottom w:val="single" w:color="auto" w:sz="4" w:space="0"/>
              <w:right w:val="single" w:color="000000" w:sz="4" w:space="0"/>
            </w:tcBorders>
            <w:tcMar>
              <w:top w:w="15" w:type="dxa"/>
              <w:left w:w="15" w:type="dxa"/>
              <w:bottom w:w="0" w:type="dxa"/>
              <w:right w:w="15" w:type="dxa"/>
            </w:tcMar>
            <w:vAlign w:val="center"/>
          </w:tcPr>
          <w:p>
            <w:pPr>
              <w:jc w:val="center"/>
              <w:textAlignment w:val="center"/>
              <w:rPr>
                <w:rFonts w:ascii="Times New Roman" w:hAnsi="Times New Roman" w:eastAsia="宋体" w:cs="Times New Roman"/>
                <w:bCs/>
                <w:color w:val="242424"/>
                <w:sz w:val="21"/>
                <w:szCs w:val="21"/>
              </w:rPr>
            </w:pPr>
            <w:r>
              <w:rPr>
                <w:rFonts w:hint="eastAsia" w:ascii="Times New Roman" w:hAnsi="Times New Roman" w:eastAsia="宋体" w:cs="Times New Roman"/>
                <w:bCs/>
                <w:color w:val="242424"/>
                <w:sz w:val="21"/>
                <w:szCs w:val="21"/>
              </w:rPr>
              <w:t>监测地点</w:t>
            </w:r>
          </w:p>
        </w:tc>
        <w:tc>
          <w:tcPr>
            <w:tcW w:w="1559" w:type="dxa"/>
            <w:tcBorders>
              <w:top w:val="single" w:color="000000" w:sz="4" w:space="0"/>
              <w:left w:val="single" w:color="000000" w:sz="4" w:space="0"/>
              <w:bottom w:val="single" w:color="auto" w:sz="4" w:space="0"/>
              <w:right w:val="single" w:color="000000" w:sz="4" w:space="0"/>
            </w:tcBorders>
            <w:tcMar>
              <w:top w:w="15" w:type="dxa"/>
              <w:left w:w="15" w:type="dxa"/>
              <w:bottom w:w="0" w:type="dxa"/>
              <w:right w:w="15" w:type="dxa"/>
            </w:tcMar>
            <w:vAlign w:val="center"/>
          </w:tcPr>
          <w:p>
            <w:pPr>
              <w:tabs>
                <w:tab w:val="center" w:pos="4153"/>
                <w:tab w:val="right" w:pos="8306"/>
              </w:tabs>
              <w:jc w:val="center"/>
              <w:textAlignment w:val="center"/>
              <w:rPr>
                <w:rFonts w:ascii="Times New Roman" w:hAnsi="Times New Roman" w:eastAsia="宋体" w:cs="Times New Roman"/>
                <w:bCs/>
                <w:color w:val="242424"/>
                <w:sz w:val="21"/>
                <w:szCs w:val="21"/>
              </w:rPr>
            </w:pPr>
            <w:r>
              <w:rPr>
                <w:rFonts w:hint="eastAsia" w:ascii="Times New Roman" w:hAnsi="Times New Roman" w:eastAsia="宋体" w:cs="Times New Roman"/>
                <w:bCs/>
                <w:color w:val="242424"/>
                <w:sz w:val="21"/>
                <w:szCs w:val="21"/>
              </w:rPr>
              <w:t>测点位置</w:t>
            </w:r>
          </w:p>
        </w:tc>
        <w:tc>
          <w:tcPr>
            <w:tcW w:w="2552" w:type="dxa"/>
            <w:tcBorders>
              <w:top w:val="single" w:color="000000" w:sz="4" w:space="0"/>
              <w:left w:val="single" w:color="000000" w:sz="4" w:space="0"/>
              <w:bottom w:val="single" w:color="auto" w:sz="4" w:space="0"/>
              <w:right w:val="single" w:color="000000" w:sz="4" w:space="0"/>
            </w:tcBorders>
            <w:tcMar>
              <w:top w:w="15" w:type="dxa"/>
              <w:left w:w="15" w:type="dxa"/>
              <w:bottom w:w="0" w:type="dxa"/>
              <w:right w:w="15" w:type="dxa"/>
            </w:tcMar>
            <w:vAlign w:val="center"/>
          </w:tcPr>
          <w:p>
            <w:pPr>
              <w:tabs>
                <w:tab w:val="center" w:pos="4153"/>
                <w:tab w:val="right" w:pos="8306"/>
              </w:tabs>
              <w:jc w:val="center"/>
              <w:textAlignment w:val="center"/>
              <w:rPr>
                <w:rFonts w:ascii="Times New Roman" w:hAnsi="Times New Roman" w:eastAsia="宋体" w:cs="Times New Roman"/>
                <w:bCs/>
                <w:color w:val="242424"/>
                <w:sz w:val="21"/>
                <w:szCs w:val="21"/>
              </w:rPr>
            </w:pPr>
            <w:r>
              <w:rPr>
                <w:rFonts w:hint="eastAsia" w:ascii="Times New Roman" w:hAnsi="Times New Roman" w:eastAsia="宋体" w:cs="Times New Roman"/>
                <w:bCs/>
                <w:color w:val="242424"/>
                <w:sz w:val="21"/>
                <w:szCs w:val="21"/>
              </w:rPr>
              <w:t>监测因子</w:t>
            </w:r>
          </w:p>
        </w:tc>
        <w:tc>
          <w:tcPr>
            <w:tcW w:w="1275" w:type="dxa"/>
            <w:tcBorders>
              <w:top w:val="single" w:color="000000" w:sz="4" w:space="0"/>
              <w:left w:val="single" w:color="000000" w:sz="4" w:space="0"/>
              <w:bottom w:val="single" w:color="auto" w:sz="4" w:space="0"/>
              <w:right w:val="single" w:color="000000" w:sz="4" w:space="0"/>
            </w:tcBorders>
            <w:tcMar>
              <w:top w:w="15" w:type="dxa"/>
              <w:left w:w="15" w:type="dxa"/>
              <w:bottom w:w="0" w:type="dxa"/>
              <w:right w:w="15" w:type="dxa"/>
            </w:tcMar>
            <w:vAlign w:val="center"/>
          </w:tcPr>
          <w:p>
            <w:pPr>
              <w:tabs>
                <w:tab w:val="center" w:pos="4153"/>
                <w:tab w:val="right" w:pos="8306"/>
              </w:tabs>
              <w:jc w:val="center"/>
              <w:textAlignment w:val="center"/>
              <w:rPr>
                <w:rFonts w:ascii="Times New Roman" w:hAnsi="Times New Roman" w:eastAsia="宋体" w:cs="Times New Roman"/>
                <w:bCs/>
                <w:color w:val="242424"/>
                <w:sz w:val="21"/>
                <w:szCs w:val="21"/>
              </w:rPr>
            </w:pPr>
            <w:r>
              <w:rPr>
                <w:rFonts w:hint="eastAsia" w:ascii="Times New Roman" w:hAnsi="Times New Roman" w:eastAsia="宋体" w:cs="Times New Roman"/>
                <w:bCs/>
                <w:color w:val="242424"/>
                <w:sz w:val="21"/>
                <w:szCs w:val="21"/>
              </w:rPr>
              <w:t>监测频次</w:t>
            </w:r>
          </w:p>
        </w:tc>
        <w:tc>
          <w:tcPr>
            <w:tcW w:w="1297" w:type="dxa"/>
            <w:tcBorders>
              <w:top w:val="single" w:color="000000" w:sz="4" w:space="0"/>
              <w:left w:val="single" w:color="000000" w:sz="4" w:space="0"/>
              <w:bottom w:val="single" w:color="auto" w:sz="4" w:space="0"/>
              <w:right w:val="single" w:color="000000" w:sz="4" w:space="0"/>
            </w:tcBorders>
            <w:tcMar>
              <w:top w:w="15" w:type="dxa"/>
              <w:left w:w="15" w:type="dxa"/>
              <w:bottom w:w="0" w:type="dxa"/>
              <w:right w:w="15" w:type="dxa"/>
            </w:tcMar>
            <w:vAlign w:val="center"/>
          </w:tcPr>
          <w:p>
            <w:pPr>
              <w:tabs>
                <w:tab w:val="center" w:pos="4153"/>
                <w:tab w:val="right" w:pos="8306"/>
              </w:tabs>
              <w:jc w:val="center"/>
              <w:textAlignment w:val="center"/>
              <w:rPr>
                <w:rFonts w:ascii="Times New Roman" w:hAnsi="Times New Roman" w:eastAsia="宋体" w:cs="Times New Roman"/>
                <w:bCs/>
                <w:color w:val="242424"/>
                <w:sz w:val="21"/>
                <w:szCs w:val="21"/>
              </w:rPr>
            </w:pPr>
            <w:r>
              <w:rPr>
                <w:rFonts w:hint="eastAsia" w:ascii="Times New Roman" w:hAnsi="Times New Roman" w:eastAsia="宋体" w:cs="Times New Roman"/>
                <w:bCs/>
                <w:color w:val="242424"/>
                <w:sz w:val="21"/>
                <w:szCs w:val="21"/>
              </w:rPr>
              <w:t>样品数量</w:t>
            </w:r>
          </w:p>
        </w:tc>
      </w:tr>
      <w:tr>
        <w:tblPrEx>
          <w:tblLayout w:type="fixed"/>
          <w:tblCellMar>
            <w:top w:w="0" w:type="dxa"/>
            <w:left w:w="0" w:type="dxa"/>
            <w:bottom w:w="0" w:type="dxa"/>
            <w:right w:w="0" w:type="dxa"/>
          </w:tblCellMar>
        </w:tblPrEx>
        <w:trPr>
          <w:trHeight w:val="1150" w:hRule="atLeast"/>
        </w:trPr>
        <w:tc>
          <w:tcPr>
            <w:tcW w:w="143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textAlignment w:val="center"/>
              <w:rPr>
                <w:rFonts w:ascii="Times New Roman" w:hAnsi="Times New Roman" w:eastAsia="宋体" w:cs="Times New Roman"/>
                <w:bCs/>
                <w:color w:val="242424"/>
                <w:sz w:val="21"/>
                <w:szCs w:val="21"/>
              </w:rPr>
            </w:pPr>
            <w:r>
              <w:rPr>
                <w:rFonts w:hint="eastAsia" w:ascii="Times New Roman" w:hAnsi="Times New Roman" w:eastAsia="宋体" w:cs="Times New Roman"/>
                <w:bCs/>
                <w:color w:val="242424"/>
                <w:sz w:val="21"/>
                <w:szCs w:val="21"/>
              </w:rPr>
              <w:t>广东省内殡葬单位（</w:t>
            </w:r>
            <w:r>
              <w:rPr>
                <w:rFonts w:ascii="Times New Roman" w:hAnsi="Times New Roman" w:eastAsia="宋体" w:cs="Times New Roman"/>
                <w:bCs/>
                <w:color w:val="242424"/>
                <w:sz w:val="21"/>
                <w:szCs w:val="21"/>
              </w:rPr>
              <w:t>10</w:t>
            </w:r>
            <w:r>
              <w:rPr>
                <w:rFonts w:hint="eastAsia" w:ascii="Times New Roman" w:hAnsi="Times New Roman" w:eastAsia="宋体" w:cs="Times New Roman"/>
                <w:bCs/>
                <w:color w:val="242424"/>
                <w:sz w:val="21"/>
                <w:szCs w:val="21"/>
              </w:rPr>
              <w:t>家）</w:t>
            </w:r>
          </w:p>
        </w:tc>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textAlignment w:val="center"/>
              <w:rPr>
                <w:rFonts w:ascii="Times New Roman" w:hAnsi="Times New Roman" w:eastAsia="宋体" w:cs="Times New Roman"/>
                <w:bCs/>
                <w:color w:val="242424"/>
                <w:sz w:val="21"/>
                <w:szCs w:val="21"/>
              </w:rPr>
            </w:pPr>
            <w:r>
              <w:rPr>
                <w:rFonts w:hint="eastAsia" w:ascii="Times New Roman" w:hAnsi="Times New Roman" w:eastAsia="宋体" w:cs="Times New Roman"/>
                <w:bCs/>
                <w:color w:val="242424"/>
                <w:sz w:val="21"/>
                <w:szCs w:val="21"/>
              </w:rPr>
              <w:t>殡仪馆火化机、遗物焚烧排气筒</w:t>
            </w:r>
          </w:p>
        </w:tc>
        <w:tc>
          <w:tcPr>
            <w:tcW w:w="255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textAlignment w:val="center"/>
              <w:rPr>
                <w:rFonts w:ascii="Times New Roman" w:hAnsi="Times New Roman" w:eastAsia="宋体" w:cs="Times New Roman"/>
                <w:bCs/>
                <w:color w:val="242424"/>
                <w:sz w:val="21"/>
                <w:szCs w:val="21"/>
              </w:rPr>
            </w:pPr>
            <w:r>
              <w:rPr>
                <w:rFonts w:hint="eastAsia" w:ascii="Times New Roman" w:hAnsi="Times New Roman" w:eastAsia="宋体" w:cs="Times New Roman"/>
                <w:bCs/>
                <w:color w:val="242424"/>
                <w:sz w:val="21"/>
                <w:szCs w:val="21"/>
              </w:rPr>
              <w:t>二噁英类（</w:t>
            </w:r>
            <w:r>
              <w:rPr>
                <w:rFonts w:ascii="Times New Roman" w:hAnsi="Times New Roman" w:eastAsia="宋体" w:cs="Times New Roman"/>
                <w:bCs/>
                <w:color w:val="242424"/>
                <w:sz w:val="21"/>
                <w:szCs w:val="21"/>
              </w:rPr>
              <w:t>ng TEQ/m</w:t>
            </w:r>
            <w:r>
              <w:rPr>
                <w:rFonts w:ascii="Times New Roman" w:hAnsi="Times New Roman" w:eastAsia="宋体" w:cs="Times New Roman"/>
                <w:bCs/>
                <w:color w:val="242424"/>
                <w:sz w:val="21"/>
                <w:szCs w:val="21"/>
                <w:vertAlign w:val="superscript"/>
              </w:rPr>
              <w:t>3</w:t>
            </w:r>
            <w:r>
              <w:rPr>
                <w:rFonts w:ascii="Times New Roman" w:hAnsi="Times New Roman" w:eastAsia="宋体" w:cs="Times New Roman"/>
                <w:bCs/>
                <w:color w:val="242424"/>
                <w:sz w:val="21"/>
                <w:szCs w:val="21"/>
              </w:rPr>
              <w:t>)</w:t>
            </w:r>
            <w:r>
              <w:rPr>
                <w:rFonts w:hint="eastAsia" w:ascii="Times New Roman" w:hAnsi="Times New Roman" w:eastAsia="宋体" w:cs="Times New Roman"/>
                <w:bCs/>
                <w:color w:val="242424"/>
                <w:sz w:val="21"/>
                <w:szCs w:val="21"/>
              </w:rPr>
              <w:t>、</w:t>
            </w:r>
          </w:p>
          <w:p>
            <w:pPr>
              <w:jc w:val="center"/>
              <w:textAlignment w:val="center"/>
              <w:rPr>
                <w:rFonts w:ascii="Times New Roman" w:hAnsi="Times New Roman" w:eastAsia="宋体" w:cs="Times New Roman"/>
                <w:bCs/>
                <w:color w:val="242424"/>
                <w:sz w:val="21"/>
                <w:szCs w:val="21"/>
              </w:rPr>
            </w:pPr>
            <w:r>
              <w:rPr>
                <w:rFonts w:hint="eastAsia" w:ascii="Times New Roman" w:hAnsi="Times New Roman" w:eastAsia="宋体" w:cs="Times New Roman"/>
                <w:bCs/>
                <w:color w:val="242424"/>
                <w:sz w:val="21"/>
                <w:szCs w:val="21"/>
              </w:rPr>
              <w:t>氧含量（</w:t>
            </w:r>
            <w:r>
              <w:rPr>
                <w:rFonts w:ascii="Times New Roman" w:hAnsi="Times New Roman" w:eastAsia="宋体" w:cs="Times New Roman"/>
                <w:bCs/>
                <w:color w:val="242424"/>
                <w:sz w:val="21"/>
                <w:szCs w:val="21"/>
              </w:rPr>
              <w:t>%</w:t>
            </w:r>
            <w:r>
              <w:rPr>
                <w:rFonts w:hint="eastAsia" w:ascii="Times New Roman" w:hAnsi="Times New Roman" w:eastAsia="宋体" w:cs="Times New Roman"/>
                <w:bCs/>
                <w:color w:val="242424"/>
                <w:sz w:val="21"/>
                <w:szCs w:val="21"/>
              </w:rPr>
              <w:t>）</w:t>
            </w:r>
          </w:p>
        </w:tc>
        <w:tc>
          <w:tcPr>
            <w:tcW w:w="127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textAlignment w:val="center"/>
              <w:rPr>
                <w:rFonts w:ascii="Times New Roman" w:hAnsi="Times New Roman" w:eastAsia="宋体" w:cs="Times New Roman"/>
                <w:bCs/>
                <w:color w:val="242424"/>
                <w:sz w:val="21"/>
                <w:szCs w:val="21"/>
              </w:rPr>
            </w:pPr>
            <w:r>
              <w:rPr>
                <w:rFonts w:ascii="Times New Roman" w:hAnsi="Times New Roman" w:eastAsia="宋体" w:cs="Times New Roman"/>
                <w:bCs/>
                <w:color w:val="242424"/>
                <w:sz w:val="21"/>
                <w:szCs w:val="21"/>
              </w:rPr>
              <w:t>3</w:t>
            </w:r>
            <w:r>
              <w:rPr>
                <w:rFonts w:hint="eastAsia" w:ascii="Times New Roman" w:hAnsi="Times New Roman" w:eastAsia="宋体" w:cs="Times New Roman"/>
                <w:bCs/>
                <w:color w:val="242424"/>
                <w:sz w:val="21"/>
                <w:szCs w:val="21"/>
              </w:rPr>
              <w:t>次</w:t>
            </w:r>
            <w:r>
              <w:rPr>
                <w:rFonts w:ascii="Times New Roman" w:hAnsi="Times New Roman" w:eastAsia="宋体" w:cs="Times New Roman"/>
                <w:bCs/>
                <w:color w:val="242424"/>
                <w:sz w:val="21"/>
                <w:szCs w:val="21"/>
              </w:rPr>
              <w:t>/</w:t>
            </w:r>
            <w:r>
              <w:rPr>
                <w:rFonts w:hint="eastAsia" w:ascii="Times New Roman" w:hAnsi="Times New Roman" w:eastAsia="宋体" w:cs="Times New Roman"/>
                <w:bCs/>
                <w:color w:val="242424"/>
                <w:sz w:val="21"/>
                <w:szCs w:val="21"/>
              </w:rPr>
              <w:t>排气筒</w:t>
            </w:r>
          </w:p>
        </w:tc>
        <w:tc>
          <w:tcPr>
            <w:tcW w:w="1297"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jc w:val="center"/>
              <w:textAlignment w:val="center"/>
              <w:rPr>
                <w:rFonts w:ascii="Times New Roman" w:hAnsi="Times New Roman" w:eastAsia="宋体" w:cs="Times New Roman"/>
                <w:bCs/>
                <w:color w:val="242424"/>
                <w:sz w:val="21"/>
                <w:szCs w:val="21"/>
              </w:rPr>
            </w:pPr>
            <w:r>
              <w:rPr>
                <w:rFonts w:hint="eastAsia" w:ascii="Times New Roman" w:hAnsi="Times New Roman" w:eastAsia="宋体" w:cs="Times New Roman"/>
                <w:bCs/>
                <w:color w:val="242424"/>
                <w:sz w:val="21"/>
                <w:szCs w:val="21"/>
              </w:rPr>
              <w:t>预计</w:t>
            </w:r>
            <w:r>
              <w:rPr>
                <w:rFonts w:ascii="Times New Roman" w:hAnsi="Times New Roman" w:eastAsia="宋体" w:cs="Times New Roman"/>
                <w:bCs/>
                <w:color w:val="242424"/>
                <w:sz w:val="21"/>
                <w:szCs w:val="21"/>
              </w:rPr>
              <w:t>90</w:t>
            </w:r>
            <w:r>
              <w:rPr>
                <w:rFonts w:hint="eastAsia" w:ascii="Times New Roman" w:hAnsi="Times New Roman" w:eastAsia="宋体" w:cs="Times New Roman"/>
                <w:bCs/>
                <w:color w:val="242424"/>
                <w:sz w:val="21"/>
                <w:szCs w:val="21"/>
              </w:rPr>
              <w:t>个</w:t>
            </w:r>
          </w:p>
        </w:tc>
      </w:tr>
      <w:tr>
        <w:tblPrEx>
          <w:tblLayout w:type="fixed"/>
          <w:tblCellMar>
            <w:top w:w="0" w:type="dxa"/>
            <w:left w:w="0" w:type="dxa"/>
            <w:bottom w:w="0" w:type="dxa"/>
            <w:right w:w="0" w:type="dxa"/>
          </w:tblCellMar>
        </w:tblPrEx>
        <w:trPr>
          <w:trHeight w:val="449" w:hRule="atLeast"/>
        </w:trPr>
        <w:tc>
          <w:tcPr>
            <w:tcW w:w="8116" w:type="dxa"/>
            <w:gridSpan w:val="5"/>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textAlignment w:val="center"/>
              <w:rPr>
                <w:rFonts w:ascii="Times New Roman" w:hAnsi="Times New Roman" w:eastAsia="宋体" w:cs="Times New Roman"/>
                <w:bCs/>
                <w:color w:val="242424"/>
                <w:sz w:val="21"/>
                <w:szCs w:val="21"/>
              </w:rPr>
            </w:pPr>
            <w:bookmarkStart w:id="0" w:name="_GoBack"/>
            <w:bookmarkEnd w:id="0"/>
          </w:p>
        </w:tc>
      </w:tr>
    </w:tbl>
    <w:p>
      <w:pPr>
        <w:suppressAutoHyphens/>
        <w:spacing w:line="360" w:lineRule="auto"/>
        <w:ind w:firstLine="480" w:firstLineChars="200"/>
        <w:rPr>
          <w:rFonts w:ascii="Times New Roman" w:hAnsi="Times New Roman" w:eastAsia="宋体" w:cs="Times New Roman"/>
          <w:bCs/>
          <w:color w:val="242424"/>
          <w:sz w:val="24"/>
          <w:szCs w:val="21"/>
        </w:rPr>
      </w:pPr>
      <w:r>
        <w:rPr>
          <w:rFonts w:hint="eastAsia" w:ascii="Times New Roman" w:hAnsi="Times New Roman" w:eastAsia="宋体" w:cs="Times New Roman"/>
          <w:bCs/>
          <w:color w:val="242424"/>
          <w:sz w:val="24"/>
          <w:szCs w:val="21"/>
        </w:rPr>
        <w:t>有组织排放废气二噁英类监测根据采购人要求进行，具体采样时间由采购人提前通知，中标人接到通知后及时与采购人到达监测现场。中标人应在采购人的陪同下开展工作，不得独立开展监督性监测工作。中标人在被抽取殡葬单位的每个有组织排放废气排气筒均连续监测3个二噁英类样品，</w:t>
      </w:r>
      <w:r>
        <w:rPr>
          <w:rFonts w:ascii="Times New Roman" w:hAnsi="Times New Roman" w:eastAsia="宋体" w:cs="Times New Roman"/>
          <w:bCs/>
          <w:color w:val="242424"/>
          <w:sz w:val="24"/>
          <w:szCs w:val="21"/>
        </w:rPr>
        <w:t>由</w:t>
      </w:r>
      <w:r>
        <w:rPr>
          <w:rFonts w:hint="eastAsia" w:ascii="Times New Roman" w:hAnsi="Times New Roman" w:eastAsia="宋体" w:cs="Times New Roman"/>
          <w:bCs/>
          <w:color w:val="242424"/>
          <w:sz w:val="24"/>
          <w:szCs w:val="21"/>
        </w:rPr>
        <w:t>中标单位负责样品采集、样品分析并按抽测对象为单位按份出具监测报告。如果中标单位及采购人到达被监测单位，发现被监测单位不具备监测条件，未能完成监测任务，则不计入服务内容（所产生的费用由中标人承担），采购人将重新选择抽测对象，立即或择期前往新抽测对象完成监测。有组织排放废气二噁英类的监测分析按《环境空气和废气二噁英类的测定同位素稀释高分辨气相色谱－高分辨质谱法》（HJ77.2-2008）和《火葬场大气污染物排放标准》（GB13801-2015）的有关规定进行，分析过程需严格按照标准方法要求开展质量保证和质量控制；监测结果评价执行《火葬场大气污染物排放标准》（GB13801-2015）、抽测对象环评批复、排污许可证等限值要求。</w:t>
      </w:r>
    </w:p>
    <w:p>
      <w:pPr>
        <w:pStyle w:val="3"/>
      </w:pPr>
      <w:r>
        <w:t>服务时间</w:t>
      </w:r>
    </w:p>
    <w:p>
      <w:pPr>
        <w:numPr>
          <w:ilvl w:val="2"/>
          <w:numId w:val="0"/>
        </w:numPr>
        <w:tabs>
          <w:tab w:val="left" w:pos="567"/>
          <w:tab w:val="left" w:pos="1440"/>
          <w:tab w:val="left" w:pos="2880"/>
        </w:tabs>
        <w:ind w:firstLine="480" w:firstLineChars="200"/>
        <w:rPr>
          <w:rFonts w:ascii="Times New Roman" w:hAnsi="Times New Roman" w:eastAsia="宋体" w:cs="Times New Roman"/>
          <w:bCs/>
          <w:color w:val="242424"/>
          <w:sz w:val="24"/>
          <w:szCs w:val="21"/>
        </w:rPr>
      </w:pPr>
      <w:r>
        <w:rPr>
          <w:rFonts w:ascii="Times New Roman" w:hAnsi="Times New Roman" w:eastAsia="宋体" w:cs="Times New Roman"/>
          <w:bCs/>
          <w:color w:val="242424"/>
          <w:sz w:val="24"/>
          <w:szCs w:val="21"/>
        </w:rPr>
        <w:t>本项目在合同签订之后开始执行，服务期为</w:t>
      </w:r>
      <w:r>
        <w:rPr>
          <w:rFonts w:hint="eastAsia" w:ascii="Times New Roman" w:hAnsi="Times New Roman" w:eastAsia="宋体" w:cs="Times New Roman"/>
          <w:bCs/>
          <w:color w:val="242424"/>
          <w:sz w:val="24"/>
          <w:szCs w:val="21"/>
        </w:rPr>
        <w:t>2020</w:t>
      </w:r>
      <w:r>
        <w:rPr>
          <w:rFonts w:ascii="Times New Roman" w:hAnsi="Times New Roman" w:eastAsia="宋体" w:cs="Times New Roman"/>
          <w:bCs/>
          <w:color w:val="242424"/>
          <w:sz w:val="24"/>
          <w:szCs w:val="21"/>
        </w:rPr>
        <w:t>年（2020年6月-202</w:t>
      </w:r>
      <w:r>
        <w:rPr>
          <w:rFonts w:hint="eastAsia" w:ascii="Times New Roman" w:hAnsi="Times New Roman" w:eastAsia="宋体" w:cs="Times New Roman"/>
          <w:bCs/>
          <w:color w:val="242424"/>
          <w:sz w:val="24"/>
          <w:szCs w:val="21"/>
        </w:rPr>
        <w:t>0</w:t>
      </w:r>
      <w:r>
        <w:rPr>
          <w:rFonts w:ascii="Times New Roman" w:hAnsi="Times New Roman" w:eastAsia="宋体" w:cs="Times New Roman"/>
          <w:bCs/>
          <w:color w:val="242424"/>
          <w:sz w:val="24"/>
          <w:szCs w:val="21"/>
        </w:rPr>
        <w:t>年12月）</w:t>
      </w:r>
      <w:r>
        <w:rPr>
          <w:rFonts w:hint="eastAsia" w:ascii="Times New Roman" w:hAnsi="Times New Roman" w:eastAsia="宋体" w:cs="Times New Roman"/>
          <w:bCs/>
          <w:color w:val="242424"/>
          <w:sz w:val="24"/>
          <w:szCs w:val="21"/>
        </w:rPr>
        <w:t>。</w:t>
      </w:r>
    </w:p>
    <w:p>
      <w:pPr>
        <w:suppressAutoHyphens/>
        <w:spacing w:line="360" w:lineRule="auto"/>
        <w:ind w:firstLine="480" w:firstLineChars="200"/>
        <w:rPr>
          <w:rFonts w:ascii="Times New Roman" w:hAnsi="Times New Roman" w:eastAsia="宋体" w:cs="Times New Roman"/>
          <w:bCs/>
          <w:color w:val="242424"/>
          <w:sz w:val="24"/>
          <w:szCs w:val="21"/>
        </w:rPr>
      </w:pPr>
      <w:r>
        <w:rPr>
          <w:rFonts w:hint="eastAsia" w:ascii="Times New Roman" w:hAnsi="Times New Roman" w:eastAsia="宋体" w:cs="Times New Roman"/>
          <w:bCs/>
          <w:color w:val="242424"/>
          <w:sz w:val="24"/>
          <w:szCs w:val="21"/>
        </w:rPr>
        <w:t>样品采集时间：2020年11月20日之前由采购人安排完成所有样品采集工作。</w:t>
      </w:r>
    </w:p>
    <w:p>
      <w:pPr>
        <w:suppressAutoHyphens/>
        <w:spacing w:line="360" w:lineRule="auto"/>
        <w:ind w:firstLine="480" w:firstLineChars="200"/>
        <w:rPr>
          <w:rFonts w:ascii="Times New Roman" w:hAnsi="Times New Roman" w:eastAsia="宋体" w:cs="Times New Roman"/>
          <w:bCs/>
          <w:color w:val="242424"/>
          <w:sz w:val="24"/>
          <w:szCs w:val="21"/>
        </w:rPr>
      </w:pPr>
      <w:r>
        <w:rPr>
          <w:rFonts w:ascii="Times New Roman" w:hAnsi="Times New Roman" w:eastAsia="宋体" w:cs="Times New Roman"/>
          <w:bCs/>
          <w:color w:val="242424"/>
          <w:sz w:val="24"/>
          <w:szCs w:val="21"/>
        </w:rPr>
        <w:t>样品分析测试时间：</w:t>
      </w:r>
      <w:r>
        <w:rPr>
          <w:rFonts w:hint="eastAsia" w:ascii="Times New Roman" w:hAnsi="Times New Roman" w:eastAsia="宋体" w:cs="Times New Roman"/>
          <w:bCs/>
          <w:color w:val="242424"/>
          <w:sz w:val="24"/>
          <w:szCs w:val="21"/>
        </w:rPr>
        <w:t>完成每批样品采集工作后一个月内提交该批次样品</w:t>
      </w:r>
      <w:r>
        <w:rPr>
          <w:rFonts w:ascii="Times New Roman" w:hAnsi="Times New Roman" w:eastAsia="宋体" w:cs="Times New Roman"/>
          <w:bCs/>
          <w:color w:val="242424"/>
          <w:sz w:val="24"/>
          <w:szCs w:val="21"/>
        </w:rPr>
        <w:t>分析测试</w:t>
      </w:r>
      <w:r>
        <w:rPr>
          <w:rFonts w:hint="eastAsia" w:ascii="Times New Roman" w:hAnsi="Times New Roman" w:eastAsia="宋体" w:cs="Times New Roman"/>
          <w:bCs/>
          <w:color w:val="242424"/>
          <w:sz w:val="24"/>
          <w:szCs w:val="21"/>
        </w:rPr>
        <w:t>结果</w:t>
      </w:r>
      <w:r>
        <w:rPr>
          <w:rFonts w:ascii="Times New Roman" w:hAnsi="Times New Roman" w:eastAsia="宋体" w:cs="Times New Roman"/>
          <w:bCs/>
          <w:color w:val="242424"/>
          <w:sz w:val="24"/>
          <w:szCs w:val="21"/>
        </w:rPr>
        <w:t>，并向采购人提交</w:t>
      </w:r>
      <w:r>
        <w:rPr>
          <w:rFonts w:hint="eastAsia" w:ascii="Times New Roman" w:hAnsi="Times New Roman" w:eastAsia="宋体" w:cs="Times New Roman"/>
          <w:bCs/>
          <w:color w:val="242424"/>
          <w:sz w:val="24"/>
          <w:szCs w:val="21"/>
        </w:rPr>
        <w:t>监测</w:t>
      </w:r>
      <w:r>
        <w:rPr>
          <w:rFonts w:ascii="Times New Roman" w:hAnsi="Times New Roman" w:eastAsia="宋体" w:cs="Times New Roman"/>
          <w:bCs/>
          <w:color w:val="242424"/>
          <w:sz w:val="24"/>
          <w:szCs w:val="21"/>
        </w:rPr>
        <w:t>报告和质控报告（纸质件和电子件）。</w:t>
      </w:r>
    </w:p>
    <w:p>
      <w:pPr>
        <w:pStyle w:val="2"/>
        <w:numPr>
          <w:ilvl w:val="0"/>
          <w:numId w:val="0"/>
        </w:numPr>
        <w:spacing w:beforeLines="0" w:afterLines="0"/>
        <w:ind w:left="425" w:hanging="425"/>
        <w:rPr>
          <w:rFonts w:cs="Times New Roman"/>
        </w:rPr>
      </w:pPr>
      <w:r>
        <w:rPr>
          <w:rFonts w:hint="eastAsia" w:cs="Times New Roman"/>
        </w:rPr>
        <w:t>3.投标人要求</w:t>
      </w:r>
    </w:p>
    <w:p>
      <w:pPr>
        <w:suppressAutoHyphens/>
        <w:spacing w:line="360" w:lineRule="auto"/>
        <w:ind w:firstLine="480" w:firstLineChars="200"/>
        <w:rPr>
          <w:rFonts w:ascii="Times New Roman" w:hAnsi="Times New Roman" w:eastAsia="宋体" w:cs="Times New Roman"/>
          <w:bCs/>
          <w:color w:val="242424"/>
          <w:sz w:val="24"/>
          <w:szCs w:val="21"/>
        </w:rPr>
      </w:pPr>
      <w:r>
        <w:rPr>
          <w:rFonts w:hint="eastAsia" w:ascii="Times New Roman" w:hAnsi="Times New Roman" w:eastAsia="宋体" w:cs="Times New Roman"/>
          <w:bCs/>
          <w:color w:val="242424"/>
          <w:sz w:val="24"/>
          <w:szCs w:val="21"/>
        </w:rPr>
        <w:t>3.1本项目不接受联合体投标，投标人独立完成监测任务，不能以任何形式外包合同规定的监测任务。投标人具有独立财务账户或财务独立核算，以保证监测任务的独立性和公正性。具有明确的法人地位，能够对出具的监测数据、结果的真实性和准确性负责。</w:t>
      </w:r>
    </w:p>
    <w:p>
      <w:pPr>
        <w:suppressAutoHyphens/>
        <w:spacing w:line="360" w:lineRule="auto"/>
        <w:ind w:firstLine="480" w:firstLineChars="200"/>
        <w:rPr>
          <w:rFonts w:ascii="Times New Roman" w:hAnsi="Times New Roman" w:eastAsia="宋体" w:cs="Times New Roman"/>
          <w:bCs/>
          <w:color w:val="242424"/>
          <w:sz w:val="24"/>
          <w:szCs w:val="21"/>
        </w:rPr>
      </w:pPr>
      <w:r>
        <w:rPr>
          <w:rFonts w:hint="eastAsia" w:ascii="Times New Roman" w:hAnsi="Times New Roman" w:eastAsia="宋体" w:cs="Times New Roman"/>
          <w:bCs/>
          <w:color w:val="242424"/>
          <w:sz w:val="24"/>
          <w:szCs w:val="21"/>
        </w:rPr>
        <w:t>3.2投标人应为独立法人，投标时提供在中华人民共和国境内注册的法人或其他组织的营业执照或事业单位法人证书或社会团体法人登记证书复印件。（分支机构投标，须取得具有法人资格的母公司出具分支机构的授权书，并提供总公司（总所）和分支机构的营业执照（执业许可证）复印件。</w:t>
      </w:r>
    </w:p>
    <w:p>
      <w:pPr>
        <w:suppressAutoHyphens/>
        <w:spacing w:line="360" w:lineRule="auto"/>
        <w:ind w:firstLine="480" w:firstLineChars="200"/>
        <w:rPr>
          <w:rFonts w:ascii="Times New Roman" w:hAnsi="Times New Roman" w:eastAsia="宋体" w:cs="Times New Roman"/>
          <w:bCs/>
          <w:color w:val="242424"/>
          <w:sz w:val="24"/>
          <w:szCs w:val="21"/>
        </w:rPr>
      </w:pPr>
      <w:r>
        <w:rPr>
          <w:rFonts w:hint="eastAsia" w:ascii="Times New Roman" w:hAnsi="Times New Roman" w:eastAsia="宋体" w:cs="Times New Roman"/>
          <w:bCs/>
          <w:color w:val="242424"/>
          <w:sz w:val="24"/>
          <w:szCs w:val="21"/>
        </w:rPr>
        <w:t>3.3投标人应具有质量技术监督部门颁发的检验检测机构资质认定证书（</w:t>
      </w:r>
      <w:r>
        <w:rPr>
          <w:rFonts w:ascii="Times New Roman" w:hAnsi="Times New Roman" w:eastAsia="宋体" w:cs="Times New Roman"/>
          <w:bCs/>
          <w:color w:val="242424"/>
          <w:sz w:val="24"/>
          <w:szCs w:val="21"/>
        </w:rPr>
        <w:t>CMA</w:t>
      </w:r>
      <w:r>
        <w:rPr>
          <w:rFonts w:hint="eastAsia" w:ascii="Times New Roman" w:hAnsi="Times New Roman" w:eastAsia="宋体" w:cs="Times New Roman"/>
          <w:bCs/>
          <w:color w:val="242424"/>
          <w:sz w:val="24"/>
          <w:szCs w:val="21"/>
        </w:rPr>
        <w:t>，在有效期内），且资质认定证书的检测范围覆盖本项目的测试指标（废气二噁英类）。</w:t>
      </w:r>
    </w:p>
    <w:p>
      <w:pPr>
        <w:suppressAutoHyphens/>
        <w:spacing w:line="360" w:lineRule="auto"/>
        <w:ind w:firstLine="480" w:firstLineChars="200"/>
        <w:rPr>
          <w:rFonts w:ascii="Times New Roman" w:hAnsi="Times New Roman" w:eastAsia="宋体" w:cs="Times New Roman"/>
          <w:bCs/>
          <w:color w:val="242424"/>
          <w:sz w:val="24"/>
          <w:szCs w:val="21"/>
        </w:rPr>
      </w:pPr>
      <w:r>
        <w:rPr>
          <w:rFonts w:hint="eastAsia" w:ascii="Times New Roman" w:hAnsi="Times New Roman" w:eastAsia="宋体" w:cs="Times New Roman"/>
          <w:bCs/>
          <w:color w:val="242424"/>
          <w:sz w:val="24"/>
          <w:szCs w:val="21"/>
        </w:rPr>
        <w:t>3.4投标人应有二噁英类环境监测或相关工作经历，具有满足监测任务所需要的监测设施、仪器设备和人员等技术条件和能力，并能够依据技术服务要求和质量管理要求开展监测活动。</w:t>
      </w:r>
    </w:p>
    <w:p>
      <w:pPr>
        <w:suppressAutoHyphens/>
        <w:spacing w:line="360" w:lineRule="auto"/>
        <w:ind w:firstLine="480" w:firstLineChars="200"/>
        <w:rPr>
          <w:rFonts w:ascii="Times New Roman" w:hAnsi="Times New Roman" w:eastAsia="宋体" w:cs="Times New Roman"/>
          <w:bCs/>
          <w:color w:val="242424"/>
          <w:sz w:val="24"/>
          <w:szCs w:val="21"/>
        </w:rPr>
      </w:pPr>
      <w:r>
        <w:rPr>
          <w:rFonts w:hint="eastAsia" w:ascii="宋体" w:hAnsi="宋体" w:eastAsia="宋体" w:cs="Times New Roman"/>
          <w:bCs/>
          <w:color w:val="242424"/>
          <w:sz w:val="24"/>
          <w:szCs w:val="21"/>
        </w:rPr>
        <w:t>★</w:t>
      </w:r>
      <w:r>
        <w:rPr>
          <w:rFonts w:hint="eastAsia" w:ascii="Times New Roman" w:hAnsi="Times New Roman" w:eastAsia="宋体" w:cs="Times New Roman"/>
          <w:bCs/>
          <w:color w:val="242424"/>
          <w:sz w:val="24"/>
          <w:szCs w:val="21"/>
        </w:rPr>
        <w:t>3.5投标人（包括母公司近三年以来（招标公告发出之日计算）在经营活动中没有重大违法记录，没有受到有关行政主管部门关于监测质量问题的通报，投标人提供声明函加盖投标人公章。</w:t>
      </w:r>
    </w:p>
    <w:p>
      <w:pPr>
        <w:suppressAutoHyphens/>
        <w:spacing w:line="360" w:lineRule="auto"/>
        <w:ind w:firstLine="480" w:firstLineChars="200"/>
        <w:rPr>
          <w:rFonts w:ascii="Times New Roman" w:hAnsi="Times New Roman" w:eastAsia="宋体" w:cs="Times New Roman"/>
          <w:bCs/>
          <w:color w:val="242424"/>
          <w:sz w:val="24"/>
          <w:szCs w:val="21"/>
        </w:rPr>
      </w:pPr>
      <w:r>
        <w:rPr>
          <w:rFonts w:hint="eastAsia" w:ascii="Times New Roman" w:hAnsi="Times New Roman" w:eastAsia="宋体" w:cs="Times New Roman"/>
          <w:bCs/>
          <w:color w:val="242424"/>
          <w:sz w:val="24"/>
          <w:szCs w:val="21"/>
        </w:rPr>
        <w:t>3.6投标人应具有适当的措施和程序保证监测结果的独立性和公正性，要严格按照《中华人民共和国保守国家秘密法》、《中华人民共和国保守国家秘密法实施办法》及《国家秘密载体保密管理制度》等相关要求，管理、监督、落实项目安全保密工作，保护国家秘密、委托方的商业秘密和技术秘密。</w:t>
      </w:r>
    </w:p>
    <w:p>
      <w:pPr>
        <w:numPr>
          <w:ilvl w:val="2"/>
          <w:numId w:val="0"/>
        </w:numPr>
        <w:tabs>
          <w:tab w:val="left" w:pos="567"/>
          <w:tab w:val="left" w:pos="1440"/>
          <w:tab w:val="left" w:pos="2880"/>
        </w:tabs>
        <w:ind w:firstLine="440" w:firstLineChars="200"/>
      </w:pPr>
    </w:p>
    <w:p>
      <w:pPr>
        <w:pStyle w:val="2"/>
        <w:numPr>
          <w:ilvl w:val="0"/>
          <w:numId w:val="0"/>
        </w:numPr>
        <w:spacing w:beforeLines="0" w:afterLines="0"/>
        <w:rPr>
          <w:rFonts w:cs="Times New Roman"/>
        </w:rPr>
      </w:pPr>
      <w:r>
        <w:rPr>
          <w:rFonts w:hint="eastAsia" w:cs="Times New Roman"/>
        </w:rPr>
        <w:t>4</w:t>
      </w:r>
      <w:r>
        <w:rPr>
          <w:rFonts w:cs="Times New Roman"/>
        </w:rPr>
        <w:t>技术服务要求</w:t>
      </w:r>
    </w:p>
    <w:p>
      <w:pPr>
        <w:numPr>
          <w:ilvl w:val="2"/>
          <w:numId w:val="0"/>
        </w:numPr>
        <w:tabs>
          <w:tab w:val="left" w:pos="567"/>
          <w:tab w:val="left" w:pos="1440"/>
          <w:tab w:val="left" w:pos="2880"/>
        </w:tabs>
        <w:ind w:firstLine="480" w:firstLineChars="200"/>
        <w:rPr>
          <w:rFonts w:ascii="Times New Roman" w:hAnsi="Times New Roman" w:eastAsia="宋体" w:cs="Times New Roman"/>
          <w:bCs/>
          <w:color w:val="242424"/>
          <w:sz w:val="24"/>
          <w:szCs w:val="21"/>
        </w:rPr>
      </w:pPr>
      <w:r>
        <w:rPr>
          <w:rFonts w:hint="eastAsia" w:ascii="Times New Roman" w:hAnsi="Times New Roman" w:eastAsia="宋体" w:cs="Times New Roman"/>
          <w:bCs/>
          <w:color w:val="242424"/>
          <w:sz w:val="24"/>
          <w:szCs w:val="21"/>
        </w:rPr>
        <w:t>4.1 环境监测人员要求</w:t>
      </w:r>
    </w:p>
    <w:p>
      <w:pPr>
        <w:numPr>
          <w:ilvl w:val="2"/>
          <w:numId w:val="0"/>
        </w:numPr>
        <w:tabs>
          <w:tab w:val="left" w:pos="567"/>
          <w:tab w:val="left" w:pos="1440"/>
          <w:tab w:val="left" w:pos="2880"/>
        </w:tabs>
        <w:spacing w:line="460" w:lineRule="exact"/>
        <w:ind w:firstLine="480" w:firstLineChars="200"/>
        <w:rPr>
          <w:rFonts w:ascii="Times New Roman" w:hAnsi="Times New Roman" w:eastAsia="宋体" w:cs="Times New Roman"/>
          <w:bCs/>
          <w:color w:val="242424"/>
          <w:sz w:val="24"/>
          <w:szCs w:val="21"/>
        </w:rPr>
      </w:pPr>
      <w:r>
        <w:rPr>
          <w:rFonts w:hint="eastAsia" w:ascii="Times New Roman" w:hAnsi="Times New Roman" w:eastAsia="宋体" w:cs="Times New Roman"/>
          <w:bCs/>
          <w:color w:val="242424"/>
          <w:sz w:val="24"/>
          <w:szCs w:val="21"/>
        </w:rPr>
        <w:t>投标人应具有与其承担监测任务相关的技术人员和管理人员，提供职称、社保等证明材料，</w:t>
      </w:r>
      <w:r>
        <w:rPr>
          <w:rFonts w:ascii="Times New Roman" w:hAnsi="Times New Roman" w:eastAsia="宋体" w:cs="Times New Roman"/>
          <w:bCs/>
          <w:color w:val="242424"/>
          <w:sz w:val="24"/>
          <w:szCs w:val="21"/>
        </w:rPr>
        <w:t>具备环境监测或化学分析相关专业背景</w:t>
      </w:r>
      <w:r>
        <w:rPr>
          <w:rFonts w:hint="eastAsia" w:ascii="Times New Roman" w:hAnsi="Times New Roman" w:eastAsia="宋体" w:cs="Times New Roman"/>
          <w:bCs/>
          <w:color w:val="242424"/>
          <w:sz w:val="24"/>
          <w:szCs w:val="21"/>
        </w:rPr>
        <w:t>，并保证采样和检测人员持证上岗。</w:t>
      </w:r>
      <w:r>
        <w:rPr>
          <w:rFonts w:ascii="Times New Roman" w:hAnsi="Times New Roman" w:eastAsia="宋体" w:cs="Times New Roman"/>
          <w:bCs/>
          <w:color w:val="242424"/>
          <w:sz w:val="24"/>
          <w:szCs w:val="21"/>
        </w:rPr>
        <w:t xml:space="preserve"> </w:t>
      </w:r>
    </w:p>
    <w:p>
      <w:pPr>
        <w:numPr>
          <w:ilvl w:val="2"/>
          <w:numId w:val="0"/>
        </w:numPr>
        <w:tabs>
          <w:tab w:val="left" w:pos="567"/>
          <w:tab w:val="left" w:pos="1440"/>
          <w:tab w:val="left" w:pos="2880"/>
        </w:tabs>
        <w:suppressAutoHyphens/>
        <w:ind w:firstLine="480" w:firstLineChars="200"/>
        <w:rPr>
          <w:rFonts w:ascii="Times New Roman" w:hAnsi="Times New Roman" w:eastAsia="宋体" w:cs="Times New Roman"/>
          <w:bCs/>
          <w:color w:val="242424"/>
          <w:sz w:val="24"/>
          <w:szCs w:val="21"/>
        </w:rPr>
      </w:pPr>
      <w:r>
        <w:rPr>
          <w:rFonts w:hint="eastAsia" w:ascii="Times New Roman" w:hAnsi="Times New Roman" w:eastAsia="宋体" w:cs="Times New Roman"/>
          <w:bCs/>
          <w:color w:val="242424"/>
          <w:sz w:val="24"/>
          <w:szCs w:val="21"/>
        </w:rPr>
        <w:t>4.2仪器设备要求</w:t>
      </w:r>
    </w:p>
    <w:p>
      <w:pPr>
        <w:numPr>
          <w:ilvl w:val="2"/>
          <w:numId w:val="0"/>
        </w:numPr>
        <w:tabs>
          <w:tab w:val="left" w:pos="567"/>
          <w:tab w:val="left" w:pos="1440"/>
          <w:tab w:val="left" w:pos="2880"/>
        </w:tabs>
        <w:spacing w:line="460" w:lineRule="exact"/>
        <w:ind w:firstLine="480" w:firstLineChars="200"/>
        <w:rPr>
          <w:rFonts w:cs="Times New Roman" w:asciiTheme="minorEastAsia" w:hAnsiTheme="minorEastAsia" w:eastAsiaTheme="minorEastAsia"/>
          <w:bCs/>
          <w:color w:val="242424"/>
          <w:sz w:val="24"/>
          <w:szCs w:val="21"/>
        </w:rPr>
      </w:pPr>
      <w:r>
        <w:rPr>
          <w:rFonts w:hint="eastAsia" w:cs="Times New Roman" w:asciiTheme="minorEastAsia" w:hAnsiTheme="minorEastAsia" w:eastAsiaTheme="minorEastAsia"/>
          <w:bCs/>
          <w:color w:val="242424"/>
          <w:sz w:val="24"/>
          <w:szCs w:val="21"/>
        </w:rPr>
        <w:t>需具备废气二噁英专用采样器、高分辨磁质谱仪。主要仪器设备通过计量检定/校准</w:t>
      </w:r>
      <w:r>
        <w:rPr>
          <w:rFonts w:cs="Times New Roman" w:asciiTheme="minorEastAsia" w:hAnsiTheme="minorEastAsia" w:eastAsiaTheme="minorEastAsia"/>
          <w:bCs/>
          <w:color w:val="242424"/>
          <w:sz w:val="24"/>
          <w:szCs w:val="21"/>
        </w:rPr>
        <w:t>并保持其在有效期内进行使用。</w:t>
      </w:r>
      <w:r>
        <w:rPr>
          <w:rFonts w:hint="eastAsia" w:cs="Times New Roman" w:asciiTheme="minorEastAsia" w:hAnsiTheme="minorEastAsia" w:eastAsiaTheme="minorEastAsia"/>
          <w:bCs/>
          <w:color w:val="242424"/>
          <w:sz w:val="24"/>
          <w:szCs w:val="21"/>
        </w:rPr>
        <w:t>投标人应</w:t>
      </w:r>
      <w:r>
        <w:rPr>
          <w:rFonts w:cs="Times New Roman" w:asciiTheme="minorEastAsia" w:hAnsiTheme="minorEastAsia" w:eastAsiaTheme="minorEastAsia"/>
          <w:bCs/>
          <w:color w:val="242424"/>
          <w:sz w:val="24"/>
          <w:szCs w:val="21"/>
        </w:rPr>
        <w:t>提供用于本任务所需要的</w:t>
      </w:r>
      <w:r>
        <w:rPr>
          <w:rFonts w:hint="eastAsia" w:cs="Times New Roman" w:asciiTheme="minorEastAsia" w:hAnsiTheme="minorEastAsia" w:eastAsiaTheme="minorEastAsia"/>
          <w:bCs/>
          <w:color w:val="242424"/>
          <w:sz w:val="24"/>
          <w:szCs w:val="21"/>
        </w:rPr>
        <w:t>采样、样品</w:t>
      </w:r>
      <w:r>
        <w:rPr>
          <w:rFonts w:cs="Times New Roman" w:asciiTheme="minorEastAsia" w:hAnsiTheme="minorEastAsia" w:eastAsiaTheme="minorEastAsia"/>
          <w:bCs/>
          <w:color w:val="242424"/>
          <w:sz w:val="24"/>
          <w:szCs w:val="21"/>
        </w:rPr>
        <w:t>前处理和分析测试必要的仪器设备详细清单（含名称、型号、生产厂家、主要技术指标）和资产归属关系证明材料。</w:t>
      </w:r>
    </w:p>
    <w:p>
      <w:pPr>
        <w:numPr>
          <w:ilvl w:val="2"/>
          <w:numId w:val="0"/>
        </w:numPr>
        <w:tabs>
          <w:tab w:val="left" w:pos="567"/>
          <w:tab w:val="left" w:pos="1440"/>
          <w:tab w:val="left" w:pos="2880"/>
        </w:tabs>
        <w:ind w:firstLine="480" w:firstLineChars="200"/>
        <w:rPr>
          <w:rFonts w:ascii="Times New Roman" w:hAnsi="Times New Roman" w:eastAsia="宋体" w:cs="Times New Roman"/>
          <w:bCs/>
          <w:color w:val="242424"/>
          <w:sz w:val="24"/>
          <w:szCs w:val="21"/>
        </w:rPr>
      </w:pPr>
      <w:r>
        <w:rPr>
          <w:rFonts w:ascii="Times New Roman" w:hAnsi="Times New Roman" w:eastAsia="宋体" w:cs="Times New Roman"/>
          <w:bCs/>
          <w:color w:val="242424"/>
          <w:sz w:val="24"/>
          <w:szCs w:val="21"/>
        </w:rPr>
        <w:t>4.</w:t>
      </w:r>
      <w:r>
        <w:rPr>
          <w:rFonts w:hint="eastAsia" w:ascii="Times New Roman" w:hAnsi="Times New Roman" w:eastAsia="宋体" w:cs="Times New Roman"/>
          <w:bCs/>
          <w:color w:val="242424"/>
          <w:sz w:val="24"/>
          <w:szCs w:val="21"/>
        </w:rPr>
        <w:t>3内部质量控制要求</w:t>
      </w:r>
    </w:p>
    <w:p>
      <w:pPr>
        <w:numPr>
          <w:ilvl w:val="2"/>
          <w:numId w:val="0"/>
        </w:numPr>
        <w:tabs>
          <w:tab w:val="left" w:pos="567"/>
          <w:tab w:val="left" w:pos="1440"/>
          <w:tab w:val="left" w:pos="2880"/>
        </w:tabs>
        <w:ind w:firstLine="480" w:firstLineChars="200"/>
        <w:rPr>
          <w:rFonts w:cs="Times New Roman" w:asciiTheme="minorEastAsia" w:hAnsiTheme="minorEastAsia" w:eastAsiaTheme="minorEastAsia"/>
          <w:bCs/>
          <w:color w:val="242424"/>
          <w:sz w:val="24"/>
          <w:szCs w:val="21"/>
        </w:rPr>
      </w:pPr>
      <w:r>
        <w:rPr>
          <w:rFonts w:hint="eastAsia" w:cs="Times New Roman" w:asciiTheme="minorEastAsia" w:hAnsiTheme="minorEastAsia" w:eastAsiaTheme="minorEastAsia"/>
          <w:bCs/>
          <w:color w:val="242424"/>
          <w:sz w:val="24"/>
          <w:szCs w:val="21"/>
        </w:rPr>
        <w:t>投标人应具有完善的内部质量管理体系。</w:t>
      </w:r>
    </w:p>
    <w:p>
      <w:pPr>
        <w:numPr>
          <w:ilvl w:val="2"/>
          <w:numId w:val="0"/>
        </w:numPr>
        <w:tabs>
          <w:tab w:val="left" w:pos="567"/>
          <w:tab w:val="left" w:pos="1440"/>
          <w:tab w:val="left" w:pos="2880"/>
        </w:tabs>
        <w:spacing w:line="460" w:lineRule="exact"/>
        <w:ind w:firstLine="480" w:firstLineChars="200"/>
        <w:rPr>
          <w:rFonts w:cs="Times New Roman" w:asciiTheme="minorEastAsia" w:hAnsiTheme="minorEastAsia" w:eastAsiaTheme="minorEastAsia"/>
          <w:bCs/>
          <w:color w:val="242424"/>
          <w:sz w:val="24"/>
          <w:szCs w:val="21"/>
        </w:rPr>
      </w:pPr>
      <w:r>
        <w:rPr>
          <w:rFonts w:hint="eastAsia" w:cs="Times New Roman" w:asciiTheme="minorEastAsia" w:hAnsiTheme="minorEastAsia" w:eastAsiaTheme="minorEastAsia"/>
          <w:bCs/>
          <w:color w:val="242424"/>
          <w:sz w:val="24"/>
          <w:szCs w:val="21"/>
        </w:rPr>
        <w:t>投标人</w:t>
      </w:r>
      <w:r>
        <w:rPr>
          <w:rFonts w:cs="Times New Roman" w:asciiTheme="minorEastAsia" w:hAnsiTheme="minorEastAsia" w:eastAsiaTheme="minorEastAsia"/>
          <w:bCs/>
          <w:color w:val="242424"/>
          <w:sz w:val="24"/>
          <w:szCs w:val="21"/>
        </w:rPr>
        <w:t>根据测试</w:t>
      </w:r>
      <w:r>
        <w:rPr>
          <w:rFonts w:hint="eastAsia" w:cs="Times New Roman" w:asciiTheme="minorEastAsia" w:hAnsiTheme="minorEastAsia" w:eastAsiaTheme="minorEastAsia"/>
          <w:bCs/>
          <w:color w:val="242424"/>
          <w:sz w:val="24"/>
          <w:szCs w:val="21"/>
        </w:rPr>
        <w:t>规范</w:t>
      </w:r>
      <w:r>
        <w:rPr>
          <w:rFonts w:cs="Times New Roman" w:asciiTheme="minorEastAsia" w:hAnsiTheme="minorEastAsia" w:eastAsiaTheme="minorEastAsia"/>
          <w:bCs/>
          <w:color w:val="242424"/>
          <w:sz w:val="24"/>
          <w:szCs w:val="21"/>
        </w:rPr>
        <w:t>对样品进行分批，每批样品测试不少于10%的质控样</w:t>
      </w:r>
      <w:r>
        <w:rPr>
          <w:rFonts w:hint="eastAsia" w:cs="Times New Roman" w:asciiTheme="minorEastAsia" w:hAnsiTheme="minorEastAsia" w:eastAsiaTheme="minorEastAsia"/>
          <w:bCs/>
          <w:color w:val="242424"/>
          <w:sz w:val="24"/>
          <w:szCs w:val="21"/>
        </w:rPr>
        <w:t>，空白样品测试至少2个。</w:t>
      </w:r>
      <w:r>
        <w:rPr>
          <w:rFonts w:cs="Times New Roman" w:asciiTheme="minorEastAsia" w:hAnsiTheme="minorEastAsia" w:eastAsiaTheme="minorEastAsia"/>
          <w:bCs/>
          <w:color w:val="242424"/>
          <w:sz w:val="24"/>
          <w:szCs w:val="21"/>
        </w:rPr>
        <w:t>内部质量控制方法包括(但不限于)：标准物质或质控样品的测定，空白实验，平行样测定，加标回收率实验，留样复测，各种技术要求的测定和复核等。</w:t>
      </w:r>
    </w:p>
    <w:p>
      <w:pPr>
        <w:numPr>
          <w:ilvl w:val="2"/>
          <w:numId w:val="0"/>
        </w:numPr>
        <w:tabs>
          <w:tab w:val="left" w:pos="567"/>
          <w:tab w:val="left" w:pos="1440"/>
          <w:tab w:val="left" w:pos="2880"/>
        </w:tabs>
        <w:spacing w:line="460" w:lineRule="exact"/>
        <w:ind w:firstLine="480" w:firstLineChars="200"/>
        <w:rPr>
          <w:rFonts w:cs="Times New Roman" w:asciiTheme="minorEastAsia" w:hAnsiTheme="minorEastAsia" w:eastAsiaTheme="minorEastAsia"/>
          <w:bCs/>
          <w:color w:val="242424"/>
          <w:sz w:val="24"/>
          <w:szCs w:val="21"/>
        </w:rPr>
      </w:pPr>
      <w:r>
        <w:rPr>
          <w:rFonts w:cs="Times New Roman" w:asciiTheme="minorEastAsia" w:hAnsiTheme="minorEastAsia" w:eastAsiaTheme="minorEastAsia"/>
          <w:bCs/>
          <w:color w:val="242424"/>
          <w:sz w:val="24"/>
          <w:szCs w:val="21"/>
        </w:rPr>
        <w:t>空白试验：空白试验一般与样品分析同时进行，空白样品分析结果一般应低于方法检测限，若空白分析结果低于方法检出限，则可忽略不计；若空白分析结果略高于方法检测限但比较稳定，可进行多次重复试验，计算空白分析平均值并从样品分析结果中扣除；若空白分析结果明显超过正常值，则表明分析测试过程有严重污染，样品分析不可靠，应查找原因，重新对样品进行分析。</w:t>
      </w:r>
    </w:p>
    <w:p>
      <w:pPr>
        <w:numPr>
          <w:ilvl w:val="2"/>
          <w:numId w:val="0"/>
        </w:numPr>
        <w:tabs>
          <w:tab w:val="left" w:pos="567"/>
          <w:tab w:val="left" w:pos="1440"/>
          <w:tab w:val="left" w:pos="2880"/>
        </w:tabs>
        <w:ind w:firstLine="480" w:firstLineChars="200"/>
        <w:rPr>
          <w:rFonts w:ascii="Times New Roman" w:hAnsi="Times New Roman" w:eastAsia="宋体" w:cs="Times New Roman"/>
          <w:bCs/>
          <w:color w:val="242424"/>
          <w:sz w:val="24"/>
          <w:szCs w:val="21"/>
        </w:rPr>
      </w:pPr>
      <w:r>
        <w:rPr>
          <w:rFonts w:ascii="Times New Roman" w:hAnsi="Times New Roman" w:eastAsia="宋体" w:cs="Times New Roman"/>
          <w:bCs/>
          <w:color w:val="242424"/>
          <w:sz w:val="24"/>
          <w:szCs w:val="21"/>
        </w:rPr>
        <w:t>4.</w:t>
      </w:r>
      <w:r>
        <w:rPr>
          <w:rFonts w:hint="eastAsia" w:ascii="Times New Roman" w:hAnsi="Times New Roman" w:eastAsia="宋体" w:cs="Times New Roman"/>
          <w:bCs/>
          <w:color w:val="242424"/>
          <w:sz w:val="24"/>
          <w:szCs w:val="21"/>
        </w:rPr>
        <w:t>4外部质量控制要求</w:t>
      </w:r>
    </w:p>
    <w:p>
      <w:pPr>
        <w:spacing w:line="460" w:lineRule="exact"/>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投标人应接受采购人的质量控制安排，配合采购人开展质量核查工作。</w:t>
      </w:r>
    </w:p>
    <w:p>
      <w:pPr>
        <w:suppressAutoHyphens/>
        <w:spacing w:line="460" w:lineRule="exact"/>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密码样</w:t>
      </w:r>
      <w:r>
        <w:rPr>
          <w:rFonts w:hint="eastAsia" w:cs="Times New Roman" w:asciiTheme="minorEastAsia" w:hAnsiTheme="minorEastAsia" w:eastAsiaTheme="minorEastAsia"/>
          <w:sz w:val="24"/>
          <w:szCs w:val="24"/>
        </w:rPr>
        <w:t>检查</w:t>
      </w:r>
      <w:r>
        <w:rPr>
          <w:rFonts w:cs="Times New Roman" w:asciiTheme="minorEastAsia" w:hAnsiTheme="minorEastAsia" w:eastAsiaTheme="minorEastAsia"/>
          <w:sz w:val="24"/>
          <w:szCs w:val="24"/>
        </w:rPr>
        <w:t>：由</w:t>
      </w:r>
      <w:r>
        <w:rPr>
          <w:rFonts w:hint="eastAsia" w:cs="Times New Roman" w:asciiTheme="minorEastAsia" w:hAnsiTheme="minorEastAsia" w:eastAsiaTheme="minorEastAsia"/>
          <w:sz w:val="24"/>
          <w:szCs w:val="24"/>
        </w:rPr>
        <w:t>采购人</w:t>
      </w:r>
      <w:r>
        <w:rPr>
          <w:rFonts w:cs="Times New Roman" w:asciiTheme="minorEastAsia" w:hAnsiTheme="minorEastAsia" w:eastAsiaTheme="minorEastAsia"/>
          <w:sz w:val="24"/>
          <w:szCs w:val="24"/>
        </w:rPr>
        <w:t>按照不少于</w:t>
      </w:r>
      <w:r>
        <w:rPr>
          <w:rFonts w:hint="eastAsia" w:cs="Times New Roman" w:asciiTheme="minorEastAsia" w:hAnsiTheme="minorEastAsia" w:eastAsiaTheme="minorEastAsia"/>
          <w:sz w:val="24"/>
          <w:szCs w:val="24"/>
        </w:rPr>
        <w:t>5</w:t>
      </w:r>
      <w:r>
        <w:rPr>
          <w:rFonts w:cs="Times New Roman" w:asciiTheme="minorEastAsia" w:hAnsiTheme="minorEastAsia" w:eastAsiaTheme="minorEastAsia"/>
          <w:sz w:val="24"/>
          <w:szCs w:val="24"/>
        </w:rPr>
        <w:t>%的比例实施准确度控制，对质控样测试结果进行评判。测定完成后，采购人进行解密，结果不合格，本批样品进行复测。</w:t>
      </w:r>
    </w:p>
    <w:p>
      <w:pPr>
        <w:suppressAutoHyphens/>
        <w:spacing w:line="460" w:lineRule="exact"/>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质控抽查：在分析测试过程中，采购人随时组织人员对</w:t>
      </w:r>
      <w:r>
        <w:rPr>
          <w:rFonts w:hint="eastAsia" w:cs="Times New Roman" w:asciiTheme="minorEastAsia" w:hAnsiTheme="minorEastAsia" w:eastAsiaTheme="minorEastAsia"/>
          <w:sz w:val="24"/>
          <w:szCs w:val="24"/>
        </w:rPr>
        <w:t>中标人</w:t>
      </w:r>
      <w:r>
        <w:rPr>
          <w:rFonts w:cs="Times New Roman" w:asciiTheme="minorEastAsia" w:hAnsiTheme="minorEastAsia" w:eastAsiaTheme="minorEastAsia"/>
          <w:sz w:val="24"/>
          <w:szCs w:val="24"/>
        </w:rPr>
        <w:t>的监测能力、管理制度及执行情况、质量体系的建立及运行情况、实际监测工作、质控记录、质控措施的合理性及其实施情况等进行抽查。质量抽查中发现的不合格情况，若已经影响到监测结果，应对已经发出的监测报告，执行监测报告</w:t>
      </w:r>
      <w:r>
        <w:rPr>
          <w:rFonts w:hint="eastAsia" w:cs="Times New Roman" w:asciiTheme="minorEastAsia" w:hAnsiTheme="minorEastAsia" w:eastAsiaTheme="minorEastAsia"/>
          <w:sz w:val="24"/>
          <w:szCs w:val="24"/>
        </w:rPr>
        <w:t>相关程序文件</w:t>
      </w:r>
      <w:r>
        <w:rPr>
          <w:rFonts w:cs="Times New Roman" w:asciiTheme="minorEastAsia" w:hAnsiTheme="minorEastAsia" w:eastAsiaTheme="minorEastAsia"/>
          <w:sz w:val="24"/>
          <w:szCs w:val="24"/>
        </w:rPr>
        <w:t>进行处理。若发现的缺陷严重影响监测质量，或认为监测结构的质量体系和技术能力已经无法满足监测任务的要求，采购人可终止委托，并按合同条款实施处罚或赔偿等。</w:t>
      </w:r>
    </w:p>
    <w:p>
      <w:pPr>
        <w:numPr>
          <w:ilvl w:val="2"/>
          <w:numId w:val="0"/>
        </w:numPr>
        <w:tabs>
          <w:tab w:val="left" w:pos="567"/>
          <w:tab w:val="left" w:pos="1440"/>
          <w:tab w:val="left" w:pos="2880"/>
        </w:tabs>
        <w:ind w:firstLine="480" w:firstLineChars="200"/>
        <w:rPr>
          <w:rFonts w:ascii="Times New Roman" w:hAnsi="Times New Roman" w:eastAsia="宋体" w:cs="Times New Roman"/>
          <w:bCs/>
          <w:color w:val="242424"/>
          <w:sz w:val="24"/>
          <w:szCs w:val="21"/>
        </w:rPr>
      </w:pPr>
      <w:r>
        <w:rPr>
          <w:rFonts w:ascii="Times New Roman" w:hAnsi="Times New Roman" w:eastAsia="宋体" w:cs="Times New Roman"/>
          <w:bCs/>
          <w:color w:val="242424"/>
          <w:sz w:val="24"/>
          <w:szCs w:val="21"/>
        </w:rPr>
        <w:t>4.</w:t>
      </w:r>
      <w:r>
        <w:rPr>
          <w:rFonts w:hint="eastAsia" w:ascii="Times New Roman" w:hAnsi="Times New Roman" w:eastAsia="宋体" w:cs="Times New Roman"/>
          <w:bCs/>
          <w:color w:val="242424"/>
          <w:sz w:val="24"/>
          <w:szCs w:val="21"/>
        </w:rPr>
        <w:t>5监测数据真实性要求</w:t>
      </w:r>
    </w:p>
    <w:p>
      <w:pPr>
        <w:spacing w:line="460" w:lineRule="exact"/>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严禁数据弄虚造假行为，投标人不得以任何形式收受利益单位贿赂或在监测任务全过程中弄虚作假，一经发现并查实，严格执行生态环境部印发的《环境监测数据弄虚作假行为判定及处理办法》，立即终止合同，由此产生的一切责任全部由投标人承担，并将被列入黑名单，追究相应</w:t>
      </w:r>
      <w:r>
        <w:rPr>
          <w:rFonts w:cs="Times New Roman" w:asciiTheme="minorEastAsia" w:hAnsiTheme="minorEastAsia" w:eastAsiaTheme="minorEastAsia"/>
          <w:sz w:val="24"/>
          <w:szCs w:val="24"/>
        </w:rPr>
        <w:t>法律责任</w:t>
      </w:r>
      <w:r>
        <w:rPr>
          <w:rFonts w:hint="eastAsia" w:cs="Times New Roman" w:asciiTheme="minorEastAsia" w:hAnsiTheme="minorEastAsia" w:eastAsiaTheme="minorEastAsia"/>
          <w:sz w:val="24"/>
          <w:szCs w:val="24"/>
        </w:rPr>
        <w:t>。</w:t>
      </w:r>
    </w:p>
    <w:p>
      <w:pPr>
        <w:numPr>
          <w:ilvl w:val="2"/>
          <w:numId w:val="0"/>
        </w:numPr>
        <w:tabs>
          <w:tab w:val="left" w:pos="567"/>
          <w:tab w:val="left" w:pos="1440"/>
          <w:tab w:val="left" w:pos="2880"/>
        </w:tabs>
        <w:suppressAutoHyphens/>
        <w:ind w:firstLine="480" w:firstLineChars="200"/>
        <w:rPr>
          <w:rFonts w:ascii="Times New Roman" w:hAnsi="Times New Roman" w:eastAsia="宋体" w:cs="Times New Roman"/>
          <w:bCs/>
          <w:color w:val="242424"/>
          <w:sz w:val="24"/>
          <w:szCs w:val="21"/>
        </w:rPr>
      </w:pPr>
    </w:p>
    <w:p>
      <w:pPr>
        <w:numPr>
          <w:ilvl w:val="2"/>
          <w:numId w:val="0"/>
        </w:numPr>
        <w:tabs>
          <w:tab w:val="left" w:pos="567"/>
          <w:tab w:val="left" w:pos="1440"/>
          <w:tab w:val="left" w:pos="2880"/>
        </w:tabs>
        <w:suppressAutoHyphens/>
        <w:ind w:firstLine="480" w:firstLineChars="200"/>
        <w:rPr>
          <w:rFonts w:ascii="Times New Roman" w:hAnsi="Times New Roman" w:eastAsia="宋体" w:cs="Times New Roman"/>
          <w:bCs/>
          <w:color w:val="242424"/>
          <w:sz w:val="24"/>
          <w:szCs w:val="21"/>
        </w:rPr>
      </w:pPr>
      <w:r>
        <w:rPr>
          <w:rFonts w:ascii="Times New Roman" w:hAnsi="Times New Roman" w:eastAsia="宋体" w:cs="Times New Roman"/>
          <w:bCs/>
          <w:color w:val="242424"/>
          <w:sz w:val="24"/>
          <w:szCs w:val="21"/>
        </w:rPr>
        <w:t>4.</w:t>
      </w:r>
      <w:r>
        <w:rPr>
          <w:rFonts w:hint="eastAsia" w:ascii="Times New Roman" w:hAnsi="Times New Roman" w:eastAsia="宋体" w:cs="Times New Roman"/>
          <w:bCs/>
          <w:color w:val="242424"/>
          <w:sz w:val="24"/>
          <w:szCs w:val="21"/>
        </w:rPr>
        <w:t>6数据和样品报送及审核要求</w:t>
      </w:r>
    </w:p>
    <w:p>
      <w:pPr>
        <w:suppressAutoHyphens/>
        <w:spacing w:line="360" w:lineRule="auto"/>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投标</w:t>
      </w:r>
      <w:r>
        <w:rPr>
          <w:rFonts w:cs="Times New Roman" w:asciiTheme="minorEastAsia" w:hAnsiTheme="minorEastAsia" w:eastAsiaTheme="minorEastAsia"/>
          <w:sz w:val="24"/>
          <w:szCs w:val="24"/>
        </w:rPr>
        <w:t>人建立数据</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三级审核</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制度，</w:t>
      </w:r>
      <w:r>
        <w:rPr>
          <w:rFonts w:hint="eastAsia" w:cs="Times New Roman" w:asciiTheme="minorEastAsia" w:hAnsiTheme="minorEastAsia" w:eastAsiaTheme="minorEastAsia"/>
          <w:sz w:val="24"/>
          <w:szCs w:val="24"/>
        </w:rPr>
        <w:t>中标人在</w:t>
      </w:r>
      <w:r>
        <w:rPr>
          <w:rFonts w:cs="Times New Roman" w:asciiTheme="minorEastAsia" w:hAnsiTheme="minorEastAsia" w:eastAsiaTheme="minorEastAsia"/>
          <w:sz w:val="24"/>
          <w:szCs w:val="24"/>
        </w:rPr>
        <w:t>报告</w:t>
      </w:r>
      <w:r>
        <w:rPr>
          <w:rFonts w:hint="eastAsia" w:cs="Times New Roman" w:asciiTheme="minorEastAsia" w:hAnsiTheme="minorEastAsia" w:eastAsiaTheme="minorEastAsia"/>
          <w:sz w:val="24"/>
          <w:szCs w:val="24"/>
        </w:rPr>
        <w:t>的</w:t>
      </w:r>
      <w:r>
        <w:rPr>
          <w:rFonts w:cs="Times New Roman" w:asciiTheme="minorEastAsia" w:hAnsiTheme="minorEastAsia" w:eastAsiaTheme="minorEastAsia"/>
          <w:sz w:val="24"/>
          <w:szCs w:val="24"/>
        </w:rPr>
        <w:t>编制、审核和签发</w:t>
      </w:r>
      <w:r>
        <w:rPr>
          <w:rFonts w:hint="eastAsia" w:cs="Times New Roman" w:asciiTheme="minorEastAsia" w:hAnsiTheme="minorEastAsia" w:eastAsiaTheme="minorEastAsia"/>
          <w:sz w:val="24"/>
          <w:szCs w:val="24"/>
        </w:rPr>
        <w:t>环节</w:t>
      </w:r>
      <w:r>
        <w:rPr>
          <w:rFonts w:cs="Times New Roman" w:asciiTheme="minorEastAsia" w:hAnsiTheme="minorEastAsia" w:eastAsiaTheme="minorEastAsia"/>
          <w:sz w:val="24"/>
          <w:szCs w:val="24"/>
        </w:rPr>
        <w:t>，严格执行“三级审核”制度。</w:t>
      </w:r>
    </w:p>
    <w:p>
      <w:pPr>
        <w:suppressAutoHyphens/>
        <w:spacing w:line="360" w:lineRule="auto"/>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本项目涉及的</w:t>
      </w:r>
      <w:r>
        <w:rPr>
          <w:rFonts w:hint="eastAsia" w:cs="Times New Roman" w:asciiTheme="minorEastAsia" w:hAnsiTheme="minorEastAsia" w:eastAsiaTheme="minorEastAsia"/>
          <w:sz w:val="24"/>
          <w:szCs w:val="24"/>
        </w:rPr>
        <w:t>二噁英</w:t>
      </w:r>
      <w:r>
        <w:rPr>
          <w:rFonts w:cs="Times New Roman" w:asciiTheme="minorEastAsia" w:hAnsiTheme="minorEastAsia" w:eastAsiaTheme="minorEastAsia"/>
          <w:sz w:val="24"/>
          <w:szCs w:val="24"/>
        </w:rPr>
        <w:t>类数据、报告均属保密内容，项目组所有成员应对本项目相关的所有保密内容严格保密，如有泄密中标人须承担因资料泄密产生的所有后果。</w:t>
      </w:r>
    </w:p>
    <w:p>
      <w:pPr>
        <w:suppressAutoHyphens/>
        <w:spacing w:line="360" w:lineRule="auto"/>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若中标人出现严重违约，采购人有权终止合同，中标人须退回采购人已支付的款项，并须向采购人支付合同总价20%的违约金，采购人将公示相关情况。</w:t>
      </w:r>
    </w:p>
    <w:p>
      <w:pPr>
        <w:pStyle w:val="2"/>
        <w:numPr>
          <w:ilvl w:val="0"/>
          <w:numId w:val="0"/>
        </w:numPr>
        <w:spacing w:beforeLines="0" w:afterLines="0"/>
        <w:ind w:left="425"/>
        <w:rPr>
          <w:rFonts w:cs="Times New Roman"/>
        </w:rPr>
      </w:pPr>
      <w:r>
        <w:rPr>
          <w:rFonts w:hint="eastAsia" w:cs="Times New Roman"/>
        </w:rPr>
        <w:t>5.时间</w:t>
      </w:r>
      <w:r>
        <w:rPr>
          <w:rFonts w:cs="Times New Roman"/>
        </w:rPr>
        <w:t>要求</w:t>
      </w:r>
    </w:p>
    <w:p>
      <w:pPr>
        <w:spacing w:line="360" w:lineRule="auto"/>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第一阶段:签订合同和保密协议。合同签订后20日内(日历日, 下同)，中标人提交项目实施方案，包括质量保证和质量控制措施，供采购人审核确认；</w:t>
      </w:r>
      <w:r>
        <w:rPr>
          <w:rFonts w:cs="Times New Roman" w:asciiTheme="minorEastAsia" w:hAnsiTheme="minorEastAsia" w:eastAsiaTheme="minorEastAsia"/>
          <w:sz w:val="24"/>
          <w:szCs w:val="24"/>
        </w:rPr>
        <w:t xml:space="preserve"> 合同签订后30个工作日内，中标人提供合同额</w:t>
      </w:r>
      <w:r>
        <w:rPr>
          <w:rFonts w:hint="eastAsia" w:cs="Times New Roman" w:asciiTheme="minorEastAsia" w:hAnsiTheme="minorEastAsia" w:eastAsiaTheme="minorEastAsia"/>
          <w:sz w:val="24"/>
          <w:szCs w:val="24"/>
        </w:rPr>
        <w:t>1</w:t>
      </w:r>
      <w:r>
        <w:rPr>
          <w:rFonts w:cs="Times New Roman" w:asciiTheme="minorEastAsia" w:hAnsiTheme="minorEastAsia" w:eastAsiaTheme="minorEastAsia"/>
          <w:sz w:val="24"/>
          <w:szCs w:val="24"/>
        </w:rPr>
        <w:t>0%</w:t>
      </w:r>
      <w:r>
        <w:rPr>
          <w:rFonts w:hint="eastAsia" w:cs="Times New Roman" w:asciiTheme="minorEastAsia" w:hAnsiTheme="minorEastAsia" w:eastAsiaTheme="minorEastAsia"/>
          <w:sz w:val="24"/>
          <w:szCs w:val="24"/>
        </w:rPr>
        <w:t>的</w:t>
      </w:r>
      <w:r>
        <w:rPr>
          <w:rFonts w:cs="Times New Roman" w:asciiTheme="minorEastAsia" w:hAnsiTheme="minorEastAsia" w:eastAsiaTheme="minorEastAsia"/>
          <w:sz w:val="24"/>
          <w:szCs w:val="24"/>
        </w:rPr>
        <w:t>履约保证金，采购人支付</w:t>
      </w:r>
      <w:r>
        <w:rPr>
          <w:rFonts w:hint="eastAsia" w:cs="Times New Roman" w:asciiTheme="minorEastAsia" w:hAnsiTheme="minorEastAsia" w:eastAsiaTheme="minorEastAsia"/>
          <w:sz w:val="24"/>
          <w:szCs w:val="24"/>
        </w:rPr>
        <w:t>8</w:t>
      </w:r>
      <w:r>
        <w:rPr>
          <w:rFonts w:cs="Times New Roman" w:asciiTheme="minorEastAsia" w:hAnsiTheme="minorEastAsia" w:eastAsiaTheme="minorEastAsia"/>
          <w:sz w:val="24"/>
          <w:szCs w:val="24"/>
        </w:rPr>
        <w:t>0%合同款项。</w:t>
      </w:r>
    </w:p>
    <w:p>
      <w:pPr>
        <w:spacing w:line="360" w:lineRule="auto"/>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第二阶段:样品分析要求。中标人采集完样品后，须于30日内提交监测报告（按抽测对象为单位）、质量保证和质量控制报告、原始数据和谱图，供采购人审核确认。</w:t>
      </w:r>
    </w:p>
    <w:p>
      <w:pPr>
        <w:suppressAutoHyphens/>
        <w:spacing w:line="360" w:lineRule="auto"/>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第三阶段：</w:t>
      </w:r>
      <w:r>
        <w:rPr>
          <w:rFonts w:cs="Times New Roman" w:asciiTheme="minorEastAsia" w:hAnsiTheme="minorEastAsia" w:eastAsiaTheme="minorEastAsia"/>
          <w:sz w:val="24"/>
          <w:szCs w:val="24"/>
        </w:rPr>
        <w:t>所有项目成果提交并通过专家验收后，采购人支付</w:t>
      </w:r>
      <w:r>
        <w:rPr>
          <w:rFonts w:hint="eastAsia" w:cs="Times New Roman" w:asciiTheme="minorEastAsia" w:hAnsiTheme="minorEastAsia" w:eastAsiaTheme="minorEastAsia"/>
          <w:sz w:val="24"/>
          <w:szCs w:val="24"/>
        </w:rPr>
        <w:t>2</w:t>
      </w:r>
      <w:r>
        <w:rPr>
          <w:rFonts w:cs="Times New Roman" w:asciiTheme="minorEastAsia" w:hAnsiTheme="minorEastAsia" w:eastAsiaTheme="minorEastAsia"/>
          <w:sz w:val="24"/>
          <w:szCs w:val="24"/>
        </w:rPr>
        <w:t>0%合同款项并退还履约</w:t>
      </w:r>
      <w:r>
        <w:rPr>
          <w:rFonts w:hint="eastAsia" w:cs="Times New Roman" w:asciiTheme="minorEastAsia" w:hAnsiTheme="minorEastAsia" w:eastAsiaTheme="minorEastAsia"/>
          <w:sz w:val="24"/>
          <w:szCs w:val="24"/>
        </w:rPr>
        <w:t>保证金</w:t>
      </w:r>
      <w:r>
        <w:rPr>
          <w:rFonts w:cs="Times New Roman" w:asciiTheme="minorEastAsia" w:hAnsiTheme="minorEastAsia" w:eastAsiaTheme="minorEastAsia"/>
          <w:sz w:val="24"/>
          <w:szCs w:val="24"/>
        </w:rPr>
        <w:t>。付款时间为采购人向政府采购支付部门提出支付申请的时间（不含政府财政支付部门审查的时间）。</w:t>
      </w:r>
    </w:p>
    <w:p>
      <w:pPr>
        <w:suppressAutoHyphens/>
        <w:spacing w:line="360" w:lineRule="auto"/>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因采购方使用的是财政资金，合同执行期间如遇采购方因财政政策影响关帐，合同余款由中标方先提供银行开具的等额保函（或保证金），采购方收到付款申请和保函（或保证金）后1</w:t>
      </w:r>
      <w:r>
        <w:rPr>
          <w:rFonts w:cs="Times New Roman" w:asciiTheme="minorEastAsia" w:hAnsiTheme="minorEastAsia" w:eastAsiaTheme="minorEastAsia"/>
          <w:sz w:val="24"/>
          <w:szCs w:val="24"/>
        </w:rPr>
        <w:t>5</w:t>
      </w:r>
      <w:r>
        <w:rPr>
          <w:rFonts w:hint="eastAsia" w:cs="Times New Roman" w:asciiTheme="minorEastAsia" w:hAnsiTheme="minorEastAsia" w:eastAsiaTheme="minorEastAsia"/>
          <w:sz w:val="24"/>
          <w:szCs w:val="24"/>
        </w:rPr>
        <w:t>个工作日内向中标方支付合同余款。项目验收合格后，采购方将银行保函（或保证金）退还给中标方。</w:t>
      </w:r>
    </w:p>
    <w:p>
      <w:pPr>
        <w:suppressAutoHyphens/>
        <w:spacing w:line="360" w:lineRule="auto"/>
        <w:ind w:firstLine="480" w:firstLineChars="200"/>
        <w:rPr>
          <w:rFonts w:ascii="Times New Roman" w:hAnsi="Times New Roman" w:eastAsia="仿宋" w:cs="Times New Roman"/>
          <w:sz w:val="24"/>
          <w:szCs w:val="24"/>
        </w:rPr>
      </w:pPr>
    </w:p>
    <w:p>
      <w:pPr>
        <w:pStyle w:val="2"/>
        <w:numPr>
          <w:ilvl w:val="0"/>
          <w:numId w:val="0"/>
        </w:numPr>
        <w:spacing w:beforeLines="0" w:afterLines="0"/>
        <w:ind w:left="425"/>
        <w:rPr>
          <w:rFonts w:cs="Times New Roman"/>
        </w:rPr>
      </w:pPr>
      <w:r>
        <w:rPr>
          <w:rFonts w:hint="eastAsia" w:cs="Times New Roman"/>
        </w:rPr>
        <w:t>6</w:t>
      </w:r>
      <w:r>
        <w:rPr>
          <w:rFonts w:cs="Times New Roman"/>
        </w:rPr>
        <w:t>验收考核</w:t>
      </w:r>
    </w:p>
    <w:p>
      <w:pPr>
        <w:suppressAutoHyphens/>
        <w:spacing w:line="360" w:lineRule="auto"/>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中标人向采购人申请验收时，需提交每家殡葬单位监测报告、</w:t>
      </w:r>
      <w:r>
        <w:rPr>
          <w:rFonts w:cs="Times New Roman" w:asciiTheme="minorEastAsia" w:hAnsiTheme="minorEastAsia" w:eastAsiaTheme="minorEastAsia"/>
          <w:sz w:val="24"/>
          <w:szCs w:val="24"/>
        </w:rPr>
        <w:t>样品分析报告</w:t>
      </w:r>
      <w:r>
        <w:rPr>
          <w:rFonts w:hint="eastAsia" w:cs="Times New Roman" w:asciiTheme="minorEastAsia" w:hAnsiTheme="minorEastAsia" w:eastAsiaTheme="minorEastAsia"/>
          <w:sz w:val="24"/>
          <w:szCs w:val="24"/>
        </w:rPr>
        <w:t>、质量保证和质量控制报告、原始数据和谱图的纸质和电子版，以及采购人认为必要的其他文档。</w:t>
      </w:r>
      <w:r>
        <w:rPr>
          <w:rFonts w:cs="Times New Roman" w:asciiTheme="minorEastAsia" w:hAnsiTheme="minorEastAsia" w:eastAsiaTheme="minorEastAsia"/>
          <w:sz w:val="24"/>
          <w:szCs w:val="24"/>
        </w:rPr>
        <w:t>所有项目成果提交并通过专家</w:t>
      </w:r>
      <w:r>
        <w:rPr>
          <w:rFonts w:hint="eastAsia" w:cs="Times New Roman" w:asciiTheme="minorEastAsia" w:hAnsiTheme="minorEastAsia" w:eastAsiaTheme="minorEastAsia"/>
          <w:sz w:val="24"/>
          <w:szCs w:val="24"/>
        </w:rPr>
        <w:t>组</w:t>
      </w:r>
      <w:r>
        <w:rPr>
          <w:rFonts w:cs="Times New Roman" w:asciiTheme="minorEastAsia" w:hAnsiTheme="minorEastAsia" w:eastAsiaTheme="minorEastAsia"/>
          <w:sz w:val="24"/>
          <w:szCs w:val="24"/>
        </w:rPr>
        <w:t>验收</w:t>
      </w:r>
      <w:r>
        <w:rPr>
          <w:rFonts w:hint="eastAsia" w:cs="Times New Roman" w:asciiTheme="minorEastAsia" w:hAnsiTheme="minorEastAsia" w:eastAsiaTheme="minorEastAsia"/>
          <w:sz w:val="24"/>
          <w:szCs w:val="24"/>
        </w:rPr>
        <w:t>，专家费用由中标人负责支付。</w:t>
      </w:r>
    </w:p>
    <w:p>
      <w:pPr>
        <w:suppressAutoHyphens/>
        <w:spacing w:line="360" w:lineRule="auto"/>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中标人存在以下情况的，须重新开展监测（所需费用由中标单位自行承担），并提供前述资料:</w:t>
      </w:r>
    </w:p>
    <w:p>
      <w:pPr>
        <w:pStyle w:val="38"/>
        <w:numPr>
          <w:ilvl w:val="0"/>
          <w:numId w:val="3"/>
        </w:numPr>
        <w:suppressAutoHyphens/>
        <w:spacing w:line="360" w:lineRule="auto"/>
        <w:ind w:firstLineChars="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未按照相关技术规范要求开展监测的；</w:t>
      </w:r>
    </w:p>
    <w:p>
      <w:pPr>
        <w:pStyle w:val="38"/>
        <w:numPr>
          <w:ilvl w:val="0"/>
          <w:numId w:val="3"/>
        </w:numPr>
        <w:suppressAutoHyphens/>
        <w:spacing w:line="360" w:lineRule="auto"/>
        <w:ind w:firstLineChars="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无法合理解释监测结果与对应工况的关联性；</w:t>
      </w:r>
    </w:p>
    <w:p>
      <w:pPr>
        <w:pStyle w:val="38"/>
        <w:numPr>
          <w:ilvl w:val="0"/>
          <w:numId w:val="3"/>
        </w:numPr>
        <w:suppressAutoHyphens/>
        <w:spacing w:line="360" w:lineRule="auto"/>
        <w:ind w:firstLineChars="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存在弄虚作假行为。</w:t>
      </w:r>
    </w:p>
    <w:p>
      <w:pPr>
        <w:pStyle w:val="2"/>
        <w:numPr>
          <w:ilvl w:val="0"/>
          <w:numId w:val="0"/>
        </w:numPr>
        <w:spacing w:beforeLines="0" w:afterLines="0"/>
        <w:ind w:left="142"/>
        <w:rPr>
          <w:rFonts w:cs="Times New Roman"/>
        </w:rPr>
      </w:pPr>
      <w:r>
        <w:rPr>
          <w:rFonts w:hint="eastAsia" w:cs="Times New Roman"/>
        </w:rPr>
        <w:t>7</w:t>
      </w:r>
      <w:r>
        <w:rPr>
          <w:rFonts w:cs="Times New Roman"/>
        </w:rPr>
        <w:t>评分标准</w:t>
      </w:r>
    </w:p>
    <w:p>
      <w:pPr>
        <w:pStyle w:val="14"/>
        <w:tabs>
          <w:tab w:val="left" w:pos="3675"/>
        </w:tabs>
        <w:snapToGrid w:val="0"/>
        <w:spacing w:before="120" w:after="0" w:line="360" w:lineRule="auto"/>
        <w:ind w:left="0" w:leftChars="0" w:firstLine="480"/>
        <w:jc w:val="center"/>
        <w:rPr>
          <w:rFonts w:ascii="黑体" w:hAnsi="黑体" w:eastAsia="黑体" w:cs="Times New Roman"/>
          <w:bCs/>
          <w:sz w:val="24"/>
          <w:szCs w:val="22"/>
        </w:rPr>
      </w:pPr>
      <w:r>
        <w:rPr>
          <w:rFonts w:hint="eastAsia" w:ascii="黑体" w:hAnsi="黑体" w:eastAsia="黑体"/>
          <w:bCs/>
          <w:sz w:val="24"/>
        </w:rPr>
        <w:t>表2技术评分表</w:t>
      </w:r>
    </w:p>
    <w:tbl>
      <w:tblPr>
        <w:tblStyle w:val="20"/>
        <w:tblW w:w="92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134"/>
        <w:gridCol w:w="6095"/>
        <w:gridCol w:w="1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jc w:val="center"/>
        </w:trPr>
        <w:tc>
          <w:tcPr>
            <w:tcW w:w="846" w:type="dxa"/>
            <w:shd w:val="clear" w:color="auto" w:fill="EEECE1"/>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序号</w:t>
            </w:r>
          </w:p>
        </w:tc>
        <w:tc>
          <w:tcPr>
            <w:tcW w:w="1134" w:type="dxa"/>
            <w:shd w:val="clear" w:color="auto" w:fill="EEECE1"/>
            <w:vAlign w:val="center"/>
          </w:tcPr>
          <w:p>
            <w:pPr>
              <w:spacing w:before="120"/>
              <w:rPr>
                <w:rFonts w:asciiTheme="minorEastAsia" w:hAnsiTheme="minorEastAsia" w:eastAsiaTheme="minorEastAsia"/>
                <w:sz w:val="21"/>
                <w:szCs w:val="18"/>
              </w:rPr>
            </w:pPr>
            <w:r>
              <w:rPr>
                <w:rFonts w:hint="eastAsia" w:asciiTheme="minorEastAsia" w:hAnsiTheme="minorEastAsia" w:eastAsiaTheme="minorEastAsia"/>
                <w:sz w:val="21"/>
                <w:szCs w:val="18"/>
              </w:rPr>
              <w:t>评审项目</w:t>
            </w:r>
          </w:p>
        </w:tc>
        <w:tc>
          <w:tcPr>
            <w:tcW w:w="6095" w:type="dxa"/>
            <w:shd w:val="clear" w:color="auto" w:fill="EEECE1"/>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评分范围</w:t>
            </w:r>
          </w:p>
        </w:tc>
        <w:tc>
          <w:tcPr>
            <w:tcW w:w="1211" w:type="dxa"/>
            <w:shd w:val="clear" w:color="auto" w:fill="EEECE1"/>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最高分值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1" w:hRule="atLeast"/>
          <w:jc w:val="center"/>
        </w:trPr>
        <w:tc>
          <w:tcPr>
            <w:tcW w:w="846" w:type="dxa"/>
            <w:vAlign w:val="center"/>
          </w:tcPr>
          <w:p>
            <w:pPr>
              <w:spacing w:before="120"/>
              <w:jc w:val="center"/>
              <w:rPr>
                <w:rFonts w:asciiTheme="minorEastAsia" w:hAnsiTheme="minorEastAsia" w:eastAsiaTheme="minorEastAsia"/>
                <w:sz w:val="21"/>
                <w:szCs w:val="18"/>
              </w:rPr>
            </w:pPr>
            <w:r>
              <w:rPr>
                <w:rFonts w:asciiTheme="minorEastAsia" w:hAnsiTheme="minorEastAsia" w:eastAsiaTheme="minorEastAsia"/>
                <w:sz w:val="21"/>
                <w:szCs w:val="18"/>
              </w:rPr>
              <w:t>1</w:t>
            </w:r>
          </w:p>
        </w:tc>
        <w:tc>
          <w:tcPr>
            <w:tcW w:w="1134"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服务方案整体设计</w:t>
            </w:r>
          </w:p>
        </w:tc>
        <w:tc>
          <w:tcPr>
            <w:tcW w:w="6095" w:type="dxa"/>
            <w:vAlign w:val="center"/>
          </w:tcPr>
          <w:p>
            <w:pPr>
              <w:pStyle w:val="13"/>
              <w:spacing w:beforeLines="0"/>
              <w:ind w:firstLine="0" w:firstLineChars="0"/>
              <w:rPr>
                <w:rFonts w:asciiTheme="minorEastAsia" w:hAnsiTheme="minorEastAsia" w:eastAsiaTheme="minorEastAsia"/>
                <w:sz w:val="21"/>
                <w:szCs w:val="18"/>
              </w:rPr>
            </w:pPr>
            <w:r>
              <w:rPr>
                <w:rFonts w:hint="eastAsia" w:asciiTheme="minorEastAsia" w:hAnsiTheme="minorEastAsia" w:eastAsiaTheme="minorEastAsia"/>
                <w:sz w:val="21"/>
                <w:szCs w:val="18"/>
              </w:rPr>
              <w:t>根据项目实施方案的情况进行评价：</w:t>
            </w:r>
          </w:p>
          <w:p>
            <w:pPr>
              <w:spacing w:line="360" w:lineRule="auto"/>
              <w:rPr>
                <w:rFonts w:ascii="宋体" w:hAnsi="宋体" w:eastAsia="宋体" w:cs="Times New Roman"/>
                <w:szCs w:val="21"/>
              </w:rPr>
            </w:pPr>
            <w:r>
              <w:rPr>
                <w:rFonts w:hint="eastAsia" w:asciiTheme="minorEastAsia" w:hAnsiTheme="minorEastAsia" w:eastAsiaTheme="minorEastAsia"/>
                <w:sz w:val="21"/>
                <w:szCs w:val="18"/>
              </w:rPr>
              <w:t>1.服务方案整体设计满足且优于采购文件要求，方案完整，</w:t>
            </w:r>
            <w:r>
              <w:rPr>
                <w:rFonts w:hint="eastAsia" w:ascii="宋体" w:hAnsi="宋体" w:eastAsia="宋体" w:cs="Times New Roman"/>
                <w:szCs w:val="21"/>
              </w:rPr>
              <w:t>反应灵敏，即接到采购人电话短时间内（2小时以内）可以赶到采购人单位地址随同采购人技术团队和执法人员采样监测；样品的保存和运输能保证样品可靠送到实验室分析的时间短；服务保障可靠、实验室设备能力及人员车辆调配完全满足方案实施要求。</w:t>
            </w:r>
            <w:r>
              <w:rPr>
                <w:rFonts w:hint="eastAsia" w:asciiTheme="minorEastAsia" w:hAnsiTheme="minorEastAsia" w:eastAsiaTheme="minorEastAsia"/>
                <w:sz w:val="21"/>
                <w:szCs w:val="18"/>
              </w:rPr>
              <w:t>可行性强为优，得20分；</w:t>
            </w:r>
          </w:p>
          <w:p>
            <w:pPr>
              <w:spacing w:line="360" w:lineRule="auto"/>
              <w:rPr>
                <w:rFonts w:ascii="宋体" w:hAnsi="宋体" w:eastAsia="宋体" w:cs="Times New Roman"/>
                <w:szCs w:val="21"/>
              </w:rPr>
            </w:pPr>
            <w:r>
              <w:rPr>
                <w:rFonts w:hint="eastAsia" w:asciiTheme="minorEastAsia" w:hAnsiTheme="minorEastAsia" w:eastAsiaTheme="minorEastAsia"/>
                <w:sz w:val="21"/>
                <w:szCs w:val="18"/>
              </w:rPr>
              <w:t>2.服务方案整体设计基本符合采购文件要求，方案基本完整，</w:t>
            </w:r>
            <w:r>
              <w:rPr>
                <w:rFonts w:hint="eastAsia" w:ascii="宋体" w:hAnsi="宋体" w:eastAsia="宋体" w:cs="Times New Roman"/>
                <w:szCs w:val="21"/>
              </w:rPr>
              <w:t>反应较快，即接到采购人电话短时间内（5小时以内）可以赶到采购人单位地址随同采购人技术团队和执法人员采样监测；样品的保存和运输能保证样品可靠送到实验室分析的时间较短；服务保障可靠、实验室设备能力及人员车辆调配能满足方案实施要求。</w:t>
            </w:r>
            <w:r>
              <w:rPr>
                <w:rFonts w:hint="eastAsia" w:asciiTheme="minorEastAsia" w:hAnsiTheme="minorEastAsia" w:eastAsiaTheme="minorEastAsia"/>
                <w:sz w:val="21"/>
                <w:szCs w:val="18"/>
              </w:rPr>
              <w:t>可行性为良，得12分；</w:t>
            </w:r>
          </w:p>
          <w:p>
            <w:pPr>
              <w:pStyle w:val="13"/>
              <w:spacing w:beforeLines="0"/>
              <w:ind w:firstLine="0" w:firstLineChars="0"/>
              <w:rPr>
                <w:rFonts w:asciiTheme="minorEastAsia" w:hAnsiTheme="minorEastAsia" w:eastAsiaTheme="minorEastAsia"/>
                <w:sz w:val="21"/>
                <w:szCs w:val="18"/>
              </w:rPr>
            </w:pPr>
            <w:r>
              <w:rPr>
                <w:rFonts w:hint="eastAsia" w:asciiTheme="minorEastAsia" w:hAnsiTheme="minorEastAsia" w:eastAsiaTheme="minorEastAsia"/>
                <w:sz w:val="21"/>
                <w:szCs w:val="18"/>
              </w:rPr>
              <w:t>3.整体服务方</w:t>
            </w:r>
            <w:r>
              <w:rPr>
                <w:rFonts w:hint="eastAsia" w:ascii="宋体" w:hAnsi="宋体"/>
                <w:kern w:val="0"/>
                <w:sz w:val="22"/>
                <w:szCs w:val="21"/>
              </w:rPr>
              <w:t>案不完全符合采购文件要求，方案不完整，反应一般，即接到采购人电话在规定的时间内（8小时以内）可以赶到现场进行采样监测，样品的保存和运输能保证样品可靠送到实验室分析，时间满足标准要求，实验室设备能力及人员车辆调配基本满足方案实施要求。</w:t>
            </w:r>
            <w:r>
              <w:rPr>
                <w:rFonts w:hint="eastAsia" w:asciiTheme="minorEastAsia" w:hAnsiTheme="minorEastAsia" w:eastAsiaTheme="minorEastAsia"/>
                <w:sz w:val="21"/>
                <w:szCs w:val="18"/>
              </w:rPr>
              <w:t>可行性为一般，得8分；</w:t>
            </w:r>
          </w:p>
          <w:p>
            <w:pPr>
              <w:pStyle w:val="13"/>
              <w:spacing w:beforeLines="0"/>
              <w:ind w:firstLine="0" w:firstLineChars="0"/>
              <w:rPr>
                <w:rFonts w:asciiTheme="minorEastAsia" w:hAnsiTheme="minorEastAsia" w:eastAsiaTheme="minorEastAsia"/>
                <w:sz w:val="21"/>
                <w:szCs w:val="18"/>
              </w:rPr>
            </w:pPr>
            <w:r>
              <w:rPr>
                <w:rFonts w:hint="eastAsia" w:asciiTheme="minorEastAsia" w:hAnsiTheme="minorEastAsia" w:eastAsiaTheme="minorEastAsia"/>
                <w:sz w:val="21"/>
                <w:szCs w:val="18"/>
              </w:rPr>
              <w:t>无相关描述不得分。</w:t>
            </w:r>
          </w:p>
        </w:tc>
        <w:tc>
          <w:tcPr>
            <w:tcW w:w="1211"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1" w:hRule="atLeast"/>
          <w:jc w:val="center"/>
        </w:trPr>
        <w:tc>
          <w:tcPr>
            <w:tcW w:w="846" w:type="dxa"/>
            <w:vAlign w:val="center"/>
          </w:tcPr>
          <w:p>
            <w:pPr>
              <w:spacing w:before="120"/>
              <w:jc w:val="center"/>
              <w:rPr>
                <w:rFonts w:asciiTheme="minorEastAsia" w:hAnsiTheme="minorEastAsia" w:eastAsiaTheme="minorEastAsia"/>
                <w:sz w:val="21"/>
                <w:szCs w:val="18"/>
              </w:rPr>
            </w:pPr>
          </w:p>
        </w:tc>
        <w:tc>
          <w:tcPr>
            <w:tcW w:w="1134"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项目负责人评价</w:t>
            </w:r>
          </w:p>
        </w:tc>
        <w:tc>
          <w:tcPr>
            <w:tcW w:w="6095" w:type="dxa"/>
            <w:vAlign w:val="center"/>
          </w:tcPr>
          <w:p>
            <w:pPr>
              <w:pStyle w:val="13"/>
              <w:spacing w:beforeLines="0"/>
              <w:ind w:firstLine="0" w:firstLineChars="0"/>
              <w:rPr>
                <w:rFonts w:asciiTheme="minorEastAsia" w:hAnsiTheme="minorEastAsia" w:eastAsiaTheme="minorEastAsia"/>
                <w:sz w:val="21"/>
                <w:szCs w:val="18"/>
              </w:rPr>
            </w:pPr>
            <w:r>
              <w:rPr>
                <w:rFonts w:hint="eastAsia" w:asciiTheme="minorEastAsia" w:hAnsiTheme="minorEastAsia" w:eastAsiaTheme="minorEastAsia"/>
                <w:sz w:val="21"/>
                <w:szCs w:val="18"/>
              </w:rPr>
              <w:t>根据项目负责人的情况进行评价：</w:t>
            </w:r>
          </w:p>
          <w:p>
            <w:pPr>
              <w:pStyle w:val="13"/>
              <w:numPr>
                <w:ilvl w:val="0"/>
                <w:numId w:val="4"/>
              </w:numPr>
              <w:spacing w:beforeLines="0"/>
              <w:ind w:firstLineChars="0"/>
              <w:rPr>
                <w:rFonts w:asciiTheme="minorEastAsia" w:hAnsiTheme="minorEastAsia" w:eastAsiaTheme="minorEastAsia"/>
                <w:sz w:val="21"/>
                <w:szCs w:val="18"/>
              </w:rPr>
            </w:pPr>
            <w:r>
              <w:rPr>
                <w:rFonts w:asciiTheme="minorEastAsia" w:hAnsiTheme="minorEastAsia" w:eastAsiaTheme="minorEastAsia"/>
                <w:sz w:val="21"/>
                <w:szCs w:val="18"/>
              </w:rPr>
              <w:t>项目负责人具有高级职称或博士学位</w:t>
            </w:r>
            <w:r>
              <w:rPr>
                <w:rFonts w:hint="eastAsia" w:asciiTheme="minorEastAsia" w:hAnsiTheme="minorEastAsia" w:eastAsiaTheme="minorEastAsia"/>
                <w:sz w:val="21"/>
                <w:szCs w:val="18"/>
              </w:rPr>
              <w:t>，</w:t>
            </w:r>
            <w:r>
              <w:rPr>
                <w:rFonts w:asciiTheme="minorEastAsia" w:hAnsiTheme="minorEastAsia" w:eastAsiaTheme="minorEastAsia"/>
                <w:sz w:val="21"/>
                <w:szCs w:val="18"/>
              </w:rPr>
              <w:t>得</w:t>
            </w:r>
            <w:r>
              <w:rPr>
                <w:rFonts w:hint="eastAsia" w:asciiTheme="minorEastAsia" w:hAnsiTheme="minorEastAsia" w:eastAsiaTheme="minorEastAsia"/>
                <w:sz w:val="21"/>
                <w:szCs w:val="18"/>
              </w:rPr>
              <w:t>10</w:t>
            </w:r>
            <w:r>
              <w:rPr>
                <w:rFonts w:asciiTheme="minorEastAsia" w:hAnsiTheme="minorEastAsia" w:eastAsiaTheme="minorEastAsia"/>
                <w:sz w:val="21"/>
                <w:szCs w:val="18"/>
              </w:rPr>
              <w:t>分；</w:t>
            </w:r>
          </w:p>
          <w:p>
            <w:pPr>
              <w:pStyle w:val="13"/>
              <w:numPr>
                <w:ilvl w:val="0"/>
                <w:numId w:val="4"/>
              </w:numPr>
              <w:spacing w:beforeLines="0"/>
              <w:ind w:firstLineChars="0"/>
              <w:rPr>
                <w:rFonts w:asciiTheme="minorEastAsia" w:hAnsiTheme="minorEastAsia" w:eastAsiaTheme="minorEastAsia"/>
                <w:sz w:val="21"/>
                <w:szCs w:val="18"/>
              </w:rPr>
            </w:pPr>
            <w:r>
              <w:rPr>
                <w:rFonts w:asciiTheme="minorEastAsia" w:hAnsiTheme="minorEastAsia" w:eastAsiaTheme="minorEastAsia"/>
                <w:sz w:val="21"/>
                <w:szCs w:val="18"/>
              </w:rPr>
              <w:t>项目负责人具有中级职称或硕士学位</w:t>
            </w:r>
            <w:r>
              <w:rPr>
                <w:rFonts w:hint="eastAsia" w:asciiTheme="minorEastAsia" w:hAnsiTheme="minorEastAsia" w:eastAsiaTheme="minorEastAsia"/>
                <w:sz w:val="21"/>
                <w:szCs w:val="18"/>
              </w:rPr>
              <w:t>，</w:t>
            </w:r>
            <w:r>
              <w:rPr>
                <w:rFonts w:asciiTheme="minorEastAsia" w:hAnsiTheme="minorEastAsia" w:eastAsiaTheme="minorEastAsia"/>
                <w:sz w:val="21"/>
                <w:szCs w:val="18"/>
              </w:rPr>
              <w:t>得</w:t>
            </w:r>
            <w:r>
              <w:rPr>
                <w:rFonts w:hint="eastAsia" w:asciiTheme="minorEastAsia" w:hAnsiTheme="minorEastAsia" w:eastAsiaTheme="minorEastAsia"/>
                <w:sz w:val="21"/>
                <w:szCs w:val="18"/>
              </w:rPr>
              <w:t>5</w:t>
            </w:r>
            <w:r>
              <w:rPr>
                <w:rFonts w:asciiTheme="minorEastAsia" w:hAnsiTheme="minorEastAsia" w:eastAsiaTheme="minorEastAsia"/>
                <w:sz w:val="21"/>
                <w:szCs w:val="18"/>
              </w:rPr>
              <w:t>分；</w:t>
            </w:r>
          </w:p>
          <w:p>
            <w:pPr>
              <w:pStyle w:val="13"/>
              <w:numPr>
                <w:ilvl w:val="0"/>
                <w:numId w:val="4"/>
              </w:numPr>
              <w:spacing w:beforeLines="0"/>
              <w:ind w:firstLineChars="0"/>
              <w:rPr>
                <w:rFonts w:asciiTheme="minorEastAsia" w:hAnsiTheme="minorEastAsia" w:eastAsiaTheme="minorEastAsia"/>
                <w:sz w:val="21"/>
                <w:szCs w:val="18"/>
              </w:rPr>
            </w:pPr>
            <w:r>
              <w:rPr>
                <w:rFonts w:asciiTheme="minorEastAsia" w:hAnsiTheme="minorEastAsia" w:eastAsiaTheme="minorEastAsia"/>
                <w:sz w:val="21"/>
                <w:szCs w:val="18"/>
              </w:rPr>
              <w:t>项目负责人具有初级职称或学士学位，得</w:t>
            </w:r>
            <w:r>
              <w:rPr>
                <w:rFonts w:hint="eastAsia" w:asciiTheme="minorEastAsia" w:hAnsiTheme="minorEastAsia" w:eastAsiaTheme="minorEastAsia"/>
                <w:sz w:val="21"/>
                <w:szCs w:val="18"/>
              </w:rPr>
              <w:t>3</w:t>
            </w:r>
            <w:r>
              <w:rPr>
                <w:rFonts w:asciiTheme="minorEastAsia" w:hAnsiTheme="minorEastAsia" w:eastAsiaTheme="minorEastAsia"/>
                <w:sz w:val="21"/>
                <w:szCs w:val="18"/>
              </w:rPr>
              <w:t>分；</w:t>
            </w:r>
          </w:p>
          <w:p>
            <w:pPr>
              <w:pStyle w:val="13"/>
              <w:spacing w:beforeLines="0"/>
              <w:ind w:firstLine="0" w:firstLineChars="0"/>
              <w:rPr>
                <w:rFonts w:asciiTheme="minorEastAsia" w:hAnsiTheme="minorEastAsia" w:eastAsiaTheme="minorEastAsia"/>
                <w:sz w:val="21"/>
                <w:szCs w:val="18"/>
              </w:rPr>
            </w:pPr>
            <w:r>
              <w:rPr>
                <w:rFonts w:asciiTheme="minorEastAsia" w:hAnsiTheme="minorEastAsia" w:eastAsiaTheme="minorEastAsia"/>
                <w:sz w:val="21"/>
                <w:szCs w:val="18"/>
              </w:rPr>
              <w:t>4.</w:t>
            </w:r>
            <w:r>
              <w:rPr>
                <w:rFonts w:hint="eastAsia" w:asciiTheme="minorEastAsia" w:hAnsiTheme="minorEastAsia" w:eastAsiaTheme="minorEastAsia"/>
                <w:sz w:val="21"/>
                <w:szCs w:val="18"/>
              </w:rPr>
              <w:t>项目负责人不具初级职称或学士学位，不得分。</w:t>
            </w:r>
          </w:p>
          <w:p>
            <w:pPr>
              <w:pStyle w:val="13"/>
              <w:spacing w:beforeLines="0"/>
              <w:ind w:firstLine="0" w:firstLineChars="0"/>
              <w:rPr>
                <w:rFonts w:asciiTheme="minorEastAsia" w:hAnsiTheme="minorEastAsia" w:eastAsiaTheme="minorEastAsia"/>
                <w:sz w:val="21"/>
                <w:szCs w:val="18"/>
              </w:rPr>
            </w:pPr>
            <w:r>
              <w:rPr>
                <w:rFonts w:hint="eastAsia" w:asciiTheme="minorEastAsia" w:hAnsiTheme="minorEastAsia" w:eastAsiaTheme="minorEastAsia"/>
                <w:sz w:val="21"/>
                <w:szCs w:val="18"/>
              </w:rPr>
              <w:t>【注：提供项目负责人职称证书、学位证书复印件，加盖投标人公章，并提供社保部门出具的最近半年在本单位购买社保的证明文件复印件。不提供不得分】</w:t>
            </w:r>
          </w:p>
        </w:tc>
        <w:tc>
          <w:tcPr>
            <w:tcW w:w="1211"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0" w:hRule="atLeast"/>
          <w:jc w:val="center"/>
        </w:trPr>
        <w:tc>
          <w:tcPr>
            <w:tcW w:w="846"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3</w:t>
            </w:r>
          </w:p>
        </w:tc>
        <w:tc>
          <w:tcPr>
            <w:tcW w:w="1134"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项目组配备人员评价</w:t>
            </w:r>
          </w:p>
        </w:tc>
        <w:tc>
          <w:tcPr>
            <w:tcW w:w="6095" w:type="dxa"/>
            <w:vAlign w:val="center"/>
          </w:tcPr>
          <w:p>
            <w:pPr>
              <w:spacing w:before="120"/>
              <w:rPr>
                <w:rFonts w:asciiTheme="minorEastAsia" w:hAnsiTheme="minorEastAsia" w:eastAsiaTheme="minorEastAsia"/>
                <w:strike/>
                <w:sz w:val="21"/>
                <w:szCs w:val="18"/>
              </w:rPr>
            </w:pPr>
            <w:r>
              <w:rPr>
                <w:rFonts w:hint="eastAsia" w:asciiTheme="minorEastAsia" w:hAnsiTheme="minorEastAsia" w:eastAsiaTheme="minorEastAsia"/>
                <w:sz w:val="21"/>
                <w:szCs w:val="18"/>
              </w:rPr>
              <w:t>根据各响应供应商拟投入本项目的项目组人员（项目负责人除外）情况进行评价：</w:t>
            </w:r>
          </w:p>
          <w:p>
            <w:pPr>
              <w:spacing w:before="120"/>
              <w:rPr>
                <w:rFonts w:asciiTheme="minorEastAsia" w:hAnsiTheme="minorEastAsia" w:eastAsiaTheme="minorEastAsia"/>
                <w:sz w:val="21"/>
                <w:szCs w:val="18"/>
              </w:rPr>
            </w:pPr>
            <w:r>
              <w:rPr>
                <w:rFonts w:asciiTheme="minorEastAsia" w:hAnsiTheme="minorEastAsia" w:eastAsiaTheme="minorEastAsia"/>
                <w:sz w:val="21"/>
                <w:szCs w:val="18"/>
              </w:rPr>
              <w:t>1.</w:t>
            </w:r>
            <w:r>
              <w:rPr>
                <w:rFonts w:hint="eastAsia" w:asciiTheme="minorEastAsia" w:hAnsiTheme="minorEastAsia" w:eastAsiaTheme="minorEastAsia"/>
                <w:sz w:val="21"/>
                <w:szCs w:val="18"/>
              </w:rPr>
              <w:t>项目组成员具有高级职称</w:t>
            </w:r>
            <w:r>
              <w:rPr>
                <w:rFonts w:asciiTheme="minorEastAsia" w:hAnsiTheme="minorEastAsia" w:eastAsiaTheme="minorEastAsia"/>
                <w:sz w:val="21"/>
                <w:szCs w:val="18"/>
              </w:rPr>
              <w:t>或博士学位</w:t>
            </w:r>
            <w:r>
              <w:rPr>
                <w:rFonts w:hint="eastAsia" w:asciiTheme="minorEastAsia" w:hAnsiTheme="minorEastAsia" w:eastAsiaTheme="minorEastAsia"/>
                <w:sz w:val="21"/>
                <w:szCs w:val="18"/>
              </w:rPr>
              <w:t>的，每人得3分，最高可得6分；</w:t>
            </w:r>
          </w:p>
          <w:p>
            <w:pPr>
              <w:spacing w:before="120"/>
              <w:rPr>
                <w:rFonts w:asciiTheme="minorEastAsia" w:hAnsiTheme="minorEastAsia" w:eastAsiaTheme="minorEastAsia"/>
                <w:sz w:val="21"/>
                <w:szCs w:val="18"/>
              </w:rPr>
            </w:pPr>
            <w:r>
              <w:rPr>
                <w:rFonts w:asciiTheme="minorEastAsia" w:hAnsiTheme="minorEastAsia" w:eastAsiaTheme="minorEastAsia"/>
                <w:sz w:val="21"/>
                <w:szCs w:val="18"/>
              </w:rPr>
              <w:t xml:space="preserve">2. </w:t>
            </w:r>
            <w:r>
              <w:rPr>
                <w:rFonts w:hint="eastAsia" w:asciiTheme="minorEastAsia" w:hAnsiTheme="minorEastAsia" w:eastAsiaTheme="minorEastAsia"/>
                <w:sz w:val="21"/>
                <w:szCs w:val="18"/>
              </w:rPr>
              <w:t>项目组成员具有中级职称</w:t>
            </w:r>
            <w:r>
              <w:rPr>
                <w:rFonts w:asciiTheme="minorEastAsia" w:hAnsiTheme="minorEastAsia" w:eastAsiaTheme="minorEastAsia"/>
                <w:sz w:val="21"/>
                <w:szCs w:val="18"/>
              </w:rPr>
              <w:t>或硕士学位</w:t>
            </w:r>
            <w:r>
              <w:rPr>
                <w:rFonts w:hint="eastAsia" w:asciiTheme="minorEastAsia" w:hAnsiTheme="minorEastAsia" w:eastAsiaTheme="minorEastAsia"/>
                <w:sz w:val="21"/>
                <w:szCs w:val="18"/>
              </w:rPr>
              <w:t>的，每人得2分，最高可得6分。</w:t>
            </w:r>
          </w:p>
          <w:p>
            <w:pPr>
              <w:spacing w:before="120"/>
              <w:rPr>
                <w:rFonts w:asciiTheme="minorEastAsia" w:hAnsiTheme="minorEastAsia" w:eastAsiaTheme="minorEastAsia"/>
                <w:strike/>
                <w:sz w:val="21"/>
                <w:szCs w:val="18"/>
              </w:rPr>
            </w:pPr>
            <w:r>
              <w:rPr>
                <w:rFonts w:hint="eastAsia" w:asciiTheme="minorEastAsia" w:hAnsiTheme="minorEastAsia" w:eastAsiaTheme="minorEastAsia"/>
                <w:sz w:val="21"/>
                <w:szCs w:val="18"/>
              </w:rPr>
              <w:t>3项目组成员具有初级级职称</w:t>
            </w:r>
            <w:r>
              <w:rPr>
                <w:rFonts w:asciiTheme="minorEastAsia" w:hAnsiTheme="minorEastAsia" w:eastAsiaTheme="minorEastAsia"/>
                <w:sz w:val="21"/>
                <w:szCs w:val="18"/>
              </w:rPr>
              <w:t>或学士学位</w:t>
            </w:r>
            <w:r>
              <w:rPr>
                <w:rFonts w:hint="eastAsia" w:asciiTheme="minorEastAsia" w:hAnsiTheme="minorEastAsia" w:eastAsiaTheme="minorEastAsia"/>
                <w:sz w:val="21"/>
                <w:szCs w:val="18"/>
              </w:rPr>
              <w:t>的，每人得1分，最高可得6分</w:t>
            </w:r>
          </w:p>
          <w:p>
            <w:pPr>
              <w:pStyle w:val="13"/>
              <w:spacing w:beforeLines="0"/>
              <w:ind w:firstLine="0" w:firstLineChars="0"/>
              <w:rPr>
                <w:rFonts w:asciiTheme="minorEastAsia" w:hAnsiTheme="minorEastAsia" w:eastAsiaTheme="minorEastAsia"/>
                <w:sz w:val="21"/>
                <w:szCs w:val="18"/>
              </w:rPr>
            </w:pPr>
            <w:r>
              <w:rPr>
                <w:rFonts w:hint="eastAsia" w:asciiTheme="minorEastAsia" w:hAnsiTheme="minorEastAsia" w:eastAsiaTheme="minorEastAsia"/>
                <w:sz w:val="21"/>
                <w:szCs w:val="18"/>
              </w:rPr>
              <w:t>【注：提供项目组成员职称证书、学位证书复印件并加盖投标人公章，并提供社保部门出具项目组成员最近半年在本单位购买社保的证明文件复印件。不提供不得分】</w:t>
            </w:r>
          </w:p>
        </w:tc>
        <w:tc>
          <w:tcPr>
            <w:tcW w:w="1211"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18分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jc w:val="center"/>
        </w:trPr>
        <w:tc>
          <w:tcPr>
            <w:tcW w:w="846"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4</w:t>
            </w:r>
          </w:p>
        </w:tc>
        <w:tc>
          <w:tcPr>
            <w:tcW w:w="1134"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项目组仪器配备数量评价</w:t>
            </w:r>
          </w:p>
        </w:tc>
        <w:tc>
          <w:tcPr>
            <w:tcW w:w="6095" w:type="dxa"/>
            <w:vAlign w:val="center"/>
          </w:tcPr>
          <w:p>
            <w:pPr>
              <w:spacing w:before="120"/>
              <w:rPr>
                <w:rFonts w:asciiTheme="minorEastAsia" w:hAnsiTheme="minorEastAsia" w:eastAsiaTheme="minorEastAsia"/>
                <w:sz w:val="21"/>
                <w:szCs w:val="18"/>
              </w:rPr>
            </w:pPr>
            <w:r>
              <w:rPr>
                <w:rFonts w:hint="eastAsia" w:asciiTheme="minorEastAsia" w:hAnsiTheme="minorEastAsia" w:eastAsiaTheme="minorEastAsia"/>
                <w:sz w:val="21"/>
                <w:szCs w:val="18"/>
              </w:rPr>
              <w:t>根据项目组仪器配备数量进行评价：</w:t>
            </w:r>
          </w:p>
          <w:p>
            <w:pPr>
              <w:spacing w:before="120"/>
              <w:rPr>
                <w:rFonts w:asciiTheme="minorEastAsia" w:hAnsiTheme="minorEastAsia" w:eastAsiaTheme="minorEastAsia"/>
                <w:sz w:val="21"/>
                <w:szCs w:val="18"/>
              </w:rPr>
            </w:pPr>
            <w:r>
              <w:rPr>
                <w:rFonts w:hint="eastAsia" w:asciiTheme="minorEastAsia" w:hAnsiTheme="minorEastAsia" w:eastAsiaTheme="minorEastAsia"/>
                <w:sz w:val="21"/>
                <w:szCs w:val="18"/>
              </w:rPr>
              <w:t>1. 项目组配高分辨磁质谱分析仪2台（含2台）以上，得6分。</w:t>
            </w:r>
          </w:p>
          <w:p>
            <w:pPr>
              <w:spacing w:before="120"/>
              <w:rPr>
                <w:rFonts w:asciiTheme="minorEastAsia" w:hAnsiTheme="minorEastAsia" w:eastAsiaTheme="minorEastAsia"/>
                <w:sz w:val="21"/>
                <w:szCs w:val="18"/>
              </w:rPr>
            </w:pPr>
            <w:r>
              <w:rPr>
                <w:rFonts w:hint="eastAsia" w:asciiTheme="minorEastAsia" w:hAnsiTheme="minorEastAsia" w:eastAsiaTheme="minorEastAsia"/>
                <w:sz w:val="21"/>
                <w:szCs w:val="18"/>
              </w:rPr>
              <w:t>2．项目组配高分辨磁质谱分析仪1台，得3分</w:t>
            </w:r>
          </w:p>
          <w:p>
            <w:pPr>
              <w:spacing w:before="120"/>
              <w:rPr>
                <w:rFonts w:asciiTheme="minorEastAsia" w:hAnsiTheme="minorEastAsia" w:eastAsiaTheme="minorEastAsia"/>
                <w:sz w:val="21"/>
                <w:szCs w:val="18"/>
              </w:rPr>
            </w:pPr>
            <w:r>
              <w:rPr>
                <w:rFonts w:hint="eastAsia" w:asciiTheme="minorEastAsia" w:hAnsiTheme="minorEastAsia" w:eastAsiaTheme="minorEastAsia"/>
                <w:sz w:val="21"/>
                <w:szCs w:val="18"/>
              </w:rPr>
              <w:t>3.项目组配废气二噁英专用采样器3套（含3套）以上，得6分；</w:t>
            </w:r>
          </w:p>
          <w:p>
            <w:pPr>
              <w:spacing w:before="120"/>
              <w:rPr>
                <w:rFonts w:asciiTheme="minorEastAsia" w:hAnsiTheme="minorEastAsia" w:eastAsiaTheme="minorEastAsia"/>
                <w:sz w:val="21"/>
                <w:szCs w:val="18"/>
              </w:rPr>
            </w:pPr>
            <w:r>
              <w:rPr>
                <w:rFonts w:hint="eastAsia" w:asciiTheme="minorEastAsia" w:hAnsiTheme="minorEastAsia" w:eastAsiaTheme="minorEastAsia"/>
                <w:sz w:val="21"/>
                <w:szCs w:val="18"/>
              </w:rPr>
              <w:t>4. 项目组配废气二噁英专用采样器2套（含2套），得4分；</w:t>
            </w:r>
          </w:p>
          <w:p>
            <w:pPr>
              <w:spacing w:before="120"/>
              <w:rPr>
                <w:rFonts w:asciiTheme="minorEastAsia" w:hAnsiTheme="minorEastAsia" w:eastAsiaTheme="minorEastAsia"/>
                <w:sz w:val="21"/>
                <w:szCs w:val="18"/>
              </w:rPr>
            </w:pPr>
            <w:r>
              <w:rPr>
                <w:rFonts w:hint="eastAsia" w:asciiTheme="minorEastAsia" w:hAnsiTheme="minorEastAsia" w:eastAsiaTheme="minorEastAsia"/>
                <w:sz w:val="21"/>
                <w:szCs w:val="18"/>
              </w:rPr>
              <w:t>5. 项目组配废气二噁英专用采样器1套，得1分。</w:t>
            </w:r>
          </w:p>
          <w:p>
            <w:pPr>
              <w:spacing w:before="120"/>
              <w:rPr>
                <w:rFonts w:cs="Times New Roman" w:asciiTheme="minorEastAsia" w:hAnsiTheme="minorEastAsia" w:eastAsiaTheme="minorEastAsia"/>
                <w:bCs/>
                <w:color w:val="242424"/>
                <w:kern w:val="2"/>
                <w:sz w:val="24"/>
                <w:szCs w:val="21"/>
              </w:rPr>
            </w:pPr>
            <w:r>
              <w:rPr>
                <w:rFonts w:asciiTheme="minorEastAsia" w:hAnsiTheme="minorEastAsia" w:eastAsiaTheme="minorEastAsia"/>
                <w:sz w:val="21"/>
                <w:szCs w:val="18"/>
              </w:rPr>
              <w:t>没有不得分。</w:t>
            </w:r>
          </w:p>
        </w:tc>
        <w:tc>
          <w:tcPr>
            <w:tcW w:w="1211"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12分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2" w:hRule="atLeast"/>
          <w:jc w:val="center"/>
        </w:trPr>
        <w:tc>
          <w:tcPr>
            <w:tcW w:w="846"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5</w:t>
            </w:r>
          </w:p>
        </w:tc>
        <w:tc>
          <w:tcPr>
            <w:tcW w:w="1134"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能力验证或实验室比对结果评价</w:t>
            </w:r>
          </w:p>
        </w:tc>
        <w:tc>
          <w:tcPr>
            <w:tcW w:w="6095" w:type="dxa"/>
            <w:vAlign w:val="center"/>
          </w:tcPr>
          <w:p>
            <w:pPr>
              <w:spacing w:before="120"/>
              <w:rPr>
                <w:rFonts w:asciiTheme="minorEastAsia" w:hAnsiTheme="minorEastAsia" w:eastAsiaTheme="minorEastAsia"/>
                <w:sz w:val="21"/>
                <w:szCs w:val="18"/>
              </w:rPr>
            </w:pPr>
            <w:r>
              <w:rPr>
                <w:rFonts w:hint="eastAsia" w:asciiTheme="minorEastAsia" w:hAnsiTheme="minorEastAsia" w:eastAsiaTheme="minorEastAsia"/>
                <w:sz w:val="21"/>
                <w:szCs w:val="18"/>
              </w:rPr>
              <w:t>根据能力验证或比对经验进行评价：</w:t>
            </w:r>
          </w:p>
          <w:p>
            <w:pPr>
              <w:spacing w:before="120"/>
              <w:rPr>
                <w:rFonts w:asciiTheme="minorEastAsia" w:hAnsiTheme="minorEastAsia" w:eastAsiaTheme="minorEastAsia"/>
                <w:sz w:val="21"/>
                <w:szCs w:val="18"/>
              </w:rPr>
            </w:pPr>
            <w:r>
              <w:rPr>
                <w:rFonts w:hint="eastAsia" w:asciiTheme="minorEastAsia" w:hAnsiTheme="minorEastAsia" w:eastAsiaTheme="minorEastAsia"/>
                <w:sz w:val="21"/>
                <w:szCs w:val="18"/>
              </w:rPr>
              <w:t>1.近3年参与二噁英类能力验证或比对结果合格并取得证书次数不少于3次（含3次），得10分；</w:t>
            </w:r>
          </w:p>
          <w:p>
            <w:pPr>
              <w:spacing w:before="120"/>
              <w:rPr>
                <w:rFonts w:asciiTheme="minorEastAsia" w:hAnsiTheme="minorEastAsia" w:eastAsiaTheme="minorEastAsia"/>
                <w:sz w:val="21"/>
                <w:szCs w:val="18"/>
              </w:rPr>
            </w:pPr>
            <w:r>
              <w:rPr>
                <w:rFonts w:hint="eastAsia" w:asciiTheme="minorEastAsia" w:hAnsiTheme="minorEastAsia" w:eastAsiaTheme="minorEastAsia"/>
                <w:sz w:val="21"/>
                <w:szCs w:val="18"/>
              </w:rPr>
              <w:t>2.近3年参与二噁英类能力验证或比对结果合格并取得证书2次，得5分；</w:t>
            </w:r>
          </w:p>
          <w:p>
            <w:pPr>
              <w:spacing w:before="120"/>
              <w:rPr>
                <w:rFonts w:asciiTheme="minorEastAsia" w:hAnsiTheme="minorEastAsia" w:eastAsiaTheme="minorEastAsia"/>
                <w:sz w:val="21"/>
                <w:szCs w:val="18"/>
              </w:rPr>
            </w:pPr>
            <w:r>
              <w:rPr>
                <w:rFonts w:hint="eastAsia" w:asciiTheme="minorEastAsia" w:hAnsiTheme="minorEastAsia" w:eastAsiaTheme="minorEastAsia"/>
                <w:sz w:val="21"/>
                <w:szCs w:val="18"/>
              </w:rPr>
              <w:t>3.近3年参与二噁英类能力验证或比对结果合格并取得证书1次,得2分；</w:t>
            </w:r>
          </w:p>
          <w:p>
            <w:pPr>
              <w:spacing w:before="120"/>
              <w:rPr>
                <w:rFonts w:asciiTheme="minorEastAsia" w:hAnsiTheme="minorEastAsia" w:eastAsiaTheme="minorEastAsia"/>
                <w:sz w:val="21"/>
                <w:szCs w:val="18"/>
              </w:rPr>
            </w:pPr>
            <w:r>
              <w:rPr>
                <w:rFonts w:hint="eastAsia" w:asciiTheme="minorEastAsia" w:hAnsiTheme="minorEastAsia" w:eastAsiaTheme="minorEastAsia"/>
                <w:sz w:val="21"/>
                <w:szCs w:val="18"/>
              </w:rPr>
              <w:t>无相关描述不得分。</w:t>
            </w:r>
          </w:p>
        </w:tc>
        <w:tc>
          <w:tcPr>
            <w:tcW w:w="1211"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jc w:val="center"/>
        </w:trPr>
        <w:tc>
          <w:tcPr>
            <w:tcW w:w="9286" w:type="dxa"/>
            <w:gridSpan w:val="4"/>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合计：7</w:t>
            </w:r>
            <w:r>
              <w:rPr>
                <w:rFonts w:asciiTheme="minorEastAsia" w:hAnsiTheme="minorEastAsia" w:eastAsiaTheme="minorEastAsia"/>
                <w:sz w:val="21"/>
                <w:szCs w:val="18"/>
              </w:rPr>
              <w:t>0</w:t>
            </w:r>
            <w:r>
              <w:rPr>
                <w:rFonts w:hint="eastAsia" w:asciiTheme="minorEastAsia" w:hAnsiTheme="minorEastAsia" w:eastAsiaTheme="minorEastAsia"/>
                <w:sz w:val="21"/>
                <w:szCs w:val="18"/>
              </w:rPr>
              <w:t>分</w:t>
            </w:r>
          </w:p>
        </w:tc>
      </w:tr>
    </w:tbl>
    <w:p>
      <w:pPr>
        <w:spacing w:before="120"/>
        <w:ind w:firstLine="480"/>
      </w:pPr>
    </w:p>
    <w:p>
      <w:pPr>
        <w:pStyle w:val="14"/>
        <w:tabs>
          <w:tab w:val="left" w:pos="3675"/>
        </w:tabs>
        <w:snapToGrid w:val="0"/>
        <w:spacing w:before="120" w:after="0" w:line="360" w:lineRule="auto"/>
        <w:ind w:left="0" w:leftChars="0" w:firstLine="480"/>
        <w:jc w:val="center"/>
        <w:rPr>
          <w:rFonts w:ascii="黑体" w:hAnsi="黑体" w:eastAsia="黑体"/>
          <w:bCs/>
        </w:rPr>
      </w:pPr>
      <w:r>
        <w:rPr>
          <w:rFonts w:hint="eastAsia" w:ascii="黑体" w:hAnsi="黑体" w:eastAsia="黑体"/>
          <w:bCs/>
          <w:sz w:val="24"/>
        </w:rPr>
        <w:t>表3商务评分表</w:t>
      </w:r>
    </w:p>
    <w:tbl>
      <w:tblPr>
        <w:tblStyle w:val="20"/>
        <w:tblW w:w="92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6"/>
        <w:gridCol w:w="812"/>
        <w:gridCol w:w="6690"/>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6" w:hRule="atLeast"/>
          <w:jc w:val="center"/>
        </w:trPr>
        <w:tc>
          <w:tcPr>
            <w:tcW w:w="566" w:type="dxa"/>
            <w:shd w:val="clear" w:color="auto" w:fill="EEECE1"/>
            <w:vAlign w:val="center"/>
          </w:tcPr>
          <w:p>
            <w:pPr>
              <w:spacing w:before="120" w:line="300" w:lineRule="exact"/>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序号</w:t>
            </w:r>
          </w:p>
        </w:tc>
        <w:tc>
          <w:tcPr>
            <w:tcW w:w="812" w:type="dxa"/>
            <w:shd w:val="clear" w:color="auto" w:fill="EEECE1"/>
            <w:vAlign w:val="center"/>
          </w:tcPr>
          <w:p>
            <w:pPr>
              <w:spacing w:before="120" w:line="300" w:lineRule="exact"/>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评审项目</w:t>
            </w:r>
          </w:p>
        </w:tc>
        <w:tc>
          <w:tcPr>
            <w:tcW w:w="6690" w:type="dxa"/>
            <w:shd w:val="clear" w:color="auto" w:fill="EEECE1"/>
            <w:vAlign w:val="center"/>
          </w:tcPr>
          <w:p>
            <w:pPr>
              <w:spacing w:before="120" w:line="300" w:lineRule="exact"/>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评分范围</w:t>
            </w:r>
          </w:p>
        </w:tc>
        <w:tc>
          <w:tcPr>
            <w:tcW w:w="1218" w:type="dxa"/>
            <w:shd w:val="clear" w:color="auto" w:fill="EEECE1"/>
            <w:vAlign w:val="center"/>
          </w:tcPr>
          <w:p>
            <w:pPr>
              <w:spacing w:before="120" w:line="300" w:lineRule="exact"/>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最高分值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7" w:hRule="atLeast"/>
          <w:jc w:val="center"/>
        </w:trPr>
        <w:tc>
          <w:tcPr>
            <w:tcW w:w="566" w:type="dxa"/>
            <w:vAlign w:val="center"/>
          </w:tcPr>
          <w:p>
            <w:pPr>
              <w:spacing w:before="120" w:line="300" w:lineRule="exact"/>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1</w:t>
            </w:r>
          </w:p>
        </w:tc>
        <w:tc>
          <w:tcPr>
            <w:tcW w:w="812" w:type="dxa"/>
            <w:vAlign w:val="center"/>
          </w:tcPr>
          <w:p>
            <w:pPr>
              <w:spacing w:before="120" w:line="300" w:lineRule="exact"/>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服务业绩</w:t>
            </w:r>
          </w:p>
        </w:tc>
        <w:tc>
          <w:tcPr>
            <w:tcW w:w="6690" w:type="dxa"/>
            <w:vAlign w:val="center"/>
          </w:tcPr>
          <w:p>
            <w:pPr>
              <w:spacing w:before="120"/>
              <w:rPr>
                <w:rFonts w:asciiTheme="minorEastAsia" w:hAnsiTheme="minorEastAsia" w:eastAsiaTheme="minorEastAsia"/>
                <w:sz w:val="21"/>
                <w:szCs w:val="18"/>
              </w:rPr>
            </w:pPr>
            <w:r>
              <w:rPr>
                <w:rFonts w:hint="eastAsia" w:asciiTheme="minorEastAsia" w:hAnsiTheme="minorEastAsia" w:eastAsiaTheme="minorEastAsia"/>
                <w:sz w:val="21"/>
                <w:szCs w:val="18"/>
              </w:rPr>
              <w:t>根据投标人服务经验进行评价：</w:t>
            </w:r>
          </w:p>
          <w:p>
            <w:pPr>
              <w:spacing w:before="120" w:line="300" w:lineRule="exact"/>
              <w:rPr>
                <w:rFonts w:asciiTheme="minorEastAsia" w:hAnsiTheme="minorEastAsia" w:eastAsiaTheme="minorEastAsia"/>
                <w:bCs/>
                <w:sz w:val="21"/>
                <w:szCs w:val="18"/>
              </w:rPr>
            </w:pPr>
            <w:r>
              <w:rPr>
                <w:rFonts w:hint="eastAsia" w:asciiTheme="minorEastAsia" w:hAnsiTheme="minorEastAsia" w:eastAsiaTheme="minorEastAsia"/>
                <w:bCs/>
                <w:sz w:val="21"/>
                <w:szCs w:val="18"/>
              </w:rPr>
              <w:t>1.响应投标人提供</w:t>
            </w:r>
            <w:r>
              <w:rPr>
                <w:rFonts w:hint="eastAsia" w:asciiTheme="minorEastAsia" w:hAnsiTheme="minorEastAsia" w:eastAsiaTheme="minorEastAsia"/>
                <w:sz w:val="21"/>
                <w:szCs w:val="18"/>
              </w:rPr>
              <w:t>自2</w:t>
            </w:r>
            <w:r>
              <w:rPr>
                <w:rFonts w:asciiTheme="minorEastAsia" w:hAnsiTheme="minorEastAsia" w:eastAsiaTheme="minorEastAsia"/>
                <w:sz w:val="21"/>
                <w:szCs w:val="18"/>
              </w:rPr>
              <w:t>017</w:t>
            </w:r>
            <w:r>
              <w:rPr>
                <w:rFonts w:hint="eastAsia" w:asciiTheme="minorEastAsia" w:hAnsiTheme="minorEastAsia" w:eastAsiaTheme="minorEastAsia"/>
                <w:sz w:val="21"/>
                <w:szCs w:val="18"/>
              </w:rPr>
              <w:t>年至今、</w:t>
            </w:r>
            <w:r>
              <w:rPr>
                <w:rFonts w:hint="eastAsia" w:asciiTheme="minorEastAsia" w:hAnsiTheme="minorEastAsia" w:eastAsiaTheme="minorEastAsia"/>
                <w:bCs/>
                <w:sz w:val="21"/>
                <w:szCs w:val="18"/>
              </w:rPr>
              <w:t>通过验收的非殡葬行业废气二噁英监测服务业绩，每提供一个业绩（以合同数计）得</w:t>
            </w:r>
            <w:r>
              <w:rPr>
                <w:rFonts w:asciiTheme="minorEastAsia" w:hAnsiTheme="minorEastAsia" w:eastAsiaTheme="minorEastAsia"/>
                <w:bCs/>
                <w:sz w:val="21"/>
                <w:szCs w:val="18"/>
              </w:rPr>
              <w:t>1</w:t>
            </w:r>
            <w:r>
              <w:rPr>
                <w:rFonts w:hint="eastAsia" w:asciiTheme="minorEastAsia" w:hAnsiTheme="minorEastAsia" w:eastAsiaTheme="minorEastAsia"/>
                <w:bCs/>
                <w:sz w:val="21"/>
                <w:szCs w:val="18"/>
              </w:rPr>
              <w:t>分，最高10分。</w:t>
            </w:r>
          </w:p>
          <w:p>
            <w:pPr>
              <w:spacing w:before="120" w:line="300" w:lineRule="exact"/>
              <w:rPr>
                <w:rFonts w:asciiTheme="minorEastAsia" w:hAnsiTheme="minorEastAsia" w:eastAsiaTheme="minorEastAsia"/>
                <w:bCs/>
                <w:sz w:val="21"/>
                <w:szCs w:val="18"/>
              </w:rPr>
            </w:pPr>
            <w:r>
              <w:rPr>
                <w:rFonts w:hint="eastAsia" w:asciiTheme="minorEastAsia" w:hAnsiTheme="minorEastAsia" w:eastAsiaTheme="minorEastAsia"/>
                <w:bCs/>
                <w:sz w:val="21"/>
                <w:szCs w:val="18"/>
              </w:rPr>
              <w:t>2.响应投标人提供</w:t>
            </w:r>
            <w:r>
              <w:rPr>
                <w:rFonts w:hint="eastAsia" w:asciiTheme="minorEastAsia" w:hAnsiTheme="minorEastAsia" w:eastAsiaTheme="minorEastAsia"/>
                <w:sz w:val="21"/>
                <w:szCs w:val="18"/>
              </w:rPr>
              <w:t>自2</w:t>
            </w:r>
            <w:r>
              <w:rPr>
                <w:rFonts w:asciiTheme="minorEastAsia" w:hAnsiTheme="minorEastAsia" w:eastAsiaTheme="minorEastAsia"/>
                <w:sz w:val="21"/>
                <w:szCs w:val="18"/>
              </w:rPr>
              <w:t>017</w:t>
            </w:r>
            <w:r>
              <w:rPr>
                <w:rFonts w:hint="eastAsia" w:asciiTheme="minorEastAsia" w:hAnsiTheme="minorEastAsia" w:eastAsiaTheme="minorEastAsia"/>
                <w:sz w:val="21"/>
                <w:szCs w:val="18"/>
              </w:rPr>
              <w:t>年至今、</w:t>
            </w:r>
            <w:r>
              <w:rPr>
                <w:rFonts w:hint="eastAsia" w:asciiTheme="minorEastAsia" w:hAnsiTheme="minorEastAsia" w:eastAsiaTheme="minorEastAsia"/>
                <w:bCs/>
                <w:sz w:val="21"/>
                <w:szCs w:val="18"/>
              </w:rPr>
              <w:t>通过验收的殡葬行业废气二噁英监测服务业绩，每提供一个业绩（以企业数计，同一企业不重复计）得</w:t>
            </w:r>
            <w:r>
              <w:rPr>
                <w:rFonts w:asciiTheme="minorEastAsia" w:hAnsiTheme="minorEastAsia" w:eastAsiaTheme="minorEastAsia"/>
                <w:bCs/>
                <w:sz w:val="21"/>
                <w:szCs w:val="18"/>
              </w:rPr>
              <w:t>1</w:t>
            </w:r>
            <w:r>
              <w:rPr>
                <w:rFonts w:hint="eastAsia" w:asciiTheme="minorEastAsia" w:hAnsiTheme="minorEastAsia" w:eastAsiaTheme="minorEastAsia"/>
                <w:bCs/>
                <w:sz w:val="21"/>
                <w:szCs w:val="18"/>
              </w:rPr>
              <w:t>分，最高10分。</w:t>
            </w:r>
          </w:p>
          <w:p>
            <w:pPr>
              <w:spacing w:before="120" w:line="300" w:lineRule="exact"/>
              <w:rPr>
                <w:rFonts w:asciiTheme="minorEastAsia" w:hAnsiTheme="minorEastAsia" w:eastAsiaTheme="minorEastAsia"/>
                <w:bCs/>
                <w:sz w:val="21"/>
                <w:szCs w:val="18"/>
              </w:rPr>
            </w:pPr>
            <w:r>
              <w:rPr>
                <w:rFonts w:hint="eastAsia" w:asciiTheme="minorEastAsia" w:hAnsiTheme="minorEastAsia" w:eastAsiaTheme="minorEastAsia"/>
                <w:bCs/>
                <w:sz w:val="21"/>
                <w:szCs w:val="18"/>
              </w:rPr>
              <w:t>需提供业绩清单、合同复印件、验收报告复印件等证明资料，未能提供业绩证明材料或材料不完整的，其业绩不予认定。</w:t>
            </w:r>
          </w:p>
        </w:tc>
        <w:tc>
          <w:tcPr>
            <w:tcW w:w="1218" w:type="dxa"/>
            <w:vAlign w:val="center"/>
          </w:tcPr>
          <w:p>
            <w:pPr>
              <w:spacing w:before="120" w:line="300" w:lineRule="exact"/>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jc w:val="center"/>
        </w:trPr>
        <w:tc>
          <w:tcPr>
            <w:tcW w:w="9286" w:type="dxa"/>
            <w:gridSpan w:val="4"/>
            <w:vAlign w:val="center"/>
          </w:tcPr>
          <w:p>
            <w:pPr>
              <w:spacing w:before="120" w:line="300" w:lineRule="exact"/>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合计：</w:t>
            </w:r>
            <w:r>
              <w:rPr>
                <w:rFonts w:asciiTheme="minorEastAsia" w:hAnsiTheme="minorEastAsia" w:eastAsiaTheme="minorEastAsia"/>
                <w:sz w:val="21"/>
                <w:szCs w:val="18"/>
              </w:rPr>
              <w:t>20</w:t>
            </w:r>
            <w:r>
              <w:rPr>
                <w:rFonts w:hint="eastAsia" w:asciiTheme="minorEastAsia" w:hAnsiTheme="minorEastAsia" w:eastAsiaTheme="minorEastAsia"/>
                <w:sz w:val="21"/>
                <w:szCs w:val="18"/>
              </w:rPr>
              <w:t>分</w:t>
            </w:r>
          </w:p>
        </w:tc>
      </w:tr>
    </w:tbl>
    <w:p>
      <w:pPr>
        <w:pStyle w:val="14"/>
        <w:tabs>
          <w:tab w:val="left" w:pos="3675"/>
        </w:tabs>
        <w:snapToGrid w:val="0"/>
        <w:spacing w:before="120" w:after="0" w:line="360" w:lineRule="auto"/>
        <w:ind w:left="0" w:leftChars="0" w:firstLine="480"/>
        <w:jc w:val="center"/>
        <w:rPr>
          <w:rFonts w:ascii="黑体" w:hAnsi="黑体" w:eastAsia="黑体"/>
          <w:bCs/>
          <w:sz w:val="24"/>
        </w:rPr>
      </w:pPr>
    </w:p>
    <w:p>
      <w:pPr>
        <w:pStyle w:val="14"/>
        <w:tabs>
          <w:tab w:val="left" w:pos="3675"/>
        </w:tabs>
        <w:snapToGrid w:val="0"/>
        <w:spacing w:before="120" w:after="0" w:line="360" w:lineRule="auto"/>
        <w:ind w:left="0" w:leftChars="0" w:firstLine="480"/>
        <w:jc w:val="center"/>
        <w:rPr>
          <w:rFonts w:ascii="黑体" w:hAnsi="黑体" w:eastAsia="黑体"/>
          <w:bCs/>
          <w:sz w:val="24"/>
        </w:rPr>
      </w:pPr>
    </w:p>
    <w:p>
      <w:pPr>
        <w:pStyle w:val="14"/>
        <w:tabs>
          <w:tab w:val="left" w:pos="3675"/>
        </w:tabs>
        <w:snapToGrid w:val="0"/>
        <w:spacing w:before="120" w:after="0" w:line="360" w:lineRule="auto"/>
        <w:ind w:left="0" w:leftChars="0" w:firstLine="480"/>
        <w:jc w:val="center"/>
        <w:rPr>
          <w:rFonts w:ascii="黑体" w:hAnsi="黑体" w:eastAsia="黑体"/>
          <w:bCs/>
          <w:sz w:val="24"/>
        </w:rPr>
      </w:pPr>
    </w:p>
    <w:p>
      <w:pPr>
        <w:pStyle w:val="14"/>
        <w:tabs>
          <w:tab w:val="left" w:pos="3675"/>
        </w:tabs>
        <w:snapToGrid w:val="0"/>
        <w:spacing w:before="120" w:after="0" w:line="360" w:lineRule="auto"/>
        <w:ind w:left="0" w:leftChars="0" w:firstLine="480"/>
        <w:jc w:val="center"/>
        <w:rPr>
          <w:rFonts w:ascii="黑体" w:hAnsi="黑体" w:eastAsia="黑体"/>
          <w:bCs/>
          <w:sz w:val="24"/>
        </w:rPr>
      </w:pPr>
    </w:p>
    <w:p>
      <w:pPr>
        <w:pStyle w:val="14"/>
        <w:tabs>
          <w:tab w:val="left" w:pos="3675"/>
        </w:tabs>
        <w:snapToGrid w:val="0"/>
        <w:spacing w:before="120" w:after="0" w:line="360" w:lineRule="auto"/>
        <w:ind w:left="0" w:leftChars="0" w:firstLine="480"/>
        <w:jc w:val="center"/>
        <w:rPr>
          <w:rFonts w:ascii="黑体" w:hAnsi="黑体" w:eastAsia="黑体"/>
          <w:bCs/>
          <w:sz w:val="24"/>
        </w:rPr>
      </w:pPr>
    </w:p>
    <w:p>
      <w:pPr>
        <w:pStyle w:val="14"/>
        <w:tabs>
          <w:tab w:val="left" w:pos="3675"/>
        </w:tabs>
        <w:snapToGrid w:val="0"/>
        <w:spacing w:before="120" w:after="0" w:line="360" w:lineRule="auto"/>
        <w:ind w:left="0" w:leftChars="0" w:firstLine="480"/>
        <w:jc w:val="center"/>
        <w:rPr>
          <w:rFonts w:ascii="黑体" w:hAnsi="黑体" w:eastAsia="黑体"/>
          <w:bCs/>
        </w:rPr>
      </w:pPr>
      <w:r>
        <w:rPr>
          <w:rFonts w:hint="eastAsia" w:ascii="黑体" w:hAnsi="黑体" w:eastAsia="黑体"/>
          <w:bCs/>
          <w:sz w:val="24"/>
        </w:rPr>
        <w:t>表4价格评审表</w:t>
      </w:r>
    </w:p>
    <w:tbl>
      <w:tblPr>
        <w:tblStyle w:val="20"/>
        <w:tblW w:w="8730"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385"/>
        <w:gridCol w:w="5631"/>
        <w:gridCol w:w="171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17" w:hRule="atLeast"/>
          <w:tblHeader/>
          <w:jc w:val="center"/>
        </w:trPr>
        <w:tc>
          <w:tcPr>
            <w:tcW w:w="1385" w:type="dxa"/>
            <w:shd w:val="clear" w:color="auto" w:fill="EEECE1"/>
            <w:vAlign w:val="center"/>
          </w:tcPr>
          <w:p>
            <w:pPr>
              <w:spacing w:before="120"/>
              <w:ind w:firstLine="482"/>
              <w:jc w:val="center"/>
              <w:rPr>
                <w:rFonts w:ascii="宋体" w:hAnsi="宋体" w:cs="宋体"/>
                <w:b/>
                <w:bCs/>
                <w:sz w:val="21"/>
                <w:szCs w:val="18"/>
              </w:rPr>
            </w:pPr>
            <w:r>
              <w:rPr>
                <w:rFonts w:hint="eastAsia" w:ascii="宋体" w:hAnsi="宋体" w:cs="宋体"/>
                <w:b/>
                <w:bCs/>
                <w:sz w:val="21"/>
                <w:szCs w:val="18"/>
              </w:rPr>
              <w:t>评分项目</w:t>
            </w:r>
          </w:p>
        </w:tc>
        <w:tc>
          <w:tcPr>
            <w:tcW w:w="5631" w:type="dxa"/>
            <w:shd w:val="clear" w:color="auto" w:fill="EEECE1"/>
            <w:vAlign w:val="center"/>
          </w:tcPr>
          <w:p>
            <w:pPr>
              <w:spacing w:before="120"/>
              <w:ind w:firstLine="482"/>
              <w:jc w:val="center"/>
              <w:rPr>
                <w:rFonts w:ascii="宋体" w:hAnsi="宋体" w:cs="宋体"/>
                <w:b/>
                <w:bCs/>
                <w:sz w:val="21"/>
                <w:szCs w:val="18"/>
              </w:rPr>
            </w:pPr>
            <w:r>
              <w:rPr>
                <w:rFonts w:hint="eastAsia" w:ascii="宋体" w:hAnsi="宋体" w:cs="宋体"/>
                <w:b/>
                <w:bCs/>
                <w:sz w:val="21"/>
                <w:szCs w:val="18"/>
              </w:rPr>
              <w:t>评分标准</w:t>
            </w:r>
          </w:p>
        </w:tc>
        <w:tc>
          <w:tcPr>
            <w:tcW w:w="1714" w:type="dxa"/>
            <w:shd w:val="clear" w:color="auto" w:fill="EEECE1"/>
            <w:vAlign w:val="center"/>
          </w:tcPr>
          <w:p>
            <w:pPr>
              <w:spacing w:before="120"/>
              <w:jc w:val="center"/>
              <w:rPr>
                <w:rFonts w:ascii="宋体" w:hAnsi="宋体" w:cs="宋体"/>
                <w:b/>
                <w:bCs/>
                <w:sz w:val="21"/>
                <w:szCs w:val="18"/>
              </w:rPr>
            </w:pPr>
            <w:r>
              <w:rPr>
                <w:rFonts w:hint="eastAsia" w:ascii="宋体" w:hAnsi="宋体" w:cs="宋体"/>
                <w:b/>
                <w:bCs/>
                <w:sz w:val="21"/>
                <w:szCs w:val="18"/>
              </w:rPr>
              <w:t>最高分值</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216" w:hRule="atLeast"/>
          <w:tblHeader/>
          <w:jc w:val="center"/>
        </w:trPr>
        <w:tc>
          <w:tcPr>
            <w:tcW w:w="1385" w:type="dxa"/>
            <w:vAlign w:val="center"/>
          </w:tcPr>
          <w:p>
            <w:pPr>
              <w:spacing w:before="120"/>
              <w:jc w:val="center"/>
              <w:rPr>
                <w:rFonts w:ascii="宋体" w:hAnsi="宋体" w:cs="宋体"/>
                <w:sz w:val="21"/>
                <w:szCs w:val="18"/>
              </w:rPr>
            </w:pPr>
            <w:r>
              <w:rPr>
                <w:rFonts w:hint="eastAsia" w:ascii="宋体" w:hAnsi="宋体" w:cs="宋体"/>
                <w:sz w:val="21"/>
                <w:szCs w:val="18"/>
              </w:rPr>
              <w:t>投标总价</w:t>
            </w:r>
          </w:p>
        </w:tc>
        <w:tc>
          <w:tcPr>
            <w:tcW w:w="5631" w:type="dxa"/>
            <w:vAlign w:val="center"/>
          </w:tcPr>
          <w:p>
            <w:pPr>
              <w:spacing w:before="120"/>
              <w:ind w:firstLine="480"/>
              <w:jc w:val="center"/>
              <w:rPr>
                <w:rFonts w:ascii="宋体" w:hAnsi="宋体" w:cs="宋体"/>
                <w:sz w:val="21"/>
                <w:szCs w:val="18"/>
              </w:rPr>
            </w:pPr>
            <w:r>
              <w:rPr>
                <w:rFonts w:hint="eastAsia" w:ascii="宋体" w:hAnsi="宋体" w:cs="宋体"/>
                <w:sz w:val="21"/>
                <w:szCs w:val="18"/>
              </w:rPr>
              <w:t>投标报价得分</w:t>
            </w:r>
            <w:r>
              <w:rPr>
                <w:rFonts w:ascii="宋体" w:hAnsi="宋体" w:cs="宋体"/>
                <w:sz w:val="21"/>
                <w:szCs w:val="18"/>
              </w:rPr>
              <w:t xml:space="preserve">=(评标基准价/投标报价) </w:t>
            </w:r>
            <w:r>
              <w:rPr>
                <w:rFonts w:hint="eastAsia" w:ascii="宋体" w:hAnsi="宋体" w:cs="宋体"/>
                <w:sz w:val="21"/>
                <w:szCs w:val="18"/>
              </w:rPr>
              <w:t>×价格分值</w:t>
            </w:r>
          </w:p>
        </w:tc>
        <w:tc>
          <w:tcPr>
            <w:tcW w:w="1714" w:type="dxa"/>
            <w:vAlign w:val="center"/>
          </w:tcPr>
          <w:p>
            <w:pPr>
              <w:spacing w:before="120" w:line="300" w:lineRule="exact"/>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10分</w:t>
            </w:r>
          </w:p>
        </w:tc>
      </w:tr>
    </w:tbl>
    <w:p>
      <w:pPr>
        <w:spacing w:before="240" w:beforeLines="100"/>
        <w:ind w:firstLine="480"/>
        <w:rPr>
          <w:rFonts w:ascii="宋体" w:hAnsi="宋体" w:cs="宋体"/>
        </w:rPr>
      </w:pPr>
      <w:r>
        <w:rPr>
          <w:rFonts w:hint="eastAsia" w:ascii="宋体" w:hAnsi="宋体" w:cs="宋体"/>
        </w:rPr>
        <w:t>价格分计算方法：满足招标文件要求且投标价格最低的投标报价（小型，微型企业按折后价格为准）为评标基准价，其价格分为满分。其他投标人的价格分统一按照下列公式计算：投标报价得分=(评标基准价／投标报价)×价格分值。</w:t>
      </w:r>
    </w:p>
    <w:p/>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 w:name="等线">
    <w:altName w:val="微软雅黑"/>
    <w:panose1 w:val="00000000000000000000"/>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50275"/>
    <w:multiLevelType w:val="multilevel"/>
    <w:tmpl w:val="0AF50275"/>
    <w:lvl w:ilvl="0" w:tentative="0">
      <w:start w:val="1"/>
      <w:numFmt w:val="decimal"/>
      <w:pStyle w:val="32"/>
      <w:suff w:val="space"/>
      <w:lvlText w:val="%1"/>
      <w:lvlJc w:val="left"/>
      <w:pPr>
        <w:tabs>
          <w:tab w:val="left" w:pos="425"/>
        </w:tabs>
        <w:ind w:left="0" w:firstLine="0"/>
      </w:pPr>
    </w:lvl>
    <w:lvl w:ilvl="1" w:tentative="0">
      <w:start w:val="1"/>
      <w:numFmt w:val="decimal"/>
      <w:suff w:val="space"/>
      <w:lvlText w:val="%1.%2"/>
      <w:lvlJc w:val="left"/>
      <w:pPr>
        <w:tabs>
          <w:tab w:val="left" w:pos="992"/>
        </w:tabs>
        <w:ind w:left="0" w:firstLine="0"/>
      </w:pPr>
    </w:lvl>
    <w:lvl w:ilvl="2" w:tentative="0">
      <w:start w:val="1"/>
      <w:numFmt w:val="decimal"/>
      <w:suff w:val="space"/>
      <w:lvlText w:val="%1.%2.%3"/>
      <w:lvlJc w:val="left"/>
      <w:pPr>
        <w:tabs>
          <w:tab w:val="left" w:pos="1418"/>
        </w:tabs>
        <w:ind w:left="0" w:firstLine="0"/>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
    <w:nsid w:val="1EF30551"/>
    <w:multiLevelType w:val="multilevel"/>
    <w:tmpl w:val="1EF30551"/>
    <w:lvl w:ilvl="0" w:tentative="0">
      <w:start w:val="1"/>
      <w:numFmt w:val="decimal"/>
      <w:pStyle w:val="2"/>
      <w:lvlText w:val="%1"/>
      <w:lvlJc w:val="left"/>
      <w:pPr>
        <w:ind w:left="567" w:hanging="425"/>
      </w:pPr>
      <w:rPr>
        <w:rFonts w:hint="eastAsia"/>
      </w:rPr>
    </w:lvl>
    <w:lvl w:ilvl="1" w:tentative="0">
      <w:start w:val="1"/>
      <w:numFmt w:val="decimal"/>
      <w:pStyle w:val="3"/>
      <w:lvlText w:val="%1.%2"/>
      <w:lvlJc w:val="left"/>
      <w:pPr>
        <w:ind w:left="425" w:hanging="425"/>
      </w:pPr>
      <w:rPr>
        <w:rFonts w:hint="eastAsia"/>
      </w:rPr>
    </w:lvl>
    <w:lvl w:ilvl="2" w:tentative="0">
      <w:start w:val="1"/>
      <w:numFmt w:val="decimal"/>
      <w:pStyle w:val="4"/>
      <w:lvlText w:val="%1.%2.%3"/>
      <w:lvlJc w:val="left"/>
      <w:pPr>
        <w:ind w:left="425" w:hanging="425"/>
      </w:pPr>
      <w:rPr>
        <w:rFonts w:hint="eastAsia"/>
      </w:rPr>
    </w:lvl>
    <w:lvl w:ilvl="3" w:tentative="0">
      <w:start w:val="1"/>
      <w:numFmt w:val="decimal"/>
      <w:pStyle w:val="5"/>
      <w:lvlText w:val="%1.%2.%3.%4"/>
      <w:lvlJc w:val="left"/>
      <w:pPr>
        <w:ind w:left="3544" w:hanging="425"/>
      </w:pPr>
      <w:rPr>
        <w:rFonts w:hint="eastAsia"/>
      </w:rPr>
    </w:lvl>
    <w:lvl w:ilvl="4" w:tentative="0">
      <w:start w:val="1"/>
      <w:numFmt w:val="decimal"/>
      <w:pStyle w:val="6"/>
      <w:lvlText w:val="%1.%2.%3.%4.%5"/>
      <w:lvlJc w:val="left"/>
      <w:pPr>
        <w:ind w:left="7939" w:hanging="425"/>
      </w:pPr>
      <w:rPr>
        <w:rFonts w:hint="eastAsia"/>
      </w:rPr>
    </w:lvl>
    <w:lvl w:ilvl="5" w:tentative="0">
      <w:start w:val="1"/>
      <w:numFmt w:val="decimal"/>
      <w:pStyle w:val="7"/>
      <w:lvlText w:val="%1.%2.%3.%4.%5.%6"/>
      <w:lvlJc w:val="left"/>
      <w:pPr>
        <w:ind w:left="425" w:hanging="425"/>
      </w:pPr>
      <w:rPr>
        <w:rFonts w:hint="eastAsia"/>
      </w:rPr>
    </w:lvl>
    <w:lvl w:ilvl="6" w:tentative="0">
      <w:start w:val="1"/>
      <w:numFmt w:val="decimal"/>
      <w:pStyle w:val="8"/>
      <w:lvlText w:val="%1.%2.%3.%4.%5.%6.%7"/>
      <w:lvlJc w:val="left"/>
      <w:pPr>
        <w:ind w:left="425" w:hanging="425"/>
      </w:pPr>
      <w:rPr>
        <w:rFonts w:hint="eastAsia"/>
      </w:rPr>
    </w:lvl>
    <w:lvl w:ilvl="7" w:tentative="0">
      <w:start w:val="1"/>
      <w:numFmt w:val="decimal"/>
      <w:pStyle w:val="9"/>
      <w:lvlText w:val="%1.%2.%3.%4.%5.%6.%7.%8"/>
      <w:lvlJc w:val="left"/>
      <w:pPr>
        <w:ind w:left="425" w:hanging="425"/>
      </w:pPr>
      <w:rPr>
        <w:rFonts w:hint="eastAsia"/>
      </w:rPr>
    </w:lvl>
    <w:lvl w:ilvl="8" w:tentative="0">
      <w:start w:val="1"/>
      <w:numFmt w:val="decimal"/>
      <w:pStyle w:val="10"/>
      <w:lvlText w:val="%1.%2.%3.%4.%5.%6.%7.%8.%9"/>
      <w:lvlJc w:val="left"/>
      <w:pPr>
        <w:ind w:left="425" w:hanging="425"/>
      </w:pPr>
      <w:rPr>
        <w:rFonts w:hint="eastAsia"/>
      </w:rPr>
    </w:lvl>
  </w:abstractNum>
  <w:abstractNum w:abstractNumId="2">
    <w:nsid w:val="23B63931"/>
    <w:multiLevelType w:val="multilevel"/>
    <w:tmpl w:val="23B63931"/>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5CC40470"/>
    <w:multiLevelType w:val="multilevel"/>
    <w:tmpl w:val="5CC4047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50"/>
    <w:rsid w:val="000213B2"/>
    <w:rsid w:val="000447C9"/>
    <w:rsid w:val="000472AF"/>
    <w:rsid w:val="00052356"/>
    <w:rsid w:val="0007660D"/>
    <w:rsid w:val="00084081"/>
    <w:rsid w:val="0009544E"/>
    <w:rsid w:val="000A0AAF"/>
    <w:rsid w:val="000A3776"/>
    <w:rsid w:val="000A4BB4"/>
    <w:rsid w:val="000A79AB"/>
    <w:rsid w:val="000C6214"/>
    <w:rsid w:val="000E1546"/>
    <w:rsid w:val="000E3603"/>
    <w:rsid w:val="0010577E"/>
    <w:rsid w:val="00113F09"/>
    <w:rsid w:val="00137A8E"/>
    <w:rsid w:val="00155668"/>
    <w:rsid w:val="00164D9C"/>
    <w:rsid w:val="00172DA3"/>
    <w:rsid w:val="00183E10"/>
    <w:rsid w:val="00187271"/>
    <w:rsid w:val="00193F9D"/>
    <w:rsid w:val="0019765F"/>
    <w:rsid w:val="001C1084"/>
    <w:rsid w:val="001D2517"/>
    <w:rsid w:val="001D3847"/>
    <w:rsid w:val="001E6A31"/>
    <w:rsid w:val="001F255E"/>
    <w:rsid w:val="00226928"/>
    <w:rsid w:val="00254F6D"/>
    <w:rsid w:val="002628F8"/>
    <w:rsid w:val="00264210"/>
    <w:rsid w:val="00264616"/>
    <w:rsid w:val="002659E3"/>
    <w:rsid w:val="0027396F"/>
    <w:rsid w:val="002929CE"/>
    <w:rsid w:val="002A014F"/>
    <w:rsid w:val="002E52E9"/>
    <w:rsid w:val="00300984"/>
    <w:rsid w:val="00323B43"/>
    <w:rsid w:val="003959DC"/>
    <w:rsid w:val="003B1186"/>
    <w:rsid w:val="003C752E"/>
    <w:rsid w:val="003D3657"/>
    <w:rsid w:val="003D37D8"/>
    <w:rsid w:val="003F55C0"/>
    <w:rsid w:val="00426133"/>
    <w:rsid w:val="00434F99"/>
    <w:rsid w:val="004358AB"/>
    <w:rsid w:val="00460CB9"/>
    <w:rsid w:val="004B1436"/>
    <w:rsid w:val="004C0FDF"/>
    <w:rsid w:val="004E18C8"/>
    <w:rsid w:val="00506AE6"/>
    <w:rsid w:val="005366A5"/>
    <w:rsid w:val="00543E50"/>
    <w:rsid w:val="0054627C"/>
    <w:rsid w:val="00550B51"/>
    <w:rsid w:val="00565803"/>
    <w:rsid w:val="00575644"/>
    <w:rsid w:val="005816C8"/>
    <w:rsid w:val="00585A2D"/>
    <w:rsid w:val="0059115E"/>
    <w:rsid w:val="005D105D"/>
    <w:rsid w:val="005F3FD5"/>
    <w:rsid w:val="00606A38"/>
    <w:rsid w:val="006660D6"/>
    <w:rsid w:val="00697592"/>
    <w:rsid w:val="006C1E18"/>
    <w:rsid w:val="006D5957"/>
    <w:rsid w:val="006F21CE"/>
    <w:rsid w:val="00725626"/>
    <w:rsid w:val="007770BE"/>
    <w:rsid w:val="00784D98"/>
    <w:rsid w:val="007A037E"/>
    <w:rsid w:val="007B43F2"/>
    <w:rsid w:val="007B5840"/>
    <w:rsid w:val="007C5E9A"/>
    <w:rsid w:val="007C71EA"/>
    <w:rsid w:val="007E1248"/>
    <w:rsid w:val="0080732F"/>
    <w:rsid w:val="00821E17"/>
    <w:rsid w:val="00846878"/>
    <w:rsid w:val="00856F10"/>
    <w:rsid w:val="00862239"/>
    <w:rsid w:val="008715CE"/>
    <w:rsid w:val="00897B78"/>
    <w:rsid w:val="008B14B8"/>
    <w:rsid w:val="008B3DB7"/>
    <w:rsid w:val="008B494A"/>
    <w:rsid w:val="008B7726"/>
    <w:rsid w:val="008C283E"/>
    <w:rsid w:val="008D4DCC"/>
    <w:rsid w:val="008F0BFB"/>
    <w:rsid w:val="0090233C"/>
    <w:rsid w:val="00915E24"/>
    <w:rsid w:val="00932496"/>
    <w:rsid w:val="009360EB"/>
    <w:rsid w:val="00937C17"/>
    <w:rsid w:val="00943CC8"/>
    <w:rsid w:val="00955EE3"/>
    <w:rsid w:val="00975F4B"/>
    <w:rsid w:val="00977411"/>
    <w:rsid w:val="00983228"/>
    <w:rsid w:val="00986EE6"/>
    <w:rsid w:val="0099151A"/>
    <w:rsid w:val="009A437E"/>
    <w:rsid w:val="009A6A40"/>
    <w:rsid w:val="009C356C"/>
    <w:rsid w:val="009C567F"/>
    <w:rsid w:val="00A02464"/>
    <w:rsid w:val="00A11544"/>
    <w:rsid w:val="00A25378"/>
    <w:rsid w:val="00A402D1"/>
    <w:rsid w:val="00A40ED5"/>
    <w:rsid w:val="00A501E2"/>
    <w:rsid w:val="00A50CE6"/>
    <w:rsid w:val="00A841F0"/>
    <w:rsid w:val="00AA771B"/>
    <w:rsid w:val="00AC099C"/>
    <w:rsid w:val="00AD12E1"/>
    <w:rsid w:val="00AE1535"/>
    <w:rsid w:val="00B30028"/>
    <w:rsid w:val="00B53C51"/>
    <w:rsid w:val="00B54D99"/>
    <w:rsid w:val="00B74C91"/>
    <w:rsid w:val="00B761F0"/>
    <w:rsid w:val="00B91362"/>
    <w:rsid w:val="00B93CA2"/>
    <w:rsid w:val="00B97D86"/>
    <w:rsid w:val="00BC0608"/>
    <w:rsid w:val="00BE606F"/>
    <w:rsid w:val="00BF6C66"/>
    <w:rsid w:val="00C04106"/>
    <w:rsid w:val="00C1127F"/>
    <w:rsid w:val="00C31233"/>
    <w:rsid w:val="00C56EAD"/>
    <w:rsid w:val="00C768A6"/>
    <w:rsid w:val="00C822BA"/>
    <w:rsid w:val="00C83B98"/>
    <w:rsid w:val="00C9551E"/>
    <w:rsid w:val="00CA0D41"/>
    <w:rsid w:val="00CB54AA"/>
    <w:rsid w:val="00CB752E"/>
    <w:rsid w:val="00CC4196"/>
    <w:rsid w:val="00CD1116"/>
    <w:rsid w:val="00CD4685"/>
    <w:rsid w:val="00CE0D92"/>
    <w:rsid w:val="00D20494"/>
    <w:rsid w:val="00D20E39"/>
    <w:rsid w:val="00D31D50"/>
    <w:rsid w:val="00D53FCE"/>
    <w:rsid w:val="00D62B9A"/>
    <w:rsid w:val="00D9515F"/>
    <w:rsid w:val="00DA5848"/>
    <w:rsid w:val="00DB1CD5"/>
    <w:rsid w:val="00DB1E16"/>
    <w:rsid w:val="00DD2326"/>
    <w:rsid w:val="00DD5866"/>
    <w:rsid w:val="00DE578E"/>
    <w:rsid w:val="00DF0A3A"/>
    <w:rsid w:val="00DF3453"/>
    <w:rsid w:val="00DF55AF"/>
    <w:rsid w:val="00DF73B8"/>
    <w:rsid w:val="00E13A8F"/>
    <w:rsid w:val="00E2629E"/>
    <w:rsid w:val="00E26C7E"/>
    <w:rsid w:val="00E72A60"/>
    <w:rsid w:val="00EA1B2A"/>
    <w:rsid w:val="00F24551"/>
    <w:rsid w:val="00F41963"/>
    <w:rsid w:val="00F42BAB"/>
    <w:rsid w:val="00F51486"/>
    <w:rsid w:val="00F63342"/>
    <w:rsid w:val="00FE76F9"/>
    <w:rsid w:val="00FF0A39"/>
    <w:rsid w:val="00FF4CF4"/>
    <w:rsid w:val="01C8701E"/>
    <w:rsid w:val="068B0D54"/>
    <w:rsid w:val="35111E6B"/>
    <w:rsid w:val="372065EE"/>
    <w:rsid w:val="3C2C594B"/>
    <w:rsid w:val="4E43740D"/>
    <w:rsid w:val="503D4A1E"/>
    <w:rsid w:val="53C2467B"/>
    <w:rsid w:val="544D7ECE"/>
    <w:rsid w:val="55404AD4"/>
    <w:rsid w:val="5CAF199C"/>
    <w:rsid w:val="6321598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23"/>
    <w:qFormat/>
    <w:uiPriority w:val="0"/>
    <w:pPr>
      <w:keepNext/>
      <w:widowControl w:val="0"/>
      <w:numPr>
        <w:ilvl w:val="0"/>
        <w:numId w:val="1"/>
      </w:numPr>
      <w:adjustRightInd/>
      <w:snapToGrid/>
      <w:spacing w:beforeLines="50" w:afterLines="50" w:line="360" w:lineRule="auto"/>
      <w:ind w:left="425"/>
      <w:outlineLvl w:val="0"/>
    </w:pPr>
    <w:rPr>
      <w:rFonts w:ascii="Times New Roman" w:hAnsi="Times New Roman" w:eastAsia="宋体" w:cs="Arial"/>
      <w:b/>
      <w:bCs/>
      <w:kern w:val="2"/>
      <w:sz w:val="32"/>
      <w:szCs w:val="24"/>
    </w:rPr>
  </w:style>
  <w:style w:type="paragraph" w:styleId="3">
    <w:name w:val="heading 2"/>
    <w:basedOn w:val="1"/>
    <w:next w:val="1"/>
    <w:link w:val="24"/>
    <w:qFormat/>
    <w:uiPriority w:val="0"/>
    <w:pPr>
      <w:keepNext/>
      <w:keepLines/>
      <w:widowControl w:val="0"/>
      <w:numPr>
        <w:ilvl w:val="1"/>
        <w:numId w:val="1"/>
      </w:numPr>
      <w:adjustRightInd/>
      <w:snapToGrid/>
      <w:spacing w:after="0" w:line="360" w:lineRule="auto"/>
      <w:jc w:val="both"/>
      <w:outlineLvl w:val="1"/>
    </w:pPr>
    <w:rPr>
      <w:rFonts w:ascii="Times New Roman" w:hAnsi="Times New Roman" w:eastAsia="宋体" w:cs="Times New Roman"/>
      <w:b/>
      <w:bCs/>
      <w:kern w:val="2"/>
      <w:sz w:val="28"/>
      <w:szCs w:val="28"/>
      <w:lang w:bidi="th-TH"/>
    </w:rPr>
  </w:style>
  <w:style w:type="paragraph" w:styleId="4">
    <w:name w:val="heading 3"/>
    <w:basedOn w:val="1"/>
    <w:next w:val="1"/>
    <w:link w:val="25"/>
    <w:qFormat/>
    <w:uiPriority w:val="0"/>
    <w:pPr>
      <w:keepNext/>
      <w:keepLines/>
      <w:widowControl w:val="0"/>
      <w:numPr>
        <w:ilvl w:val="2"/>
        <w:numId w:val="1"/>
      </w:numPr>
      <w:adjustRightInd/>
      <w:snapToGrid/>
      <w:spacing w:after="0" w:line="360" w:lineRule="auto"/>
      <w:jc w:val="both"/>
      <w:outlineLvl w:val="2"/>
    </w:pPr>
    <w:rPr>
      <w:rFonts w:ascii="Times New Roman" w:hAnsi="宋体" w:eastAsia="宋体" w:cs="Times New Roman"/>
      <w:b/>
      <w:bCs/>
      <w:kern w:val="2"/>
      <w:sz w:val="24"/>
      <w:szCs w:val="24"/>
    </w:rPr>
  </w:style>
  <w:style w:type="paragraph" w:styleId="5">
    <w:name w:val="heading 4"/>
    <w:basedOn w:val="1"/>
    <w:next w:val="1"/>
    <w:link w:val="26"/>
    <w:unhideWhenUsed/>
    <w:qFormat/>
    <w:uiPriority w:val="0"/>
    <w:pPr>
      <w:keepNext/>
      <w:keepLines/>
      <w:widowControl w:val="0"/>
      <w:numPr>
        <w:ilvl w:val="3"/>
        <w:numId w:val="1"/>
      </w:numPr>
      <w:adjustRightInd/>
      <w:snapToGrid/>
      <w:spacing w:after="0" w:line="360" w:lineRule="auto"/>
      <w:ind w:left="425"/>
      <w:jc w:val="both"/>
      <w:outlineLvl w:val="3"/>
    </w:pPr>
    <w:rPr>
      <w:rFonts w:ascii="Times New Roman" w:hAnsi="Times New Roman" w:eastAsia="宋体" w:cs="Times New Roman"/>
      <w:b/>
      <w:bCs/>
      <w:kern w:val="2"/>
      <w:sz w:val="24"/>
      <w:szCs w:val="28"/>
    </w:rPr>
  </w:style>
  <w:style w:type="paragraph" w:styleId="6">
    <w:name w:val="heading 5"/>
    <w:basedOn w:val="1"/>
    <w:next w:val="1"/>
    <w:link w:val="27"/>
    <w:unhideWhenUsed/>
    <w:qFormat/>
    <w:uiPriority w:val="0"/>
    <w:pPr>
      <w:keepNext/>
      <w:keepLines/>
      <w:widowControl w:val="0"/>
      <w:numPr>
        <w:ilvl w:val="4"/>
        <w:numId w:val="1"/>
      </w:numPr>
      <w:adjustRightInd/>
      <w:snapToGrid/>
      <w:spacing w:after="0" w:line="360" w:lineRule="auto"/>
      <w:jc w:val="both"/>
      <w:outlineLvl w:val="4"/>
    </w:pPr>
    <w:rPr>
      <w:rFonts w:ascii="Times New Roman" w:hAnsi="Times New Roman" w:eastAsia="宋体" w:cs="Times New Roman"/>
      <w:b/>
      <w:bCs/>
      <w:kern w:val="2"/>
      <w:sz w:val="24"/>
      <w:szCs w:val="28"/>
    </w:rPr>
  </w:style>
  <w:style w:type="paragraph" w:styleId="7">
    <w:name w:val="heading 6"/>
    <w:basedOn w:val="1"/>
    <w:next w:val="1"/>
    <w:link w:val="28"/>
    <w:unhideWhenUsed/>
    <w:qFormat/>
    <w:uiPriority w:val="0"/>
    <w:pPr>
      <w:keepNext/>
      <w:keepLines/>
      <w:widowControl w:val="0"/>
      <w:numPr>
        <w:ilvl w:val="5"/>
        <w:numId w:val="1"/>
      </w:numPr>
      <w:adjustRightInd/>
      <w:snapToGrid/>
      <w:spacing w:after="0" w:line="360" w:lineRule="auto"/>
      <w:jc w:val="both"/>
      <w:outlineLvl w:val="5"/>
    </w:pPr>
    <w:rPr>
      <w:rFonts w:ascii="Times New Roman" w:hAnsi="Times New Roman" w:eastAsia="宋体" w:cs="Times New Roman"/>
      <w:b/>
      <w:bCs/>
      <w:kern w:val="2"/>
      <w:sz w:val="24"/>
      <w:szCs w:val="24"/>
    </w:rPr>
  </w:style>
  <w:style w:type="paragraph" w:styleId="8">
    <w:name w:val="heading 7"/>
    <w:basedOn w:val="1"/>
    <w:next w:val="1"/>
    <w:link w:val="29"/>
    <w:unhideWhenUsed/>
    <w:qFormat/>
    <w:uiPriority w:val="0"/>
    <w:pPr>
      <w:keepNext/>
      <w:keepLines/>
      <w:widowControl w:val="0"/>
      <w:numPr>
        <w:ilvl w:val="6"/>
        <w:numId w:val="1"/>
      </w:numPr>
      <w:adjustRightInd/>
      <w:snapToGrid/>
      <w:spacing w:after="0" w:line="360" w:lineRule="auto"/>
      <w:jc w:val="both"/>
      <w:outlineLvl w:val="6"/>
    </w:pPr>
    <w:rPr>
      <w:rFonts w:ascii="Times New Roman" w:hAnsi="Times New Roman" w:eastAsia="宋体" w:cs="Times New Roman"/>
      <w:b/>
      <w:bCs/>
      <w:kern w:val="2"/>
      <w:sz w:val="24"/>
      <w:szCs w:val="24"/>
    </w:rPr>
  </w:style>
  <w:style w:type="paragraph" w:styleId="9">
    <w:name w:val="heading 8"/>
    <w:basedOn w:val="1"/>
    <w:next w:val="1"/>
    <w:link w:val="30"/>
    <w:unhideWhenUsed/>
    <w:qFormat/>
    <w:uiPriority w:val="0"/>
    <w:pPr>
      <w:keepNext/>
      <w:keepLines/>
      <w:widowControl w:val="0"/>
      <w:numPr>
        <w:ilvl w:val="7"/>
        <w:numId w:val="1"/>
      </w:numPr>
      <w:adjustRightInd/>
      <w:snapToGrid/>
      <w:spacing w:after="0" w:line="360" w:lineRule="auto"/>
      <w:jc w:val="both"/>
      <w:outlineLvl w:val="7"/>
    </w:pPr>
    <w:rPr>
      <w:rFonts w:ascii="Times New Roman" w:hAnsi="Times New Roman" w:eastAsia="宋体" w:cs="Times New Roman"/>
      <w:b/>
      <w:kern w:val="2"/>
      <w:sz w:val="24"/>
      <w:szCs w:val="24"/>
    </w:rPr>
  </w:style>
  <w:style w:type="paragraph" w:styleId="10">
    <w:name w:val="heading 9"/>
    <w:basedOn w:val="1"/>
    <w:next w:val="1"/>
    <w:link w:val="31"/>
    <w:unhideWhenUsed/>
    <w:qFormat/>
    <w:uiPriority w:val="0"/>
    <w:pPr>
      <w:keepNext/>
      <w:keepLines/>
      <w:widowControl w:val="0"/>
      <w:numPr>
        <w:ilvl w:val="8"/>
        <w:numId w:val="1"/>
      </w:numPr>
      <w:adjustRightInd/>
      <w:snapToGrid/>
      <w:spacing w:after="0" w:line="360" w:lineRule="auto"/>
      <w:jc w:val="both"/>
      <w:outlineLvl w:val="8"/>
    </w:pPr>
    <w:rPr>
      <w:rFonts w:ascii="Times New Roman" w:hAnsi="Times New Roman" w:eastAsia="宋体" w:cs="Times New Roman"/>
      <w:b/>
      <w:kern w:val="2"/>
      <w:sz w:val="24"/>
      <w:szCs w:val="21"/>
    </w:rPr>
  </w:style>
  <w:style w:type="character" w:default="1" w:styleId="18">
    <w:name w:val="Default Paragraph Font"/>
    <w:semiHidden/>
    <w:unhideWhenUsed/>
    <w:uiPriority w:val="1"/>
  </w:style>
  <w:style w:type="table" w:default="1" w:styleId="20">
    <w:name w:val="Normal Table"/>
    <w:semiHidden/>
    <w:unhideWhenUsed/>
    <w:uiPriority w:val="99"/>
    <w:tblPr>
      <w:tblLayout w:type="fixed"/>
      <w:tblCellMar>
        <w:top w:w="0" w:type="dxa"/>
        <w:left w:w="108" w:type="dxa"/>
        <w:bottom w:w="0" w:type="dxa"/>
        <w:right w:w="108" w:type="dxa"/>
      </w:tblCellMar>
    </w:tblPr>
  </w:style>
  <w:style w:type="paragraph" w:styleId="11">
    <w:name w:val="annotation subject"/>
    <w:basedOn w:val="12"/>
    <w:next w:val="12"/>
    <w:link w:val="37"/>
    <w:semiHidden/>
    <w:unhideWhenUsed/>
    <w:uiPriority w:val="99"/>
    <w:rPr>
      <w:b/>
      <w:bCs/>
    </w:rPr>
  </w:style>
  <w:style w:type="paragraph" w:styleId="12">
    <w:name w:val="annotation text"/>
    <w:basedOn w:val="1"/>
    <w:link w:val="36"/>
    <w:semiHidden/>
    <w:unhideWhenUsed/>
    <w:uiPriority w:val="99"/>
  </w:style>
  <w:style w:type="paragraph" w:styleId="13">
    <w:name w:val="Normal Indent"/>
    <w:basedOn w:val="1"/>
    <w:qFormat/>
    <w:uiPriority w:val="0"/>
    <w:pPr>
      <w:widowControl w:val="0"/>
      <w:adjustRightInd/>
      <w:snapToGrid/>
      <w:spacing w:beforeLines="50" w:after="0" w:line="360" w:lineRule="auto"/>
      <w:ind w:firstLine="420" w:firstLineChars="200"/>
      <w:jc w:val="both"/>
    </w:pPr>
    <w:rPr>
      <w:rFonts w:ascii="Times New Roman" w:hAnsi="Times New Roman" w:eastAsia="宋体" w:cs="Times New Roman"/>
      <w:kern w:val="2"/>
      <w:sz w:val="24"/>
    </w:rPr>
  </w:style>
  <w:style w:type="paragraph" w:styleId="14">
    <w:name w:val="Body Text Indent"/>
    <w:basedOn w:val="1"/>
    <w:link w:val="33"/>
    <w:qFormat/>
    <w:uiPriority w:val="0"/>
    <w:pPr>
      <w:widowControl w:val="0"/>
      <w:adjustRightInd/>
      <w:snapToGrid/>
      <w:spacing w:beforeLines="50" w:after="120" w:line="400" w:lineRule="exact"/>
      <w:ind w:left="420" w:leftChars="200" w:firstLine="200" w:firstLineChars="200"/>
      <w:jc w:val="both"/>
    </w:pPr>
    <w:rPr>
      <w:rFonts w:ascii="等线" w:hAnsi="等线" w:eastAsia="宋体" w:cs="宋体"/>
      <w:kern w:val="2"/>
      <w:sz w:val="21"/>
      <w:szCs w:val="24"/>
    </w:rPr>
  </w:style>
  <w:style w:type="paragraph" w:styleId="15">
    <w:name w:val="Balloon Text"/>
    <w:basedOn w:val="1"/>
    <w:link w:val="34"/>
    <w:unhideWhenUsed/>
    <w:qFormat/>
    <w:uiPriority w:val="99"/>
    <w:pPr>
      <w:spacing w:after="0"/>
    </w:pPr>
    <w:rPr>
      <w:sz w:val="18"/>
      <w:szCs w:val="18"/>
    </w:rPr>
  </w:style>
  <w:style w:type="paragraph" w:styleId="16">
    <w:name w:val="footer"/>
    <w:basedOn w:val="1"/>
    <w:link w:val="22"/>
    <w:unhideWhenUsed/>
    <w:qFormat/>
    <w:uiPriority w:val="99"/>
    <w:pPr>
      <w:tabs>
        <w:tab w:val="center" w:pos="4153"/>
        <w:tab w:val="right" w:pos="8306"/>
      </w:tabs>
    </w:pPr>
    <w:rPr>
      <w:sz w:val="18"/>
      <w:szCs w:val="18"/>
    </w:rPr>
  </w:style>
  <w:style w:type="paragraph" w:styleId="17">
    <w:name w:val="header"/>
    <w:basedOn w:val="1"/>
    <w:link w:val="21"/>
    <w:unhideWhenUsed/>
    <w:qFormat/>
    <w:uiPriority w:val="99"/>
    <w:pPr>
      <w:pBdr>
        <w:bottom w:val="single" w:color="auto" w:sz="6" w:space="1"/>
      </w:pBdr>
      <w:tabs>
        <w:tab w:val="center" w:pos="4153"/>
        <w:tab w:val="right" w:pos="8306"/>
      </w:tabs>
      <w:jc w:val="center"/>
    </w:pPr>
    <w:rPr>
      <w:sz w:val="18"/>
      <w:szCs w:val="18"/>
    </w:rPr>
  </w:style>
  <w:style w:type="character" w:styleId="19">
    <w:name w:val="annotation reference"/>
    <w:basedOn w:val="18"/>
    <w:semiHidden/>
    <w:unhideWhenUsed/>
    <w:qFormat/>
    <w:uiPriority w:val="99"/>
    <w:rPr>
      <w:sz w:val="21"/>
      <w:szCs w:val="21"/>
    </w:rPr>
  </w:style>
  <w:style w:type="character" w:customStyle="1" w:styleId="21">
    <w:name w:val="页眉 Char"/>
    <w:basedOn w:val="18"/>
    <w:link w:val="17"/>
    <w:semiHidden/>
    <w:qFormat/>
    <w:uiPriority w:val="99"/>
    <w:rPr>
      <w:rFonts w:ascii="Tahoma" w:hAnsi="Tahoma"/>
      <w:sz w:val="18"/>
      <w:szCs w:val="18"/>
    </w:rPr>
  </w:style>
  <w:style w:type="character" w:customStyle="1" w:styleId="22">
    <w:name w:val="页脚 Char"/>
    <w:basedOn w:val="18"/>
    <w:link w:val="16"/>
    <w:semiHidden/>
    <w:qFormat/>
    <w:uiPriority w:val="99"/>
    <w:rPr>
      <w:rFonts w:ascii="Tahoma" w:hAnsi="Tahoma"/>
      <w:sz w:val="18"/>
      <w:szCs w:val="18"/>
    </w:rPr>
  </w:style>
  <w:style w:type="character" w:customStyle="1" w:styleId="23">
    <w:name w:val="标题 1 Char"/>
    <w:basedOn w:val="18"/>
    <w:link w:val="2"/>
    <w:qFormat/>
    <w:uiPriority w:val="0"/>
    <w:rPr>
      <w:rFonts w:ascii="Times New Roman" w:hAnsi="Times New Roman" w:eastAsia="宋体" w:cs="Arial"/>
      <w:b/>
      <w:bCs/>
      <w:kern w:val="2"/>
      <w:sz w:val="32"/>
      <w:szCs w:val="24"/>
    </w:rPr>
  </w:style>
  <w:style w:type="character" w:customStyle="1" w:styleId="24">
    <w:name w:val="标题 2 Char"/>
    <w:basedOn w:val="18"/>
    <w:link w:val="3"/>
    <w:qFormat/>
    <w:uiPriority w:val="0"/>
    <w:rPr>
      <w:rFonts w:ascii="Times New Roman" w:hAnsi="Times New Roman" w:eastAsia="宋体" w:cs="Times New Roman"/>
      <w:b/>
      <w:bCs/>
      <w:kern w:val="2"/>
      <w:sz w:val="28"/>
      <w:szCs w:val="28"/>
      <w:lang w:bidi="th-TH"/>
    </w:rPr>
  </w:style>
  <w:style w:type="character" w:customStyle="1" w:styleId="25">
    <w:name w:val="标题 3 Char"/>
    <w:basedOn w:val="18"/>
    <w:link w:val="4"/>
    <w:qFormat/>
    <w:uiPriority w:val="0"/>
    <w:rPr>
      <w:rFonts w:ascii="Times New Roman" w:hAnsi="宋体" w:eastAsia="宋体" w:cs="Times New Roman"/>
      <w:b/>
      <w:bCs/>
      <w:kern w:val="2"/>
      <w:sz w:val="24"/>
      <w:szCs w:val="24"/>
    </w:rPr>
  </w:style>
  <w:style w:type="character" w:customStyle="1" w:styleId="26">
    <w:name w:val="标题 4 Char"/>
    <w:basedOn w:val="18"/>
    <w:link w:val="5"/>
    <w:qFormat/>
    <w:uiPriority w:val="0"/>
    <w:rPr>
      <w:rFonts w:ascii="Times New Roman" w:hAnsi="Times New Roman" w:eastAsia="宋体" w:cs="Times New Roman"/>
      <w:b/>
      <w:bCs/>
      <w:kern w:val="2"/>
      <w:sz w:val="24"/>
      <w:szCs w:val="28"/>
    </w:rPr>
  </w:style>
  <w:style w:type="character" w:customStyle="1" w:styleId="27">
    <w:name w:val="标题 5 Char"/>
    <w:basedOn w:val="18"/>
    <w:link w:val="6"/>
    <w:qFormat/>
    <w:uiPriority w:val="0"/>
    <w:rPr>
      <w:rFonts w:ascii="Times New Roman" w:hAnsi="Times New Roman" w:eastAsia="宋体" w:cs="Times New Roman"/>
      <w:b/>
      <w:bCs/>
      <w:kern w:val="2"/>
      <w:sz w:val="24"/>
      <w:szCs w:val="28"/>
    </w:rPr>
  </w:style>
  <w:style w:type="character" w:customStyle="1" w:styleId="28">
    <w:name w:val="标题 6 Char"/>
    <w:basedOn w:val="18"/>
    <w:link w:val="7"/>
    <w:uiPriority w:val="0"/>
    <w:rPr>
      <w:rFonts w:ascii="Times New Roman" w:hAnsi="Times New Roman" w:eastAsia="宋体" w:cs="Times New Roman"/>
      <w:b/>
      <w:bCs/>
      <w:kern w:val="2"/>
      <w:sz w:val="24"/>
      <w:szCs w:val="24"/>
    </w:rPr>
  </w:style>
  <w:style w:type="character" w:customStyle="1" w:styleId="29">
    <w:name w:val="标题 7 Char"/>
    <w:basedOn w:val="18"/>
    <w:link w:val="8"/>
    <w:qFormat/>
    <w:uiPriority w:val="0"/>
    <w:rPr>
      <w:rFonts w:ascii="Times New Roman" w:hAnsi="Times New Roman" w:eastAsia="宋体" w:cs="Times New Roman"/>
      <w:b/>
      <w:bCs/>
      <w:kern w:val="2"/>
      <w:sz w:val="24"/>
      <w:szCs w:val="24"/>
    </w:rPr>
  </w:style>
  <w:style w:type="character" w:customStyle="1" w:styleId="30">
    <w:name w:val="标题 8 Char"/>
    <w:basedOn w:val="18"/>
    <w:link w:val="9"/>
    <w:qFormat/>
    <w:uiPriority w:val="0"/>
    <w:rPr>
      <w:rFonts w:ascii="Times New Roman" w:hAnsi="Times New Roman" w:eastAsia="宋体" w:cs="Times New Roman"/>
      <w:b/>
      <w:kern w:val="2"/>
      <w:sz w:val="24"/>
      <w:szCs w:val="24"/>
    </w:rPr>
  </w:style>
  <w:style w:type="character" w:customStyle="1" w:styleId="31">
    <w:name w:val="标题 9 Char"/>
    <w:basedOn w:val="18"/>
    <w:link w:val="10"/>
    <w:semiHidden/>
    <w:qFormat/>
    <w:uiPriority w:val="0"/>
    <w:rPr>
      <w:rFonts w:ascii="Times New Roman" w:hAnsi="Times New Roman" w:eastAsia="宋体" w:cs="Times New Roman"/>
      <w:b/>
      <w:kern w:val="2"/>
      <w:sz w:val="24"/>
      <w:szCs w:val="21"/>
    </w:rPr>
  </w:style>
  <w:style w:type="paragraph" w:customStyle="1" w:styleId="32">
    <w:name w:val="MM Topic 1"/>
    <w:basedOn w:val="2"/>
    <w:qFormat/>
    <w:uiPriority w:val="99"/>
    <w:pPr>
      <w:keepLines/>
      <w:numPr>
        <w:numId w:val="2"/>
      </w:numPr>
      <w:tabs>
        <w:tab w:val="left" w:pos="425"/>
      </w:tabs>
      <w:spacing w:beforeLines="0" w:afterLines="0" w:line="578" w:lineRule="auto"/>
      <w:ind w:left="-4" w:leftChars="-4" w:hanging="1" w:hangingChars="1"/>
      <w:jc w:val="both"/>
    </w:pPr>
    <w:rPr>
      <w:rFonts w:cs="Times New Roman"/>
      <w:kern w:val="44"/>
      <w:sz w:val="44"/>
      <w:szCs w:val="44"/>
    </w:rPr>
  </w:style>
  <w:style w:type="character" w:customStyle="1" w:styleId="33">
    <w:name w:val="正文文本缩进 Char"/>
    <w:basedOn w:val="18"/>
    <w:link w:val="14"/>
    <w:qFormat/>
    <w:uiPriority w:val="0"/>
    <w:rPr>
      <w:rFonts w:ascii="等线" w:hAnsi="等线" w:eastAsia="宋体" w:cs="宋体"/>
      <w:kern w:val="2"/>
      <w:sz w:val="21"/>
      <w:szCs w:val="24"/>
    </w:rPr>
  </w:style>
  <w:style w:type="character" w:customStyle="1" w:styleId="34">
    <w:name w:val="批注框文本 Char"/>
    <w:basedOn w:val="18"/>
    <w:link w:val="15"/>
    <w:semiHidden/>
    <w:uiPriority w:val="99"/>
    <w:rPr>
      <w:rFonts w:ascii="Tahoma" w:hAnsi="Tahoma"/>
      <w:sz w:val="18"/>
      <w:szCs w:val="18"/>
    </w:rPr>
  </w:style>
  <w:style w:type="paragraph" w:customStyle="1" w:styleId="35">
    <w:name w:val="列出段落1"/>
    <w:basedOn w:val="1"/>
    <w:qFormat/>
    <w:uiPriority w:val="34"/>
    <w:pPr>
      <w:ind w:firstLine="420" w:firstLineChars="200"/>
    </w:pPr>
  </w:style>
  <w:style w:type="character" w:customStyle="1" w:styleId="36">
    <w:name w:val="批注文字 Char"/>
    <w:basedOn w:val="18"/>
    <w:link w:val="12"/>
    <w:semiHidden/>
    <w:qFormat/>
    <w:uiPriority w:val="99"/>
    <w:rPr>
      <w:rFonts w:ascii="Tahoma" w:hAnsi="Tahoma"/>
      <w:sz w:val="22"/>
      <w:szCs w:val="22"/>
    </w:rPr>
  </w:style>
  <w:style w:type="character" w:customStyle="1" w:styleId="37">
    <w:name w:val="批注主题 Char"/>
    <w:basedOn w:val="36"/>
    <w:link w:val="11"/>
    <w:semiHidden/>
    <w:uiPriority w:val="99"/>
    <w:rPr>
      <w:rFonts w:ascii="Tahoma" w:hAnsi="Tahoma"/>
      <w:b/>
      <w:bCs/>
      <w:sz w:val="22"/>
      <w:szCs w:val="22"/>
    </w:rPr>
  </w:style>
  <w:style w:type="paragraph" w:styleId="3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784</Words>
  <Characters>4471</Characters>
  <Lines>37</Lines>
  <Paragraphs>10</Paragraphs>
  <TotalTime>0</TotalTime>
  <ScaleCrop>false</ScaleCrop>
  <LinksUpToDate>false</LinksUpToDate>
  <CharactersWithSpaces>5245</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2020-05-18T02:09:00Z</dcterms:created>
  <dc:creator>liu</dc:creator>
  <cp:lastModifiedBy>刘奕慧</cp:lastModifiedBy>
  <dcterms:modified xsi:type="dcterms:W3CDTF">2020-05-18T02:25:17Z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