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等线" w:hAnsi="等线" w:eastAsia="等线" w:cs="宋体"/>
          <w:b/>
          <w:bCs/>
          <w:color w:val="000000"/>
          <w:kern w:val="0"/>
          <w:sz w:val="32"/>
          <w:szCs w:val="32"/>
        </w:rPr>
      </w:pPr>
      <w:r>
        <w:rPr>
          <w:rFonts w:hint="eastAsia" w:ascii="等线" w:hAnsi="等线" w:eastAsia="等线" w:cs="宋体"/>
          <w:b/>
          <w:bCs/>
          <w:color w:val="000000"/>
          <w:kern w:val="0"/>
          <w:sz w:val="32"/>
          <w:szCs w:val="32"/>
        </w:rPr>
        <w:t>附件2：2020年广东省生态环境监测网络</w:t>
      </w:r>
      <w:r>
        <w:rPr>
          <w:rFonts w:hint="eastAsia" w:ascii="等线" w:hAnsi="等线" w:eastAsia="等线" w:cs="宋体"/>
          <w:b/>
          <w:bCs/>
          <w:color w:val="000000"/>
          <w:kern w:val="0"/>
          <w:sz w:val="32"/>
          <w:szCs w:val="32"/>
          <w:lang w:val="en-US" w:eastAsia="zh-CN"/>
        </w:rPr>
        <w:t>部分委托服务</w:t>
      </w:r>
      <w:r>
        <w:rPr>
          <w:rFonts w:hint="eastAsia" w:ascii="等线" w:hAnsi="等线" w:eastAsia="等线" w:cs="宋体"/>
          <w:b/>
          <w:bCs/>
          <w:color w:val="000000"/>
          <w:kern w:val="0"/>
          <w:sz w:val="32"/>
          <w:szCs w:val="32"/>
        </w:rPr>
        <w:t>项目征求意见表</w:t>
      </w:r>
    </w:p>
    <w:p>
      <w:pPr>
        <w:ind w:firstLine="960" w:firstLineChars="300"/>
        <w:rPr>
          <w:rFonts w:ascii="等线" w:hAnsi="等线" w:eastAsia="等线" w:cs="宋体"/>
          <w:b/>
          <w:bCs/>
          <w:color w:val="000000"/>
          <w:kern w:val="0"/>
          <w:sz w:val="32"/>
          <w:szCs w:val="32"/>
        </w:rPr>
      </w:pPr>
    </w:p>
    <w:p>
      <w:pPr>
        <w:ind w:firstLine="632" w:firstLineChars="300"/>
        <w:rPr>
          <w:rFonts w:ascii="宋体" w:hAnsi="宋体" w:eastAsia="宋体" w:cs="宋体"/>
          <w:b/>
          <w:bCs/>
          <w:color w:val="000000"/>
          <w:kern w:val="0"/>
          <w:szCs w:val="21"/>
        </w:rPr>
      </w:pPr>
      <w:r>
        <w:rPr>
          <w:rFonts w:hint="eastAsia" w:ascii="宋体" w:hAnsi="宋体" w:eastAsia="宋体" w:cs="宋体"/>
          <w:b/>
          <w:bCs/>
          <w:color w:val="000000"/>
          <w:kern w:val="0"/>
          <w:szCs w:val="21"/>
          <w:lang w:val="en-US" w:eastAsia="zh-CN"/>
        </w:rPr>
        <w:t>单位</w:t>
      </w:r>
      <w:r>
        <w:rPr>
          <w:rFonts w:hint="eastAsia" w:ascii="宋体" w:hAnsi="宋体" w:eastAsia="宋体" w:cs="宋体"/>
          <w:b/>
          <w:bCs/>
          <w:color w:val="000000"/>
          <w:kern w:val="0"/>
          <w:szCs w:val="21"/>
        </w:rPr>
        <w:t xml:space="preserve">名称： </w:t>
      </w:r>
      <w:r>
        <w:rPr>
          <w:rFonts w:ascii="宋体" w:hAnsi="宋体" w:eastAsia="宋体" w:cs="宋体"/>
          <w:b/>
          <w:bCs/>
          <w:color w:val="000000"/>
          <w:kern w:val="0"/>
          <w:szCs w:val="21"/>
        </w:rPr>
        <w:t xml:space="preserve">                                                         </w:t>
      </w:r>
      <w:r>
        <w:rPr>
          <w:rFonts w:hint="eastAsia" w:ascii="宋体" w:hAnsi="宋体" w:eastAsia="宋体" w:cs="宋体"/>
          <w:b/>
          <w:bCs/>
          <w:color w:val="000000"/>
          <w:kern w:val="0"/>
          <w:szCs w:val="21"/>
        </w:rPr>
        <w:t>联系电话：</w:t>
      </w:r>
    </w:p>
    <w:p>
      <w:pPr>
        <w:ind w:firstLine="960" w:firstLineChars="300"/>
        <w:rPr>
          <w:rFonts w:ascii="黑体" w:hAnsi="黑体" w:eastAsia="黑体"/>
          <w:sz w:val="32"/>
          <w:szCs w:val="32"/>
        </w:rPr>
      </w:pPr>
    </w:p>
    <w:tbl>
      <w:tblPr>
        <w:tblStyle w:val="5"/>
        <w:tblpPr w:leftFromText="180" w:rightFromText="180" w:vertAnchor="text" w:tblpXSpec="center" w:tblpY="1"/>
        <w:tblOverlap w:val="never"/>
        <w:tblW w:w="138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46"/>
        <w:gridCol w:w="2295"/>
        <w:gridCol w:w="2325"/>
        <w:gridCol w:w="585"/>
        <w:gridCol w:w="690"/>
        <w:gridCol w:w="990"/>
        <w:gridCol w:w="2696"/>
        <w:gridCol w:w="1110"/>
        <w:gridCol w:w="1890"/>
        <w:gridCol w:w="7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tblHeader/>
          <w:jc w:val="center"/>
        </w:trPr>
        <w:tc>
          <w:tcPr>
            <w:tcW w:w="446"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295" w:type="dxa"/>
            <w:shd w:val="clear" w:color="auto" w:fill="auto"/>
            <w:vAlign w:val="center"/>
          </w:tcPr>
          <w:p>
            <w:pPr>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项目名称</w:t>
            </w:r>
          </w:p>
        </w:tc>
        <w:tc>
          <w:tcPr>
            <w:tcW w:w="232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设备/服务名称</w:t>
            </w:r>
          </w:p>
        </w:tc>
        <w:tc>
          <w:tcPr>
            <w:tcW w:w="58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69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990" w:type="dxa"/>
            <w:shd w:val="clear" w:color="auto" w:fill="auto"/>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eastAsia="宋体" w:cs="宋体"/>
                <w:b/>
                <w:bCs/>
                <w:color w:val="000000"/>
                <w:kern w:val="0"/>
                <w:szCs w:val="21"/>
                <w:lang w:val="en-US" w:eastAsia="zh-CN"/>
              </w:rPr>
              <w:t>服务商</w:t>
            </w:r>
          </w:p>
        </w:tc>
        <w:tc>
          <w:tcPr>
            <w:tcW w:w="2696"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服务特点</w:t>
            </w:r>
          </w:p>
        </w:tc>
        <w:tc>
          <w:tcPr>
            <w:tcW w:w="111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市场价格</w:t>
            </w:r>
          </w:p>
        </w:tc>
        <w:tc>
          <w:tcPr>
            <w:tcW w:w="189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案例用户</w:t>
            </w:r>
          </w:p>
        </w:tc>
        <w:tc>
          <w:tcPr>
            <w:tcW w:w="795"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446"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295" w:type="dxa"/>
            <w:vMerge w:val="restart"/>
            <w:shd w:val="clear" w:color="000000" w:fill="FFFFFF"/>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2020年大气和水环境监测网络业务运转项目之2</w:t>
            </w:r>
            <w:r>
              <w:rPr>
                <w:rFonts w:hint="eastAsia" w:ascii="Times New Roman" w:hAnsi="Times New Roman" w:eastAsia="宋体" w:cs="Times New Roman"/>
                <w:color w:val="000000"/>
                <w:kern w:val="0"/>
                <w:szCs w:val="21"/>
                <w:lang w:val="en-US" w:eastAsia="zh-CN"/>
              </w:rPr>
              <w:t>9</w:t>
            </w:r>
            <w:r>
              <w:rPr>
                <w:rFonts w:hint="eastAsia" w:ascii="Times New Roman" w:hAnsi="Times New Roman" w:eastAsia="宋体" w:cs="Times New Roman"/>
                <w:color w:val="000000"/>
                <w:kern w:val="0"/>
                <w:szCs w:val="21"/>
              </w:rPr>
              <w:t>个水站及平台值守项目</w:t>
            </w:r>
          </w:p>
        </w:tc>
        <w:tc>
          <w:tcPr>
            <w:tcW w:w="2325" w:type="dxa"/>
            <w:shd w:val="clear" w:color="000000" w:fill="FFFFFF"/>
            <w:vAlign w:val="center"/>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水质自动监测站委托运营维护及管理服务</w:t>
            </w:r>
          </w:p>
        </w:tc>
        <w:tc>
          <w:tcPr>
            <w:tcW w:w="585" w:type="dxa"/>
            <w:shd w:val="clear" w:color="000000" w:fill="FFFFFF"/>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shd w:val="clear" w:color="000000" w:fill="FFFFFF"/>
            <w:vAlign w:val="center"/>
          </w:tcPr>
          <w:p>
            <w:pPr>
              <w:widowControl/>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29</w:t>
            </w:r>
          </w:p>
        </w:tc>
        <w:tc>
          <w:tcPr>
            <w:tcW w:w="990" w:type="dxa"/>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15" w:hRule="atLeast"/>
          <w:jc w:val="center"/>
        </w:trPr>
        <w:tc>
          <w:tcPr>
            <w:tcW w:w="446" w:type="dxa"/>
            <w:shd w:val="clear" w:color="auto" w:fill="auto"/>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295" w:type="dxa"/>
            <w:vMerge w:val="continue"/>
            <w:shd w:val="clear" w:color="000000" w:fill="FFFFFF"/>
            <w:vAlign w:val="center"/>
          </w:tcPr>
          <w:p>
            <w:pPr>
              <w:widowControl/>
              <w:jc w:val="center"/>
              <w:rPr>
                <w:rFonts w:ascii="Times New Roman" w:hAnsi="Times New Roman" w:eastAsia="宋体" w:cs="Times New Roman"/>
                <w:color w:val="000000"/>
                <w:kern w:val="0"/>
                <w:szCs w:val="21"/>
              </w:rPr>
            </w:pPr>
          </w:p>
        </w:tc>
        <w:tc>
          <w:tcPr>
            <w:tcW w:w="2325" w:type="dxa"/>
            <w:shd w:val="clear" w:color="000000" w:fill="FFFFFF"/>
            <w:vAlign w:val="center"/>
          </w:tcPr>
          <w:p>
            <w:pPr>
              <w:widowControl/>
              <w:jc w:val="left"/>
              <w:textAlignment w:val="center"/>
              <w:rPr>
                <w:rFonts w:ascii="Times New Roman" w:hAnsi="Times New Roman" w:eastAsia="宋体" w:cs="Times New Roman"/>
                <w:szCs w:val="21"/>
              </w:rPr>
            </w:pPr>
            <w:r>
              <w:rPr>
                <w:rFonts w:hint="eastAsia" w:ascii="宋体" w:hAnsi="宋体" w:eastAsia="宋体"/>
                <w:szCs w:val="21"/>
              </w:rPr>
              <w:t>地表水自动监测预警监控平台</w:t>
            </w:r>
            <w:r>
              <w:rPr>
                <w:rFonts w:hint="eastAsia" w:ascii="Times New Roman" w:hAnsi="Times New Roman" w:eastAsia="宋体" w:cs="Times New Roman"/>
                <w:szCs w:val="21"/>
              </w:rPr>
              <w:t>委托运营维护及管理服务</w:t>
            </w:r>
          </w:p>
        </w:tc>
        <w:tc>
          <w:tcPr>
            <w:tcW w:w="585" w:type="dxa"/>
            <w:shd w:val="clear" w:color="000000" w:fill="FFFFFF"/>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shd w:val="clear" w:color="000000" w:fill="FFFFFF"/>
            <w:vAlign w:val="center"/>
          </w:tcPr>
          <w:p>
            <w:pPr>
              <w:widowControl/>
              <w:jc w:val="center"/>
              <w:textAlignment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bookmarkStart w:id="0" w:name="_GoBack"/>
            <w:bookmarkEnd w:id="0"/>
          </w:p>
        </w:tc>
        <w:tc>
          <w:tcPr>
            <w:tcW w:w="990" w:type="dxa"/>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1" w:hRule="atLeast"/>
          <w:jc w:val="center"/>
        </w:trPr>
        <w:tc>
          <w:tcPr>
            <w:tcW w:w="446" w:type="dxa"/>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3</w:t>
            </w:r>
          </w:p>
        </w:tc>
        <w:tc>
          <w:tcPr>
            <w:tcW w:w="2295" w:type="dxa"/>
            <w:vMerge w:val="restart"/>
            <w:shd w:val="clear" w:color="000000" w:fill="FFFFFF"/>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2020年大气和水环境监测网络业务运转项目之大气生态环境监测网络质控体系运转项目</w:t>
            </w:r>
          </w:p>
        </w:tc>
        <w:tc>
          <w:tcPr>
            <w:tcW w:w="2325" w:type="dxa"/>
            <w:shd w:val="clear" w:color="000000" w:fill="FFFFFF"/>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购买PM2.5运行比对：年度比对报告服务</w:t>
            </w:r>
          </w:p>
        </w:tc>
        <w:tc>
          <w:tcPr>
            <w:tcW w:w="585" w:type="dxa"/>
            <w:shd w:val="clear" w:color="000000" w:fill="FFFFFF"/>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shd w:val="clear" w:color="000000" w:fill="FFFFFF"/>
            <w:vAlign w:val="center"/>
          </w:tcPr>
          <w:p>
            <w:pPr>
              <w:spacing w:line="340" w:lineRule="exact"/>
              <w:jc w:val="center"/>
              <w:rPr>
                <w:rFonts w:ascii="Times New Roman" w:hAnsi="Times New Roman" w:eastAsia="宋体" w:cs="Times New Roman"/>
                <w:color w:val="000000"/>
                <w:kern w:val="0"/>
                <w:szCs w:val="21"/>
              </w:rPr>
            </w:pPr>
            <w:r>
              <w:rPr>
                <w:rFonts w:ascii="Times New Roman" w:hAnsi="Times New Roman" w:eastAsia="宋体" w:cs="Times New Roman"/>
                <w:szCs w:val="21"/>
              </w:rPr>
              <w:t>1</w:t>
            </w:r>
          </w:p>
        </w:tc>
        <w:tc>
          <w:tcPr>
            <w:tcW w:w="990" w:type="dxa"/>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1" w:hRule="atLeast"/>
          <w:jc w:val="center"/>
        </w:trPr>
        <w:tc>
          <w:tcPr>
            <w:tcW w:w="446" w:type="dxa"/>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4</w:t>
            </w:r>
          </w:p>
        </w:tc>
        <w:tc>
          <w:tcPr>
            <w:tcW w:w="2295" w:type="dxa"/>
            <w:vMerge w:val="continue"/>
            <w:shd w:val="clear" w:color="000000" w:fill="FFFFFF"/>
            <w:vAlign w:val="center"/>
          </w:tcPr>
          <w:p>
            <w:pPr>
              <w:widowControl/>
              <w:rPr>
                <w:rFonts w:ascii="Times New Roman" w:hAnsi="Times New Roman" w:eastAsia="宋体" w:cs="Times New Roman"/>
                <w:color w:val="000000"/>
                <w:kern w:val="0"/>
                <w:szCs w:val="21"/>
              </w:rPr>
            </w:pPr>
          </w:p>
        </w:tc>
        <w:tc>
          <w:tcPr>
            <w:tcW w:w="2325" w:type="dxa"/>
            <w:shd w:val="clear" w:color="000000" w:fill="FFFFFF"/>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购买VOC运行比对：年度比对报告服务</w:t>
            </w:r>
          </w:p>
        </w:tc>
        <w:tc>
          <w:tcPr>
            <w:tcW w:w="585" w:type="dxa"/>
            <w:shd w:val="clear" w:color="000000" w:fill="FFFFFF"/>
            <w:vAlign w:val="center"/>
          </w:tcPr>
          <w:p>
            <w:pPr>
              <w:widowControl/>
              <w:jc w:val="center"/>
            </w:pPr>
            <w:r>
              <w:rPr>
                <w:rFonts w:hint="eastAsia" w:ascii="Times New Roman" w:hAnsi="Times New Roman" w:eastAsia="宋体" w:cs="Times New Roman"/>
                <w:color w:val="000000"/>
                <w:kern w:val="0"/>
                <w:szCs w:val="21"/>
              </w:rPr>
              <w:t>项</w:t>
            </w:r>
          </w:p>
        </w:tc>
        <w:tc>
          <w:tcPr>
            <w:tcW w:w="690" w:type="dxa"/>
            <w:shd w:val="clear" w:color="000000" w:fill="FFFFFF"/>
            <w:vAlign w:val="center"/>
          </w:tcPr>
          <w:p>
            <w:pPr>
              <w:spacing w:line="340" w:lineRule="exact"/>
              <w:jc w:val="center"/>
            </w:pPr>
            <w:r>
              <w:rPr>
                <w:rFonts w:ascii="Times New Roman" w:hAnsi="Times New Roman" w:eastAsia="宋体" w:cs="Times New Roman"/>
                <w:szCs w:val="21"/>
              </w:rPr>
              <w:t>1</w:t>
            </w:r>
          </w:p>
        </w:tc>
        <w:tc>
          <w:tcPr>
            <w:tcW w:w="990" w:type="dxa"/>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5</w:t>
            </w:r>
          </w:p>
        </w:tc>
        <w:tc>
          <w:tcPr>
            <w:tcW w:w="2295" w:type="dxa"/>
            <w:vMerge w:val="restart"/>
            <w:tcBorders>
              <w:top w:val="single" w:color="auto" w:sz="4" w:space="0"/>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2020年大气和水环境监测网络业务运转项目之空气质量预报预警系统超算租用项目</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kern w:val="0"/>
                <w:szCs w:val="21"/>
              </w:rPr>
              <w:t>购买高性能计算节点</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szCs w:val="21"/>
              </w:rPr>
            </w:pPr>
            <w:r>
              <w:rPr>
                <w:rFonts w:ascii="Times New Roman" w:hAnsi="Times New Roman" w:eastAsia="宋体" w:cs="Times New Roman"/>
                <w:color w:val="000000"/>
                <w:kern w:val="0"/>
                <w:szCs w:val="21"/>
              </w:rPr>
              <w:t>50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6</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rPr>
            </w:pPr>
            <w:r>
              <w:rPr>
                <w:rFonts w:ascii="Times New Roman" w:hAnsi="Times New Roman" w:eastAsia="宋体" w:cs="Times New Roman"/>
                <w:kern w:val="0"/>
                <w:szCs w:val="21"/>
              </w:rPr>
              <w:t>购买存储空间</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T</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20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7</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kern w:val="0"/>
                <w:szCs w:val="21"/>
              </w:rPr>
            </w:pPr>
            <w:r>
              <w:rPr>
                <w:rFonts w:ascii="Times New Roman" w:hAnsi="Times New Roman" w:eastAsia="宋体" w:cs="Times New Roman"/>
                <w:kern w:val="0"/>
                <w:szCs w:val="21"/>
              </w:rPr>
              <w:t>购买</w:t>
            </w:r>
            <w:r>
              <w:rPr>
                <w:rFonts w:hint="eastAsia" w:ascii="Times New Roman" w:hAnsi="Times New Roman" w:eastAsia="宋体" w:cs="Times New Roman"/>
                <w:kern w:val="0"/>
                <w:szCs w:val="21"/>
              </w:rPr>
              <w:t>数据传输专用网络服务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rPr>
            </w:pPr>
            <w:r>
              <w:rPr>
                <w:rFonts w:ascii="Times New Roman" w:hAnsi="Times New Roman" w:eastAsia="宋体" w:cs="Times New Roman"/>
                <w:color w:val="000000"/>
                <w:kern w:val="0"/>
                <w:szCs w:val="21"/>
              </w:rPr>
              <w:t>M</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4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8</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r>
              <w:rPr>
                <w:rFonts w:hint="eastAsia" w:ascii="宋体" w:hAnsi="宋体" w:eastAsia="宋体" w:cs="宋体"/>
                <w:szCs w:val="21"/>
              </w:rPr>
              <w:t>数值模型运行监控费用市场调研询价</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color w:val="000000"/>
                <w:kern w:val="0"/>
                <w:szCs w:val="21"/>
              </w:rPr>
            </w:pPr>
            <w:r>
              <w:rPr>
                <w:rFonts w:hint="eastAsia"/>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hint="eastAsia"/>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98" w:hRule="atLeast"/>
          <w:jc w:val="center"/>
        </w:trPr>
        <w:tc>
          <w:tcPr>
            <w:tcW w:w="446" w:type="dxa"/>
            <w:tcBorders>
              <w:top w:val="single" w:color="auto" w:sz="4" w:space="0"/>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9</w:t>
            </w:r>
          </w:p>
        </w:tc>
        <w:tc>
          <w:tcPr>
            <w:tcW w:w="2295" w:type="dxa"/>
            <w:vMerge w:val="restart"/>
            <w:tcBorders>
              <w:top w:val="single" w:color="auto" w:sz="4" w:space="0"/>
              <w:left w:val="single" w:color="auto" w:sz="4" w:space="0"/>
              <w:right w:val="single" w:color="auto" w:sz="4" w:space="0"/>
            </w:tcBorders>
            <w:vAlign w:val="center"/>
          </w:tcPr>
          <w:p>
            <w:pPr>
              <w:widowControl/>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2020年度华南区域土壤样品制备与流转中心委托运维</w:t>
            </w:r>
            <w:r>
              <w:rPr>
                <w:rFonts w:hint="eastAsia" w:ascii="Times New Roman" w:hAnsi="Times New Roman" w:eastAsia="宋体" w:cs="Times New Roman"/>
                <w:color w:val="000000"/>
                <w:kern w:val="0"/>
                <w:szCs w:val="21"/>
                <w:lang w:val="en-US" w:eastAsia="zh-CN"/>
              </w:rPr>
              <w:t>项目</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完成2020年省级网和2021年国家网及科研等项目的土壤样品制备与流转服务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59" w:hRule="atLeast"/>
          <w:jc w:val="center"/>
        </w:trPr>
        <w:tc>
          <w:tcPr>
            <w:tcW w:w="446" w:type="dxa"/>
            <w:tcBorders>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lang w:val="en-US" w:eastAsia="zh-CN"/>
              </w:rPr>
              <w:t>0</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完成2021年国家网土壤采样点位核查服务</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7" w:hRule="atLeast"/>
          <w:jc w:val="center"/>
        </w:trPr>
        <w:tc>
          <w:tcPr>
            <w:tcW w:w="446" w:type="dxa"/>
            <w:tcBorders>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lang w:val="en-US" w:eastAsia="zh-CN"/>
              </w:rPr>
              <w:t>1</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完成2021年国家网全国比对样品的流转工作</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2" w:hRule="atLeast"/>
          <w:jc w:val="center"/>
        </w:trPr>
        <w:tc>
          <w:tcPr>
            <w:tcW w:w="446" w:type="dxa"/>
            <w:tcBorders>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lang w:val="en-US" w:eastAsia="zh-CN"/>
              </w:rPr>
              <w:t>2</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完成2020年省级网、2021年国家网、农用地详查等项目土壤样品上架工作</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3" w:hRule="atLeast"/>
          <w:jc w:val="center"/>
        </w:trPr>
        <w:tc>
          <w:tcPr>
            <w:tcW w:w="446" w:type="dxa"/>
            <w:tcBorders>
              <w:left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eastAsia="zh-CN"/>
              </w:rPr>
            </w:pPr>
            <w:r>
              <w:rPr>
                <w:rFonts w:hint="eastAsia" w:ascii="Times New Roman" w:hAnsi="Times New Roman" w:eastAsia="宋体" w:cs="Times New Roman"/>
                <w:color w:val="000000"/>
                <w:kern w:val="0"/>
                <w:szCs w:val="21"/>
                <w:lang w:val="en-US" w:eastAsia="zh-CN"/>
              </w:rPr>
              <w:t>13</w:t>
            </w:r>
          </w:p>
        </w:tc>
        <w:tc>
          <w:tcPr>
            <w:tcW w:w="2295" w:type="dxa"/>
            <w:vMerge w:val="continue"/>
            <w:tcBorders>
              <w:left w:val="single" w:color="auto" w:sz="4" w:space="0"/>
              <w:right w:val="single" w:color="auto" w:sz="4" w:space="0"/>
            </w:tcBorders>
            <w:vAlign w:val="center"/>
          </w:tcPr>
          <w:p>
            <w:pPr>
              <w:widowControl/>
              <w:rPr>
                <w:rFonts w:ascii="Times New Roman" w:hAnsi="Times New Roman" w:eastAsia="宋体" w:cs="Times New Roman"/>
                <w:color w:val="000000"/>
                <w:kern w:val="0"/>
                <w:szCs w:val="21"/>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91卫图助手企业网络版</w:t>
            </w:r>
            <w:r>
              <w:rPr>
                <w:rFonts w:hint="eastAsia"/>
                <w:szCs w:val="21"/>
              </w:rPr>
              <w:t>用户使用</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3" w:hRule="atLeast"/>
          <w:jc w:val="center"/>
        </w:trPr>
        <w:tc>
          <w:tcPr>
            <w:tcW w:w="446" w:type="dxa"/>
            <w:tcBorders>
              <w:left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14</w:t>
            </w:r>
          </w:p>
        </w:tc>
        <w:tc>
          <w:tcPr>
            <w:tcW w:w="2295" w:type="dxa"/>
            <w:tcBorders>
              <w:left w:val="single" w:color="auto" w:sz="4" w:space="0"/>
              <w:right w:val="single" w:color="auto" w:sz="4" w:space="0"/>
            </w:tcBorders>
            <w:vAlign w:val="center"/>
          </w:tcPr>
          <w:p>
            <w:pPr>
              <w:widowControl/>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rPr>
              <w:t>2020年广东省殡葬行业有组织排放废气二噁英类监督性监测</w:t>
            </w:r>
            <w:r>
              <w:rPr>
                <w:rFonts w:hint="eastAsia" w:ascii="Times New Roman" w:hAnsi="Times New Roman" w:eastAsia="宋体" w:cs="Times New Roman"/>
                <w:color w:val="000000"/>
                <w:kern w:val="0"/>
                <w:szCs w:val="21"/>
                <w:lang w:val="en-US" w:eastAsia="zh-CN"/>
              </w:rPr>
              <w:t>项目</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szCs w:val="21"/>
              </w:rPr>
            </w:pPr>
            <w:r>
              <w:rPr>
                <w:rFonts w:hint="eastAsia" w:ascii="Times New Roman" w:hAnsi="Times New Roman" w:eastAsia="宋体" w:cs="Times New Roman"/>
                <w:szCs w:val="21"/>
              </w:rPr>
              <w:t>殡葬行业有组织排放废气二噁英类监督性监测</w:t>
            </w:r>
          </w:p>
        </w:tc>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个</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2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Cs w:val="21"/>
              </w:rPr>
            </w:pPr>
          </w:p>
        </w:tc>
      </w:tr>
    </w:tbl>
    <w:p>
      <w:pPr>
        <w:rPr>
          <w:rFonts w:hint="default" w:ascii="Times New Roman" w:hAnsi="Times New Roman" w:eastAsia="宋体" w:cs="Times New Roman"/>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76"/>
    <w:rsid w:val="00066028"/>
    <w:rsid w:val="00085322"/>
    <w:rsid w:val="000B3546"/>
    <w:rsid w:val="000C6354"/>
    <w:rsid w:val="00112A15"/>
    <w:rsid w:val="0012101C"/>
    <w:rsid w:val="001321A5"/>
    <w:rsid w:val="00140AFB"/>
    <w:rsid w:val="001B16DB"/>
    <w:rsid w:val="001C3219"/>
    <w:rsid w:val="001E52D3"/>
    <w:rsid w:val="001E669E"/>
    <w:rsid w:val="001F3009"/>
    <w:rsid w:val="00262E8A"/>
    <w:rsid w:val="00275E90"/>
    <w:rsid w:val="0027660E"/>
    <w:rsid w:val="002A2CCC"/>
    <w:rsid w:val="002E0E44"/>
    <w:rsid w:val="0031211A"/>
    <w:rsid w:val="003174B1"/>
    <w:rsid w:val="00325189"/>
    <w:rsid w:val="00387AFC"/>
    <w:rsid w:val="003A33D9"/>
    <w:rsid w:val="003A522B"/>
    <w:rsid w:val="003C30E9"/>
    <w:rsid w:val="003D7378"/>
    <w:rsid w:val="00402F03"/>
    <w:rsid w:val="004325FF"/>
    <w:rsid w:val="00441125"/>
    <w:rsid w:val="004736FF"/>
    <w:rsid w:val="004A3396"/>
    <w:rsid w:val="004C510C"/>
    <w:rsid w:val="00500A37"/>
    <w:rsid w:val="005907DB"/>
    <w:rsid w:val="005B17AB"/>
    <w:rsid w:val="005E4101"/>
    <w:rsid w:val="00607F2D"/>
    <w:rsid w:val="00620B6E"/>
    <w:rsid w:val="006905A8"/>
    <w:rsid w:val="006F1ACA"/>
    <w:rsid w:val="00701F56"/>
    <w:rsid w:val="007112D8"/>
    <w:rsid w:val="00713DFC"/>
    <w:rsid w:val="00713EAC"/>
    <w:rsid w:val="007D717F"/>
    <w:rsid w:val="007F12B6"/>
    <w:rsid w:val="007F4C53"/>
    <w:rsid w:val="008627CE"/>
    <w:rsid w:val="00882E62"/>
    <w:rsid w:val="00896C1B"/>
    <w:rsid w:val="008A5686"/>
    <w:rsid w:val="009054FD"/>
    <w:rsid w:val="00906F99"/>
    <w:rsid w:val="00922795"/>
    <w:rsid w:val="00930502"/>
    <w:rsid w:val="00932DA3"/>
    <w:rsid w:val="00991DB9"/>
    <w:rsid w:val="009A2322"/>
    <w:rsid w:val="009F5172"/>
    <w:rsid w:val="009F56DB"/>
    <w:rsid w:val="00A12308"/>
    <w:rsid w:val="00A31BCF"/>
    <w:rsid w:val="00A460B5"/>
    <w:rsid w:val="00A62629"/>
    <w:rsid w:val="00B053D0"/>
    <w:rsid w:val="00B11AAC"/>
    <w:rsid w:val="00B32C6F"/>
    <w:rsid w:val="00B83D75"/>
    <w:rsid w:val="00B959E8"/>
    <w:rsid w:val="00BC0376"/>
    <w:rsid w:val="00C179BE"/>
    <w:rsid w:val="00C56830"/>
    <w:rsid w:val="00C619D1"/>
    <w:rsid w:val="00CA3895"/>
    <w:rsid w:val="00CD2485"/>
    <w:rsid w:val="00D01519"/>
    <w:rsid w:val="00D4158C"/>
    <w:rsid w:val="00D66FDB"/>
    <w:rsid w:val="00DB4664"/>
    <w:rsid w:val="00DE0CFD"/>
    <w:rsid w:val="00E44CCB"/>
    <w:rsid w:val="00E469C4"/>
    <w:rsid w:val="00E919F4"/>
    <w:rsid w:val="00FB75CC"/>
    <w:rsid w:val="00FC7D7D"/>
    <w:rsid w:val="00FD1149"/>
    <w:rsid w:val="01916EF1"/>
    <w:rsid w:val="053C68DB"/>
    <w:rsid w:val="0DF6029B"/>
    <w:rsid w:val="1C3E44FA"/>
    <w:rsid w:val="25661543"/>
    <w:rsid w:val="2FDA3F0C"/>
    <w:rsid w:val="30B64497"/>
    <w:rsid w:val="4A1C3C1F"/>
    <w:rsid w:val="55C73FC9"/>
    <w:rsid w:val="596243EC"/>
    <w:rsid w:val="65D24418"/>
    <w:rsid w:val="67C053C6"/>
    <w:rsid w:val="78DD6D21"/>
    <w:rsid w:val="7B430846"/>
    <w:rsid w:val="7D02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Words>
  <Characters>819</Characters>
  <Lines>6</Lines>
  <Paragraphs>1</Paragraphs>
  <TotalTime>2</TotalTime>
  <ScaleCrop>false</ScaleCrop>
  <LinksUpToDate>false</LinksUpToDate>
  <CharactersWithSpaces>961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2020-03-18T07:16:00Z</dcterms:created>
  <dc:creator>GQY</dc:creator>
  <cp:lastModifiedBy>刘奕慧</cp:lastModifiedBy>
  <dcterms:modified xsi:type="dcterms:W3CDTF">2020-05-18T08:48:44Z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