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szCs w:val="21"/>
        </w:rPr>
      </w:pPr>
    </w:p>
    <w:p>
      <w:pPr>
        <w:rPr>
          <w:rFonts w:ascii="宋体" w:hAnsi="宋体" w:cs="宋体"/>
          <w:b/>
          <w:szCs w:val="21"/>
        </w:rPr>
      </w:pPr>
    </w:p>
    <w:p>
      <w:pPr>
        <w:rPr>
          <w:rFonts w:ascii="宋体" w:hAnsi="宋体" w:cs="宋体"/>
          <w:b/>
          <w:szCs w:val="21"/>
        </w:rPr>
      </w:pPr>
    </w:p>
    <w:p>
      <w:pPr>
        <w:rPr>
          <w:rFonts w:ascii="宋体" w:hAnsi="宋体" w:cs="宋体"/>
          <w:b/>
          <w:szCs w:val="21"/>
        </w:rPr>
      </w:pPr>
    </w:p>
    <w:p>
      <w:pPr>
        <w:spacing w:line="420" w:lineRule="auto"/>
        <w:jc w:val="center"/>
        <w:rPr>
          <w:rFonts w:ascii="宋体" w:hAnsi="宋体" w:cs="宋体"/>
          <w:b/>
          <w:sz w:val="48"/>
          <w:szCs w:val="48"/>
        </w:rPr>
      </w:pPr>
      <w:r>
        <w:rPr>
          <w:rFonts w:hint="eastAsia" w:ascii="Times New Roman" w:hAnsi="Times New Roman"/>
          <w:b/>
          <w:sz w:val="48"/>
          <w:szCs w:val="48"/>
        </w:rPr>
        <w:t>全省生态环境监测网络互联互通标准化整合</w:t>
      </w:r>
      <w:r>
        <w:rPr>
          <w:rFonts w:hint="eastAsia" w:ascii="宋体" w:hAnsi="宋体" w:cs="宋体"/>
          <w:b/>
          <w:sz w:val="48"/>
          <w:szCs w:val="48"/>
        </w:rPr>
        <w:t>项目用户需求书</w:t>
      </w: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pPr>
    </w:p>
    <w:p>
      <w:pPr>
        <w:jc w:val="center"/>
        <w:rPr>
          <w:rFonts w:ascii="宋体" w:hAnsi="宋体" w:cs="宋体"/>
          <w:b/>
          <w:bCs/>
          <w:sz w:val="28"/>
          <w:szCs w:val="28"/>
        </w:rPr>
      </w:pPr>
      <w:r>
        <w:rPr>
          <w:rFonts w:hint="eastAsia" w:ascii="宋体" w:hAnsi="宋体" w:cs="宋体"/>
          <w:b/>
          <w:bCs/>
          <w:sz w:val="28"/>
          <w:szCs w:val="28"/>
        </w:rPr>
        <w:t>广东省环境监测中心</w:t>
      </w:r>
    </w:p>
    <w:p>
      <w:pPr>
        <w:jc w:val="center"/>
        <w:rPr>
          <w:rFonts w:ascii="宋体" w:hAnsi="宋体" w:cs="宋体"/>
          <w:b/>
          <w:bCs/>
          <w:sz w:val="28"/>
          <w:szCs w:val="28"/>
        </w:rPr>
      </w:pPr>
      <w:r>
        <w:rPr>
          <w:rFonts w:hint="eastAsia" w:ascii="宋体" w:hAnsi="宋体" w:cs="宋体"/>
          <w:b/>
          <w:bCs/>
          <w:sz w:val="28"/>
          <w:szCs w:val="28"/>
        </w:rPr>
        <w:t xml:space="preserve"> </w:t>
      </w:r>
      <w:r>
        <w:rPr>
          <w:rFonts w:hint="eastAsia" w:ascii="宋体" w:hAnsi="宋体" w:cs="宋体"/>
          <w:b/>
          <w:bCs/>
          <w:sz w:val="28"/>
          <w:szCs w:val="28"/>
          <w:lang w:val="en-US" w:eastAsia="zh-CN"/>
        </w:rPr>
        <w:t>2020</w:t>
      </w:r>
      <w:r>
        <w:rPr>
          <w:rFonts w:hint="eastAsia" w:ascii="宋体" w:hAnsi="宋体" w:cs="宋体"/>
          <w:b/>
          <w:bCs/>
          <w:sz w:val="28"/>
          <w:szCs w:val="28"/>
        </w:rPr>
        <w:t xml:space="preserve"> 年 </w:t>
      </w:r>
      <w:r>
        <w:rPr>
          <w:rFonts w:hint="eastAsia" w:ascii="宋体" w:hAnsi="宋体" w:cs="宋体"/>
          <w:b/>
          <w:bCs/>
          <w:sz w:val="28"/>
          <w:szCs w:val="28"/>
          <w:lang w:val="en-US" w:eastAsia="zh-CN"/>
        </w:rPr>
        <w:t>7</w:t>
      </w:r>
      <w:r>
        <w:rPr>
          <w:rFonts w:hint="eastAsia" w:ascii="宋体" w:hAnsi="宋体" w:cs="宋体"/>
          <w:b/>
          <w:bCs/>
          <w:sz w:val="28"/>
          <w:szCs w:val="28"/>
        </w:rPr>
        <w:t xml:space="preserve"> 月</w:t>
      </w:r>
    </w:p>
    <w:p>
      <w:pPr>
        <w:rPr>
          <w:rFonts w:ascii="宋体" w:hAnsi="宋体" w:cs="宋体"/>
          <w:szCs w:val="21"/>
        </w:rPr>
      </w:pPr>
    </w:p>
    <w:p>
      <w:pPr>
        <w:tabs>
          <w:tab w:val="left" w:pos="420"/>
          <w:tab w:val="left" w:pos="6660"/>
        </w:tabs>
        <w:jc w:val="center"/>
        <w:rPr>
          <w:rFonts w:ascii="宋体" w:hAnsi="宋体" w:cs="宋体"/>
          <w:b/>
          <w:sz w:val="48"/>
          <w:szCs w:val="48"/>
        </w:rPr>
      </w:pPr>
    </w:p>
    <w:p>
      <w:pPr>
        <w:tabs>
          <w:tab w:val="left" w:pos="420"/>
          <w:tab w:val="left" w:pos="6660"/>
        </w:tabs>
        <w:jc w:val="center"/>
        <w:rPr>
          <w:rFonts w:ascii="宋体" w:hAnsi="宋体" w:cs="宋体"/>
          <w:b/>
          <w:sz w:val="48"/>
          <w:szCs w:val="48"/>
        </w:rPr>
        <w:sectPr>
          <w:footerReference r:id="rId3" w:type="first"/>
          <w:pgSz w:w="11906" w:h="16838"/>
          <w:pgMar w:top="1418" w:right="1418" w:bottom="1418" w:left="1418" w:header="851" w:footer="992" w:gutter="0"/>
          <w:cols w:space="720" w:num="1"/>
          <w:titlePg/>
          <w:docGrid w:type="lines" w:linePitch="312" w:charSpace="0"/>
        </w:sectPr>
      </w:pPr>
    </w:p>
    <w:p>
      <w:pPr>
        <w:rPr>
          <w:rFonts w:ascii="宋体" w:hAnsi="宋体" w:cs="宋体"/>
        </w:rPr>
      </w:pPr>
    </w:p>
    <w:sdt>
      <w:sdtPr>
        <w:rPr>
          <w:rFonts w:hint="eastAsia" w:ascii="宋体" w:hAnsi="宋体" w:cs="宋体"/>
          <w:b w:val="0"/>
          <w:bCs w:val="0"/>
          <w:color w:val="auto"/>
          <w:kern w:val="2"/>
          <w:sz w:val="21"/>
          <w:szCs w:val="22"/>
          <w:lang w:val="zh-CN"/>
        </w:rPr>
        <w:id w:val="932864247"/>
        <w:docPartObj>
          <w:docPartGallery w:val="Table of Contents"/>
          <w:docPartUnique/>
        </w:docPartObj>
      </w:sdtPr>
      <w:sdtEndPr>
        <w:rPr>
          <w:rFonts w:hint="eastAsia" w:ascii="宋体" w:hAnsi="宋体" w:cs="宋体"/>
          <w:b w:val="0"/>
          <w:bCs w:val="0"/>
          <w:color w:val="auto"/>
          <w:kern w:val="2"/>
          <w:sz w:val="21"/>
          <w:szCs w:val="22"/>
          <w:lang w:val="zh-CN"/>
        </w:rPr>
      </w:sdtEndPr>
      <w:sdtContent>
        <w:p>
          <w:pPr>
            <w:pStyle w:val="73"/>
            <w:jc w:val="center"/>
            <w:rPr>
              <w:rFonts w:ascii="宋体" w:hAnsi="宋体" w:cs="宋体"/>
              <w:color w:val="auto"/>
            </w:rPr>
          </w:pPr>
          <w:r>
            <w:rPr>
              <w:rFonts w:hint="eastAsia" w:ascii="宋体" w:hAnsi="宋体" w:cs="宋体"/>
              <w:color w:val="auto"/>
              <w:lang w:val="zh-CN"/>
            </w:rPr>
            <w:t>目录</w:t>
          </w:r>
        </w:p>
        <w:p>
          <w:pPr>
            <w:pStyle w:val="41"/>
            <w:ind w:left="922" w:hanging="498"/>
            <w:rPr>
              <w:rFonts w:asciiTheme="minorHAnsi" w:hAnsiTheme="minorHAnsi" w:eastAsiaTheme="minorEastAsia" w:cstheme="minorBidi"/>
            </w:rPr>
          </w:pPr>
          <w:r>
            <w:rPr>
              <w:rFonts w:hint="eastAsia" w:ascii="宋体" w:hAnsi="宋体" w:cs="宋体"/>
            </w:rPr>
            <w:fldChar w:fldCharType="begin"/>
          </w:r>
          <w:r>
            <w:rPr>
              <w:rFonts w:hint="eastAsia" w:ascii="宋体" w:hAnsi="宋体" w:cs="宋体"/>
            </w:rPr>
            <w:instrText xml:space="preserve"> TOC \o "1-3" \h \z \u </w:instrText>
          </w:r>
          <w:r>
            <w:rPr>
              <w:rFonts w:hint="eastAsia" w:ascii="宋体" w:hAnsi="宋体" w:cs="宋体"/>
            </w:rPr>
            <w:fldChar w:fldCharType="separate"/>
          </w:r>
          <w:r>
            <w:fldChar w:fldCharType="begin"/>
          </w:r>
          <w:r>
            <w:instrText xml:space="preserve"> HYPERLINK \l "_Toc46241971" </w:instrText>
          </w:r>
          <w:r>
            <w:fldChar w:fldCharType="separate"/>
          </w:r>
          <w:r>
            <w:rPr>
              <w:rStyle w:val="52"/>
              <w:rFonts w:hAnsi="宋体"/>
              <w:b/>
            </w:rPr>
            <w:t>第1部分  投标邀请函</w:t>
          </w:r>
          <w:r>
            <w:tab/>
          </w:r>
          <w:r>
            <w:fldChar w:fldCharType="begin"/>
          </w:r>
          <w:r>
            <w:instrText xml:space="preserve"> PAGEREF _Toc46241971 \h </w:instrText>
          </w:r>
          <w:r>
            <w:fldChar w:fldCharType="separate"/>
          </w:r>
          <w:r>
            <w:t>1</w:t>
          </w:r>
          <w:r>
            <w:fldChar w:fldCharType="end"/>
          </w:r>
          <w:r>
            <w:fldChar w:fldCharType="end"/>
          </w:r>
        </w:p>
        <w:p>
          <w:pPr>
            <w:pStyle w:val="41"/>
            <w:ind w:left="922" w:hanging="498"/>
            <w:rPr>
              <w:rFonts w:asciiTheme="minorHAnsi" w:hAnsiTheme="minorHAnsi" w:eastAsiaTheme="minorEastAsia" w:cstheme="minorBidi"/>
            </w:rPr>
          </w:pPr>
          <w:r>
            <w:fldChar w:fldCharType="begin"/>
          </w:r>
          <w:r>
            <w:instrText xml:space="preserve"> HYPERLINK \l "_Toc46241972" </w:instrText>
          </w:r>
          <w:r>
            <w:fldChar w:fldCharType="separate"/>
          </w:r>
          <w:r>
            <w:rPr>
              <w:rStyle w:val="52"/>
              <w:rFonts w:hAnsi="宋体"/>
              <w:b/>
            </w:rPr>
            <w:t>第2部分  用户需求书</w:t>
          </w:r>
          <w:r>
            <w:tab/>
          </w:r>
          <w:r>
            <w:fldChar w:fldCharType="begin"/>
          </w:r>
          <w:r>
            <w:instrText xml:space="preserve"> PAGEREF _Toc46241972 \h </w:instrText>
          </w:r>
          <w:r>
            <w:fldChar w:fldCharType="separate"/>
          </w:r>
          <w:r>
            <w:t>2</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"_Toc46241973" </w:instrText>
          </w:r>
          <w:r>
            <w:fldChar w:fldCharType="separate"/>
          </w:r>
          <w:r>
            <w:rPr>
              <w:rStyle w:val="52"/>
              <w:rFonts w:ascii="宋体" w:hAnsi="宋体" w:cs="宋体"/>
            </w:rPr>
            <w:t>2.1</w:t>
          </w:r>
          <w:r>
            <w:rPr>
              <w:rFonts w:asciiTheme="minorHAnsi" w:hAnsiTheme="minorHAnsi" w:eastAsiaTheme="minorEastAsia" w:cstheme="minorBidi"/>
            </w:rPr>
            <w:tab/>
          </w:r>
          <w:r>
            <w:rPr>
              <w:rStyle w:val="52"/>
              <w:rFonts w:ascii="宋体" w:hAnsi="宋体" w:cs="宋体"/>
            </w:rPr>
            <w:t>项目背景</w:t>
          </w:r>
          <w:r>
            <w:tab/>
          </w:r>
          <w:r>
            <w:fldChar w:fldCharType="begin"/>
          </w:r>
          <w:r>
            <w:instrText xml:space="preserve"> PAGEREF _Toc46241973 \h </w:instrText>
          </w:r>
          <w:r>
            <w:fldChar w:fldCharType="separate"/>
          </w:r>
          <w:r>
            <w:t>2</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"_Toc46241974" </w:instrText>
          </w:r>
          <w:r>
            <w:fldChar w:fldCharType="separate"/>
          </w:r>
          <w:r>
            <w:rPr>
              <w:rStyle w:val="52"/>
              <w:rFonts w:ascii="宋体" w:hAnsi="宋体" w:cs="Arial"/>
            </w:rPr>
            <w:t>2.1.1</w:t>
          </w:r>
          <w:r>
            <w:rPr>
              <w:rFonts w:asciiTheme="minorHAnsi" w:hAnsiTheme="minorHAnsi" w:eastAsiaTheme="minorEastAsia" w:cstheme="minorBidi"/>
            </w:rPr>
            <w:tab/>
          </w:r>
          <w:r>
            <w:rPr>
              <w:rStyle w:val="52"/>
              <w:rFonts w:ascii="宋体" w:hAnsi="宋体" w:cs="宋体"/>
            </w:rPr>
            <w:t>总体现状</w:t>
          </w:r>
          <w:r>
            <w:tab/>
          </w:r>
          <w:r>
            <w:fldChar w:fldCharType="begin"/>
          </w:r>
          <w:r>
            <w:instrText xml:space="preserve"> PAGEREF _Toc46241974 \h </w:instrText>
          </w:r>
          <w:r>
            <w:fldChar w:fldCharType="separate"/>
          </w:r>
          <w:r>
            <w:t>2</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"_Toc46241975" </w:instrText>
          </w:r>
          <w:r>
            <w:fldChar w:fldCharType="separate"/>
          </w:r>
          <w:r>
            <w:rPr>
              <w:rStyle w:val="52"/>
              <w:rFonts w:ascii="宋体" w:hAnsi="宋体" w:cs="Arial"/>
            </w:rPr>
            <w:t>2.1.2</w:t>
          </w:r>
          <w:r>
            <w:rPr>
              <w:rFonts w:asciiTheme="minorHAnsi" w:hAnsiTheme="minorHAnsi" w:eastAsiaTheme="minorEastAsia" w:cstheme="minorBidi"/>
            </w:rPr>
            <w:tab/>
          </w:r>
          <w:r>
            <w:rPr>
              <w:rStyle w:val="52"/>
              <w:rFonts w:ascii="宋体" w:hAnsi="宋体" w:cs="宋体"/>
            </w:rPr>
            <w:t>广东省环境监测中心信息网络现状</w:t>
          </w:r>
          <w:r>
            <w:tab/>
          </w:r>
          <w:r>
            <w:fldChar w:fldCharType="begin"/>
          </w:r>
          <w:r>
            <w:instrText xml:space="preserve"> PAGEREF _Toc46241975 \h </w:instrText>
          </w:r>
          <w:r>
            <w:fldChar w:fldCharType="separate"/>
          </w:r>
          <w:r>
            <w:t>2</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"_Toc46241976" </w:instrText>
          </w:r>
          <w:r>
            <w:fldChar w:fldCharType="separate"/>
          </w:r>
          <w:r>
            <w:rPr>
              <w:rStyle w:val="52"/>
              <w:rFonts w:ascii="宋体" w:hAnsi="宋体" w:cs="Arial"/>
            </w:rPr>
            <w:t>2.1.3</w:t>
          </w:r>
          <w:r>
            <w:rPr>
              <w:rFonts w:asciiTheme="minorHAnsi" w:hAnsiTheme="minorHAnsi" w:eastAsiaTheme="minorEastAsia" w:cstheme="minorBidi"/>
            </w:rPr>
            <w:tab/>
          </w:r>
          <w:r>
            <w:rPr>
              <w:rStyle w:val="52"/>
              <w:rFonts w:ascii="宋体" w:hAnsi="宋体" w:cs="宋体"/>
            </w:rPr>
            <w:t>网络中心机房现状</w:t>
          </w:r>
          <w:r>
            <w:tab/>
          </w:r>
          <w:r>
            <w:fldChar w:fldCharType="begin"/>
          </w:r>
          <w:r>
            <w:instrText xml:space="preserve"> PAGEREF _Toc46241976 \h </w:instrText>
          </w:r>
          <w:r>
            <w:fldChar w:fldCharType="separate"/>
          </w:r>
          <w:r>
            <w:t>1</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"_Toc46241977" </w:instrText>
          </w:r>
          <w:r>
            <w:fldChar w:fldCharType="separate"/>
          </w:r>
          <w:r>
            <w:rPr>
              <w:rStyle w:val="52"/>
              <w:rFonts w:ascii="宋体" w:hAnsi="宋体" w:cs="Arial"/>
            </w:rPr>
            <w:t>2.1.4</w:t>
          </w:r>
          <w:r>
            <w:rPr>
              <w:rFonts w:asciiTheme="minorHAnsi" w:hAnsiTheme="minorHAnsi" w:eastAsiaTheme="minorEastAsia" w:cstheme="minorBidi"/>
            </w:rPr>
            <w:tab/>
          </w:r>
          <w:r>
            <w:rPr>
              <w:rStyle w:val="52"/>
              <w:rFonts w:ascii="宋体" w:hAnsi="宋体" w:cs="宋体"/>
            </w:rPr>
            <w:t>信息安全保障现状</w:t>
          </w:r>
          <w:r>
            <w:tab/>
          </w:r>
          <w:r>
            <w:fldChar w:fldCharType="begin"/>
          </w:r>
          <w:r>
            <w:instrText xml:space="preserve"> PAGEREF _Toc46241977 \h </w:instrText>
          </w:r>
          <w:r>
            <w:fldChar w:fldCharType="separate"/>
          </w:r>
          <w:r>
            <w:t>2</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"_Toc46241978" </w:instrText>
          </w:r>
          <w:r>
            <w:fldChar w:fldCharType="separate"/>
          </w:r>
          <w:r>
            <w:rPr>
              <w:rStyle w:val="52"/>
              <w:rFonts w:ascii="宋体" w:hAnsi="宋体" w:cs="Arial"/>
            </w:rPr>
            <w:t>2.1.5</w:t>
          </w:r>
          <w:r>
            <w:rPr>
              <w:rFonts w:asciiTheme="minorHAnsi" w:hAnsiTheme="minorHAnsi" w:eastAsiaTheme="minorEastAsia" w:cstheme="minorBidi"/>
            </w:rPr>
            <w:tab/>
          </w:r>
          <w:r>
            <w:rPr>
              <w:rStyle w:val="52"/>
              <w:rFonts w:ascii="宋体" w:hAnsi="宋体" w:cs="宋体"/>
            </w:rPr>
            <w:t>网络运维现状</w:t>
          </w:r>
          <w:r>
            <w:tab/>
          </w:r>
          <w:r>
            <w:fldChar w:fldCharType="begin"/>
          </w:r>
          <w:r>
            <w:instrText xml:space="preserve"> PAGEREF _Toc46241978 \h </w:instrText>
          </w:r>
          <w:r>
            <w:fldChar w:fldCharType="separate"/>
          </w:r>
          <w:r>
            <w:t>2</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"_Toc46241979" </w:instrText>
          </w:r>
          <w:r>
            <w:fldChar w:fldCharType="separate"/>
          </w:r>
          <w:r>
            <w:rPr>
              <w:rStyle w:val="52"/>
              <w:rFonts w:ascii="宋体" w:hAnsi="宋体" w:cs="Arial"/>
            </w:rPr>
            <w:t>2.1.6</w:t>
          </w:r>
          <w:r>
            <w:rPr>
              <w:rFonts w:asciiTheme="minorHAnsi" w:hAnsiTheme="minorHAnsi" w:eastAsiaTheme="minorEastAsia" w:cstheme="minorBidi"/>
            </w:rPr>
            <w:tab/>
          </w:r>
          <w:r>
            <w:rPr>
              <w:rStyle w:val="52"/>
              <w:rFonts w:ascii="宋体" w:hAnsi="宋体" w:cs="宋体"/>
            </w:rPr>
            <w:t>分布式节点现状</w:t>
          </w:r>
          <w:r>
            <w:tab/>
          </w:r>
          <w:r>
            <w:fldChar w:fldCharType="begin"/>
          </w:r>
          <w:r>
            <w:instrText xml:space="preserve"> PAGEREF _Toc46241979 \h </w:instrText>
          </w:r>
          <w:r>
            <w:fldChar w:fldCharType="separate"/>
          </w:r>
          <w:r>
            <w:t>2</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"_Toc46241980" </w:instrText>
          </w:r>
          <w:r>
            <w:fldChar w:fldCharType="separate"/>
          </w:r>
          <w:r>
            <w:rPr>
              <w:rStyle w:val="52"/>
              <w:rFonts w:ascii="宋体" w:hAnsi="宋体" w:cs="Arial"/>
            </w:rPr>
            <w:t>2.1.7</w:t>
          </w:r>
          <w:r>
            <w:rPr>
              <w:rFonts w:asciiTheme="minorHAnsi" w:hAnsiTheme="minorHAnsi" w:eastAsiaTheme="minorEastAsia" w:cstheme="minorBidi"/>
            </w:rPr>
            <w:tab/>
          </w:r>
          <w:r>
            <w:rPr>
              <w:rStyle w:val="52"/>
              <w:rFonts w:ascii="宋体" w:hAnsi="宋体" w:cs="宋体"/>
            </w:rPr>
            <w:t>地市环境监测站信息网络现状</w:t>
          </w:r>
          <w:r>
            <w:tab/>
          </w:r>
          <w:r>
            <w:fldChar w:fldCharType="begin"/>
          </w:r>
          <w:r>
            <w:instrText xml:space="preserve"> PAGEREF _Toc46241980 \h </w:instrText>
          </w:r>
          <w:r>
            <w:fldChar w:fldCharType="separate"/>
          </w:r>
          <w:r>
            <w:t>3</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"_Toc46241981" </w:instrText>
          </w:r>
          <w:r>
            <w:fldChar w:fldCharType="separate"/>
          </w:r>
          <w:r>
            <w:rPr>
              <w:rStyle w:val="52"/>
              <w:rFonts w:ascii="宋体" w:hAnsi="宋体" w:cs="宋体"/>
            </w:rPr>
            <w:t>2.2</w:t>
          </w:r>
          <w:r>
            <w:rPr>
              <w:rFonts w:asciiTheme="minorHAnsi" w:hAnsiTheme="minorHAnsi" w:eastAsiaTheme="minorEastAsia" w:cstheme="minorBidi"/>
            </w:rPr>
            <w:tab/>
          </w:r>
          <w:r>
            <w:rPr>
              <w:rStyle w:val="52"/>
              <w:rFonts w:ascii="宋体" w:hAnsi="宋体" w:cs="宋体"/>
            </w:rPr>
            <w:t>项目建设内容</w:t>
          </w:r>
          <w:r>
            <w:tab/>
          </w:r>
          <w:r>
            <w:fldChar w:fldCharType="begin"/>
          </w:r>
          <w:r>
            <w:instrText xml:space="preserve"> PAGEREF _Toc46241981 \h </w:instrText>
          </w:r>
          <w:r>
            <w:fldChar w:fldCharType="separate"/>
          </w:r>
          <w:r>
            <w:t>3</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"_Toc46241982" </w:instrText>
          </w:r>
          <w:r>
            <w:fldChar w:fldCharType="separate"/>
          </w:r>
          <w:r>
            <w:rPr>
              <w:rStyle w:val="52"/>
              <w:rFonts w:ascii="宋体" w:hAnsi="宋体" w:cs="宋体"/>
            </w:rPr>
            <w:t>2.3</w:t>
          </w:r>
          <w:r>
            <w:rPr>
              <w:rFonts w:asciiTheme="minorHAnsi" w:hAnsiTheme="minorHAnsi" w:eastAsiaTheme="minorEastAsia" w:cstheme="minorBidi"/>
            </w:rPr>
            <w:tab/>
          </w:r>
          <w:r>
            <w:rPr>
              <w:rStyle w:val="52"/>
              <w:rFonts w:ascii="宋体" w:hAnsi="宋体" w:cs="宋体"/>
            </w:rPr>
            <w:t>项目建设目标</w:t>
          </w:r>
          <w:r>
            <w:tab/>
          </w:r>
          <w:r>
            <w:fldChar w:fldCharType="begin"/>
          </w:r>
          <w:r>
            <w:instrText xml:space="preserve"> PAGEREF _Toc46241982 \h </w:instrText>
          </w:r>
          <w:r>
            <w:fldChar w:fldCharType="separate"/>
          </w:r>
          <w:r>
            <w:t>3</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"_Toc46241983" </w:instrText>
          </w:r>
          <w:r>
            <w:fldChar w:fldCharType="separate"/>
          </w:r>
          <w:r>
            <w:rPr>
              <w:rStyle w:val="52"/>
              <w:rFonts w:ascii="宋体" w:hAnsi="宋体" w:cs="宋体"/>
            </w:rPr>
            <w:t>2.4</w:t>
          </w:r>
          <w:r>
            <w:rPr>
              <w:rFonts w:asciiTheme="minorHAnsi" w:hAnsiTheme="minorHAnsi" w:eastAsiaTheme="minorEastAsia" w:cstheme="minorBidi"/>
            </w:rPr>
            <w:tab/>
          </w:r>
          <w:r>
            <w:rPr>
              <w:rStyle w:val="52"/>
              <w:rFonts w:ascii="宋体" w:hAnsi="宋体" w:cs="宋体"/>
            </w:rPr>
            <w:t>建设内容</w:t>
          </w:r>
          <w:r>
            <w:tab/>
          </w:r>
          <w:r>
            <w:fldChar w:fldCharType="begin"/>
          </w:r>
          <w:r>
            <w:instrText xml:space="preserve"> PAGEREF _Toc46241983 \h </w:instrText>
          </w:r>
          <w:r>
            <w:fldChar w:fldCharType="separate"/>
          </w:r>
          <w:r>
            <w:t>4</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"_Toc46241984" </w:instrText>
          </w:r>
          <w:r>
            <w:fldChar w:fldCharType="separate"/>
          </w:r>
          <w:r>
            <w:rPr>
              <w:rStyle w:val="52"/>
              <w:rFonts w:ascii="宋体" w:hAnsi="宋体" w:cs="宋体"/>
            </w:rPr>
            <w:t>2.5</w:t>
          </w:r>
          <w:r>
            <w:rPr>
              <w:rFonts w:asciiTheme="minorHAnsi" w:hAnsiTheme="minorHAnsi" w:eastAsiaTheme="minorEastAsia" w:cstheme="minorBidi"/>
            </w:rPr>
            <w:tab/>
          </w:r>
          <w:r>
            <w:rPr>
              <w:rStyle w:val="52"/>
              <w:rFonts w:ascii="宋体" w:hAnsi="宋体" w:cs="宋体"/>
            </w:rPr>
            <w:t>项目总体要求</w:t>
          </w:r>
          <w:r>
            <w:tab/>
          </w:r>
          <w:r>
            <w:fldChar w:fldCharType="begin"/>
          </w:r>
          <w:r>
            <w:instrText xml:space="preserve"> PAGEREF _Toc46241984 \h </w:instrText>
          </w:r>
          <w:r>
            <w:fldChar w:fldCharType="separate"/>
          </w:r>
          <w:r>
            <w:t>9</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"_Toc46241985" </w:instrText>
          </w:r>
          <w:r>
            <w:fldChar w:fldCharType="separate"/>
          </w:r>
          <w:r>
            <w:rPr>
              <w:rStyle w:val="52"/>
              <w:rFonts w:ascii="宋体" w:hAnsi="宋体" w:cs="宋体"/>
            </w:rPr>
            <w:t>2.6</w:t>
          </w:r>
          <w:r>
            <w:rPr>
              <w:rFonts w:asciiTheme="minorHAnsi" w:hAnsiTheme="minorHAnsi" w:eastAsiaTheme="minorEastAsia" w:cstheme="minorBidi"/>
            </w:rPr>
            <w:tab/>
          </w:r>
          <w:r>
            <w:rPr>
              <w:rStyle w:val="52"/>
              <w:rFonts w:ascii="宋体" w:hAnsi="宋体" w:cs="宋体"/>
            </w:rPr>
            <w:t>项目采购清单</w:t>
          </w:r>
          <w:r>
            <w:tab/>
          </w:r>
          <w:r>
            <w:fldChar w:fldCharType="begin"/>
          </w:r>
          <w:r>
            <w:instrText xml:space="preserve"> PAGEREF _Toc46241985 \h </w:instrText>
          </w:r>
          <w:r>
            <w:fldChar w:fldCharType="separate"/>
          </w:r>
          <w:r>
            <w:t>10</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"_Toc46241986" </w:instrText>
          </w:r>
          <w:r>
            <w:fldChar w:fldCharType="separate"/>
          </w:r>
          <w:r>
            <w:rPr>
              <w:rStyle w:val="52"/>
              <w:rFonts w:ascii="宋体" w:hAnsi="宋体" w:cs="Arial"/>
            </w:rPr>
            <w:t>2.6.1</w:t>
          </w:r>
          <w:r>
            <w:rPr>
              <w:rFonts w:asciiTheme="minorHAnsi" w:hAnsiTheme="minorHAnsi" w:eastAsiaTheme="minorEastAsia" w:cstheme="minorBidi"/>
            </w:rPr>
            <w:tab/>
          </w:r>
          <w:r>
            <w:rPr>
              <w:rStyle w:val="52"/>
              <w:rFonts w:ascii="宋体" w:hAnsi="宋体" w:cs="宋体"/>
            </w:rPr>
            <w:t>省监测中心配置清单</w:t>
          </w:r>
          <w:r>
            <w:tab/>
          </w:r>
          <w:r>
            <w:fldChar w:fldCharType="begin"/>
          </w:r>
          <w:r>
            <w:instrText xml:space="preserve"> PAGEREF _Toc46241986 \h </w:instrText>
          </w:r>
          <w:r>
            <w:fldChar w:fldCharType="separate"/>
          </w:r>
          <w:r>
            <w:t>10</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"_Toc46241987" </w:instrText>
          </w:r>
          <w:r>
            <w:fldChar w:fldCharType="separate"/>
          </w:r>
          <w:r>
            <w:rPr>
              <w:rStyle w:val="52"/>
              <w:rFonts w:ascii="宋体" w:hAnsi="宋体" w:cs="Arial"/>
            </w:rPr>
            <w:t>2.6.2</w:t>
          </w:r>
          <w:r>
            <w:rPr>
              <w:rFonts w:asciiTheme="minorHAnsi" w:hAnsiTheme="minorHAnsi" w:eastAsiaTheme="minorEastAsia" w:cstheme="minorBidi"/>
            </w:rPr>
            <w:tab/>
          </w:r>
          <w:r>
            <w:rPr>
              <w:rStyle w:val="52"/>
              <w:rFonts w:ascii="宋体" w:hAnsi="宋体" w:cs="宋体"/>
            </w:rPr>
            <w:t>区域预警中心配置清单</w:t>
          </w:r>
          <w:r>
            <w:tab/>
          </w:r>
          <w:r>
            <w:fldChar w:fldCharType="begin"/>
          </w:r>
          <w:r>
            <w:instrText xml:space="preserve"> PAGEREF _Toc46241987 \h </w:instrText>
          </w:r>
          <w:r>
            <w:fldChar w:fldCharType="separate"/>
          </w:r>
          <w:r>
            <w:t>13</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"_Toc46241988" </w:instrText>
          </w:r>
          <w:r>
            <w:fldChar w:fldCharType="separate"/>
          </w:r>
          <w:r>
            <w:rPr>
              <w:rStyle w:val="52"/>
              <w:rFonts w:ascii="宋体" w:hAnsi="宋体" w:cs="Arial"/>
            </w:rPr>
            <w:t>2.6.3</w:t>
          </w:r>
          <w:r>
            <w:rPr>
              <w:rFonts w:asciiTheme="minorHAnsi" w:hAnsiTheme="minorHAnsi" w:eastAsiaTheme="minorEastAsia" w:cstheme="minorBidi"/>
            </w:rPr>
            <w:tab/>
          </w:r>
          <w:r>
            <w:rPr>
              <w:rStyle w:val="52"/>
              <w:rFonts w:ascii="宋体" w:hAnsi="宋体" w:cs="宋体"/>
            </w:rPr>
            <w:t>地市监测站网络智能化升级改造清单</w:t>
          </w:r>
          <w:r>
            <w:tab/>
          </w:r>
          <w:r>
            <w:fldChar w:fldCharType="begin"/>
          </w:r>
          <w:r>
            <w:instrText xml:space="preserve"> PAGEREF _Toc46241988 \h </w:instrText>
          </w:r>
          <w:r>
            <w:fldChar w:fldCharType="separate"/>
          </w:r>
          <w:r>
            <w:t>18</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"_Toc46241989" </w:instrText>
          </w:r>
          <w:r>
            <w:fldChar w:fldCharType="separate"/>
          </w:r>
          <w:r>
            <w:rPr>
              <w:rStyle w:val="52"/>
              <w:rFonts w:ascii="宋体" w:hAnsi="宋体" w:cs="Arial"/>
            </w:rPr>
            <w:t>2.6.4</w:t>
          </w:r>
          <w:r>
            <w:rPr>
              <w:rFonts w:asciiTheme="minorHAnsi" w:hAnsiTheme="minorHAnsi" w:eastAsiaTheme="minorEastAsia" w:cstheme="minorBidi"/>
            </w:rPr>
            <w:tab/>
          </w:r>
          <w:r>
            <w:rPr>
              <w:rStyle w:val="52"/>
              <w:rFonts w:ascii="宋体" w:hAnsi="宋体" w:cs="宋体"/>
            </w:rPr>
            <w:t>主要设备参数要求</w:t>
          </w:r>
          <w:r>
            <w:tab/>
          </w:r>
          <w:r>
            <w:fldChar w:fldCharType="begin"/>
          </w:r>
          <w:r>
            <w:instrText xml:space="preserve"> PAGEREF _Toc46241989 \h </w:instrText>
          </w:r>
          <w:r>
            <w:fldChar w:fldCharType="separate"/>
          </w:r>
          <w:r>
            <w:t>26</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"_Toc46241990" </w:instrText>
          </w:r>
          <w:r>
            <w:fldChar w:fldCharType="separate"/>
          </w:r>
          <w:r>
            <w:rPr>
              <w:rStyle w:val="52"/>
              <w:rFonts w:ascii="宋体" w:hAnsi="宋体" w:cs="Arial"/>
            </w:rPr>
            <w:t>2.6.4.1.</w:t>
          </w:r>
          <w:r>
            <w:rPr>
              <w:rFonts w:asciiTheme="minorHAnsi" w:hAnsiTheme="minorHAnsi" w:eastAsiaTheme="minorEastAsia" w:cstheme="minorBidi"/>
            </w:rPr>
            <w:tab/>
          </w:r>
          <w:r>
            <w:rPr>
              <w:rStyle w:val="52"/>
              <w:rFonts w:ascii="宋体" w:hAnsi="宋体" w:cs="宋体"/>
            </w:rPr>
            <w:t>业务管理系统</w:t>
          </w:r>
          <w:r>
            <w:tab/>
          </w:r>
          <w:r>
            <w:fldChar w:fldCharType="begin"/>
          </w:r>
          <w:r>
            <w:instrText xml:space="preserve"> PAGEREF _Toc46241990 \h </w:instrText>
          </w:r>
          <w:r>
            <w:fldChar w:fldCharType="separate"/>
          </w:r>
          <w:r>
            <w:t>26</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"_Toc46241991" </w:instrText>
          </w:r>
          <w:r>
            <w:fldChar w:fldCharType="separate"/>
          </w:r>
          <w:r>
            <w:rPr>
              <w:rStyle w:val="52"/>
              <w:rFonts w:ascii="宋体" w:hAnsi="宋体" w:cs="Arial"/>
            </w:rPr>
            <w:t>2.6.4.2.</w:t>
          </w:r>
          <w:r>
            <w:rPr>
              <w:rFonts w:asciiTheme="minorHAnsi" w:hAnsiTheme="minorHAnsi" w:eastAsiaTheme="minorEastAsia" w:cstheme="minorBidi"/>
            </w:rPr>
            <w:tab/>
          </w:r>
          <w:r>
            <w:rPr>
              <w:rStyle w:val="52"/>
              <w:rFonts w:ascii="宋体" w:hAnsi="宋体" w:cs="宋体"/>
            </w:rPr>
            <w:t>统一注册平台</w:t>
          </w:r>
          <w:r>
            <w:tab/>
          </w:r>
          <w:r>
            <w:fldChar w:fldCharType="begin"/>
          </w:r>
          <w:r>
            <w:instrText xml:space="preserve"> PAGEREF _Toc46241991 \h </w:instrText>
          </w:r>
          <w:r>
            <w:fldChar w:fldCharType="separate"/>
          </w:r>
          <w:r>
            <w:t>28</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"_Toc46241992" </w:instrText>
          </w:r>
          <w:r>
            <w:fldChar w:fldCharType="separate"/>
          </w:r>
          <w:r>
            <w:rPr>
              <w:rStyle w:val="52"/>
              <w:rFonts w:ascii="宋体" w:hAnsi="宋体" w:cs="Arial"/>
            </w:rPr>
            <w:t>2.6.4.3.</w:t>
          </w:r>
          <w:r>
            <w:rPr>
              <w:rFonts w:asciiTheme="minorHAnsi" w:hAnsiTheme="minorHAnsi" w:eastAsiaTheme="minorEastAsia" w:cstheme="minorBidi"/>
            </w:rPr>
            <w:tab/>
          </w:r>
          <w:r>
            <w:rPr>
              <w:rStyle w:val="52"/>
              <w:rFonts w:ascii="宋体" w:hAnsi="宋体" w:cs="宋体"/>
            </w:rPr>
            <w:t>视频联接平台</w:t>
          </w:r>
          <w:r>
            <w:tab/>
          </w:r>
          <w:r>
            <w:fldChar w:fldCharType="begin"/>
          </w:r>
          <w:r>
            <w:instrText xml:space="preserve"> PAGEREF _Toc46241992 \h </w:instrText>
          </w:r>
          <w:r>
            <w:fldChar w:fldCharType="separate"/>
          </w:r>
          <w:r>
            <w:t>28</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"_Toc46241993" </w:instrText>
          </w:r>
          <w:r>
            <w:fldChar w:fldCharType="separate"/>
          </w:r>
          <w:r>
            <w:rPr>
              <w:rStyle w:val="52"/>
              <w:rFonts w:ascii="宋体" w:hAnsi="宋体" w:cs="Arial"/>
            </w:rPr>
            <w:t>2.6.4.4.</w:t>
          </w:r>
          <w:r>
            <w:rPr>
              <w:rFonts w:asciiTheme="minorHAnsi" w:hAnsiTheme="minorHAnsi" w:eastAsiaTheme="minorEastAsia" w:cstheme="minorBidi"/>
            </w:rPr>
            <w:tab/>
          </w:r>
          <w:r>
            <w:rPr>
              <w:rStyle w:val="52"/>
              <w:rFonts w:ascii="宋体" w:hAnsi="宋体" w:cs="宋体"/>
            </w:rPr>
            <w:t>视频云平台</w:t>
          </w:r>
          <w:r>
            <w:tab/>
          </w:r>
          <w:r>
            <w:fldChar w:fldCharType="begin"/>
          </w:r>
          <w:r>
            <w:instrText xml:space="preserve"> PAGEREF _Toc46241993 \h </w:instrText>
          </w:r>
          <w:r>
            <w:fldChar w:fldCharType="separate"/>
          </w:r>
          <w:r>
            <w:t>30</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"_Toc46241994" </w:instrText>
          </w:r>
          <w:r>
            <w:fldChar w:fldCharType="separate"/>
          </w:r>
          <w:r>
            <w:rPr>
              <w:rStyle w:val="52"/>
              <w:rFonts w:ascii="宋体" w:hAnsi="宋体" w:cs="Arial"/>
            </w:rPr>
            <w:t>2.6.4.5.</w:t>
          </w:r>
          <w:r>
            <w:rPr>
              <w:rFonts w:asciiTheme="minorHAnsi" w:hAnsiTheme="minorHAnsi" w:eastAsiaTheme="minorEastAsia" w:cstheme="minorBidi"/>
            </w:rPr>
            <w:tab/>
          </w:r>
          <w:r>
            <w:rPr>
              <w:rStyle w:val="52"/>
              <w:rFonts w:ascii="宋体" w:hAnsi="宋体" w:cs="宋体"/>
            </w:rPr>
            <w:t>协议转换网关</w:t>
          </w:r>
          <w:r>
            <w:tab/>
          </w:r>
          <w:r>
            <w:fldChar w:fldCharType="begin"/>
          </w:r>
          <w:r>
            <w:instrText xml:space="preserve"> PAGEREF _Toc46241994 \h </w:instrText>
          </w:r>
          <w:r>
            <w:fldChar w:fldCharType="separate"/>
          </w:r>
          <w:r>
            <w:t>32</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"_Toc46241995" </w:instrText>
          </w:r>
          <w:r>
            <w:fldChar w:fldCharType="separate"/>
          </w:r>
          <w:r>
            <w:rPr>
              <w:rStyle w:val="52"/>
              <w:rFonts w:ascii="宋体" w:hAnsi="宋体" w:cs="Arial"/>
            </w:rPr>
            <w:t>2.6.4.6.</w:t>
          </w:r>
          <w:r>
            <w:rPr>
              <w:rFonts w:asciiTheme="minorHAnsi" w:hAnsiTheme="minorHAnsi" w:eastAsiaTheme="minorEastAsia" w:cstheme="minorBidi"/>
            </w:rPr>
            <w:tab/>
          </w:r>
          <w:r>
            <w:rPr>
              <w:rStyle w:val="52"/>
              <w:rFonts w:ascii="宋体" w:hAnsi="宋体" w:cs="宋体"/>
            </w:rPr>
            <w:t>监控融合平台</w:t>
          </w:r>
          <w:r>
            <w:tab/>
          </w:r>
          <w:r>
            <w:fldChar w:fldCharType="begin"/>
          </w:r>
          <w:r>
            <w:instrText xml:space="preserve"> PAGEREF _Toc46241995 \h </w:instrText>
          </w:r>
          <w:r>
            <w:fldChar w:fldCharType="separate"/>
          </w:r>
          <w:r>
            <w:t>32</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"_Toc46241996" </w:instrText>
          </w:r>
          <w:r>
            <w:fldChar w:fldCharType="separate"/>
          </w:r>
          <w:r>
            <w:rPr>
              <w:rStyle w:val="52"/>
              <w:rFonts w:ascii="宋体" w:hAnsi="宋体" w:cs="Arial"/>
            </w:rPr>
            <w:t>2.6.4.7.</w:t>
          </w:r>
          <w:r>
            <w:rPr>
              <w:rFonts w:asciiTheme="minorHAnsi" w:hAnsiTheme="minorHAnsi" w:eastAsiaTheme="minorEastAsia" w:cstheme="minorBidi"/>
            </w:rPr>
            <w:tab/>
          </w:r>
          <w:r>
            <w:rPr>
              <w:rStyle w:val="52"/>
              <w:rFonts w:ascii="宋体" w:hAnsi="宋体" w:cs="宋体"/>
            </w:rPr>
            <w:t>录制平台</w:t>
          </w:r>
          <w:r>
            <w:tab/>
          </w:r>
          <w:r>
            <w:fldChar w:fldCharType="begin"/>
          </w:r>
          <w:r>
            <w:instrText xml:space="preserve"> PAGEREF _Toc46241996 \h </w:instrText>
          </w:r>
          <w:r>
            <w:fldChar w:fldCharType="separate"/>
          </w:r>
          <w:r>
            <w:t>33</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"_Toc46241997" </w:instrText>
          </w:r>
          <w:r>
            <w:fldChar w:fldCharType="separate"/>
          </w:r>
          <w:r>
            <w:rPr>
              <w:rStyle w:val="52"/>
              <w:rFonts w:ascii="宋体" w:hAnsi="宋体" w:cs="Arial"/>
            </w:rPr>
            <w:t>2.6.4.8.</w:t>
          </w:r>
          <w:r>
            <w:rPr>
              <w:rFonts w:asciiTheme="minorHAnsi" w:hAnsiTheme="minorHAnsi" w:eastAsiaTheme="minorEastAsia" w:cstheme="minorBidi"/>
            </w:rPr>
            <w:tab/>
          </w:r>
          <w:r>
            <w:rPr>
              <w:rStyle w:val="52"/>
              <w:rFonts w:ascii="宋体" w:hAnsi="宋体" w:cs="宋体"/>
            </w:rPr>
            <w:t>跨平台调度</w:t>
          </w:r>
          <w:r>
            <w:tab/>
          </w:r>
          <w:r>
            <w:fldChar w:fldCharType="begin"/>
          </w:r>
          <w:r>
            <w:instrText xml:space="preserve"> PAGEREF _Toc46241997 \h </w:instrText>
          </w:r>
          <w:r>
            <w:fldChar w:fldCharType="separate"/>
          </w:r>
          <w:r>
            <w:t>33</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"_Toc46241998" </w:instrText>
          </w:r>
          <w:r>
            <w:fldChar w:fldCharType="separate"/>
          </w:r>
          <w:r>
            <w:rPr>
              <w:rStyle w:val="52"/>
              <w:rFonts w:ascii="宋体" w:hAnsi="宋体" w:cs="Arial"/>
            </w:rPr>
            <w:t>2.6.4.9.</w:t>
          </w:r>
          <w:r>
            <w:rPr>
              <w:rFonts w:asciiTheme="minorHAnsi" w:hAnsiTheme="minorHAnsi" w:eastAsiaTheme="minorEastAsia" w:cstheme="minorBidi"/>
            </w:rPr>
            <w:tab/>
          </w:r>
          <w:r>
            <w:rPr>
              <w:rStyle w:val="52"/>
              <w:rFonts w:ascii="宋体" w:hAnsi="宋体" w:cs="宋体"/>
            </w:rPr>
            <w:t>指挥终端</w:t>
          </w:r>
          <w:r>
            <w:tab/>
          </w:r>
          <w:r>
            <w:fldChar w:fldCharType="begin"/>
          </w:r>
          <w:r>
            <w:instrText xml:space="preserve"> PAGEREF _Toc46241998 \h </w:instrText>
          </w:r>
          <w:r>
            <w:fldChar w:fldCharType="separate"/>
          </w:r>
          <w:r>
            <w:t>34</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"_Toc46241999" </w:instrText>
          </w:r>
          <w:r>
            <w:fldChar w:fldCharType="separate"/>
          </w:r>
          <w:r>
            <w:rPr>
              <w:rStyle w:val="52"/>
              <w:rFonts w:ascii="宋体" w:hAnsi="宋体" w:cs="Arial"/>
            </w:rPr>
            <w:t>2.6.4.10.</w:t>
          </w:r>
          <w:r>
            <w:rPr>
              <w:rFonts w:asciiTheme="minorHAnsi" w:hAnsiTheme="minorHAnsi" w:eastAsiaTheme="minorEastAsia" w:cstheme="minorBidi"/>
            </w:rPr>
            <w:tab/>
          </w:r>
          <w:r>
            <w:rPr>
              <w:rStyle w:val="52"/>
              <w:rFonts w:ascii="宋体" w:hAnsi="宋体" w:cs="宋体"/>
            </w:rPr>
            <w:t>视频解码器</w:t>
          </w:r>
          <w:r>
            <w:tab/>
          </w:r>
          <w:r>
            <w:fldChar w:fldCharType="begin"/>
          </w:r>
          <w:r>
            <w:instrText xml:space="preserve"> PAGEREF _Toc46241999 \h </w:instrText>
          </w:r>
          <w:r>
            <w:fldChar w:fldCharType="separate"/>
          </w:r>
          <w:r>
            <w:t>36</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"_Toc46242000" </w:instrText>
          </w:r>
          <w:r>
            <w:fldChar w:fldCharType="separate"/>
          </w:r>
          <w:r>
            <w:rPr>
              <w:rStyle w:val="52"/>
              <w:rFonts w:ascii="宋体" w:hAnsi="宋体" w:cs="Arial"/>
            </w:rPr>
            <w:t>2.6.4.11.</w:t>
          </w:r>
          <w:r>
            <w:rPr>
              <w:rFonts w:asciiTheme="minorHAnsi" w:hAnsiTheme="minorHAnsi" w:eastAsiaTheme="minorEastAsia" w:cstheme="minorBidi"/>
            </w:rPr>
            <w:tab/>
          </w:r>
          <w:r>
            <w:rPr>
              <w:rStyle w:val="52"/>
              <w:rFonts w:ascii="宋体" w:hAnsi="宋体" w:cs="宋体"/>
            </w:rPr>
            <w:t>交互式指挥大屏</w:t>
          </w:r>
          <w:r>
            <w:tab/>
          </w:r>
          <w:r>
            <w:fldChar w:fldCharType="begin"/>
          </w:r>
          <w:r>
            <w:instrText xml:space="preserve"> PAGEREF _Toc46242000 \h </w:instrText>
          </w:r>
          <w:r>
            <w:fldChar w:fldCharType="separate"/>
          </w:r>
          <w:r>
            <w:t>36</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"_Toc46242001" </w:instrText>
          </w:r>
          <w:r>
            <w:fldChar w:fldCharType="separate"/>
          </w:r>
          <w:r>
            <w:rPr>
              <w:rStyle w:val="52"/>
              <w:rFonts w:ascii="宋体" w:hAnsi="宋体" w:cs="Arial"/>
            </w:rPr>
            <w:t>2.6.4.12.</w:t>
          </w:r>
          <w:r>
            <w:rPr>
              <w:rFonts w:asciiTheme="minorHAnsi" w:hAnsiTheme="minorHAnsi" w:eastAsiaTheme="minorEastAsia" w:cstheme="minorBidi"/>
            </w:rPr>
            <w:tab/>
          </w:r>
          <w:r>
            <w:rPr>
              <w:rStyle w:val="52"/>
              <w:rFonts w:ascii="宋体" w:hAnsi="宋体" w:cs="宋体"/>
            </w:rPr>
            <w:t>LED显示主屏</w:t>
          </w:r>
          <w:r>
            <w:tab/>
          </w:r>
          <w:r>
            <w:fldChar w:fldCharType="begin"/>
          </w:r>
          <w:r>
            <w:instrText xml:space="preserve"> PAGEREF _Toc46242001 \h </w:instrText>
          </w:r>
          <w:r>
            <w:fldChar w:fldCharType="separate"/>
          </w:r>
          <w:r>
            <w:t>37</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"_Toc46242002" </w:instrText>
          </w:r>
          <w:r>
            <w:fldChar w:fldCharType="separate"/>
          </w:r>
          <w:r>
            <w:rPr>
              <w:rStyle w:val="52"/>
              <w:rFonts w:ascii="宋体" w:hAnsi="宋体" w:cs="Arial"/>
            </w:rPr>
            <w:t>2.6.4.13.</w:t>
          </w:r>
          <w:r>
            <w:rPr>
              <w:rFonts w:asciiTheme="minorHAnsi" w:hAnsiTheme="minorHAnsi" w:eastAsiaTheme="minorEastAsia" w:cstheme="minorBidi"/>
            </w:rPr>
            <w:tab/>
          </w:r>
          <w:r>
            <w:rPr>
              <w:rStyle w:val="52"/>
              <w:rFonts w:ascii="宋体" w:hAnsi="宋体" w:cs="宋体"/>
            </w:rPr>
            <w:t>LED控制器</w:t>
          </w:r>
          <w:r>
            <w:tab/>
          </w:r>
          <w:r>
            <w:fldChar w:fldCharType="begin"/>
          </w:r>
          <w:r>
            <w:instrText xml:space="preserve"> PAGEREF _Toc46242002 \h </w:instrText>
          </w:r>
          <w:r>
            <w:fldChar w:fldCharType="separate"/>
          </w:r>
          <w:r>
            <w:t>38</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"_Toc46242003" </w:instrText>
          </w:r>
          <w:r>
            <w:fldChar w:fldCharType="separate"/>
          </w:r>
          <w:r>
            <w:rPr>
              <w:rStyle w:val="52"/>
              <w:rFonts w:ascii="宋体" w:hAnsi="宋体" w:cs="Arial"/>
            </w:rPr>
            <w:t>2.6.4.14.</w:t>
          </w:r>
          <w:r>
            <w:rPr>
              <w:rFonts w:asciiTheme="minorHAnsi" w:hAnsiTheme="minorHAnsi" w:eastAsiaTheme="minorEastAsia" w:cstheme="minorBidi"/>
            </w:rPr>
            <w:tab/>
          </w:r>
          <w:r>
            <w:rPr>
              <w:rStyle w:val="52"/>
              <w:rFonts w:ascii="宋体" w:hAnsi="宋体" w:cs="宋体"/>
            </w:rPr>
            <w:t>分布式4K KVM输入节点</w:t>
          </w:r>
          <w:r>
            <w:tab/>
          </w:r>
          <w:r>
            <w:fldChar w:fldCharType="begin"/>
          </w:r>
          <w:r>
            <w:instrText xml:space="preserve"> PAGEREF _Toc46242003 \h </w:instrText>
          </w:r>
          <w:r>
            <w:fldChar w:fldCharType="separate"/>
          </w:r>
          <w:r>
            <w:t>39</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"_Toc46242004" </w:instrText>
          </w:r>
          <w:r>
            <w:fldChar w:fldCharType="separate"/>
          </w:r>
          <w:r>
            <w:rPr>
              <w:rStyle w:val="52"/>
              <w:rFonts w:ascii="宋体" w:hAnsi="宋体" w:cs="Arial"/>
            </w:rPr>
            <w:t>2.6.4.15.</w:t>
          </w:r>
          <w:r>
            <w:rPr>
              <w:rFonts w:asciiTheme="minorHAnsi" w:hAnsiTheme="minorHAnsi" w:eastAsiaTheme="minorEastAsia" w:cstheme="minorBidi"/>
            </w:rPr>
            <w:tab/>
          </w:r>
          <w:r>
            <w:rPr>
              <w:rStyle w:val="52"/>
              <w:rFonts w:ascii="宋体" w:hAnsi="宋体" w:cs="宋体"/>
            </w:rPr>
            <w:t>分布式4K KVM输出节点</w:t>
          </w:r>
          <w:r>
            <w:tab/>
          </w:r>
          <w:r>
            <w:fldChar w:fldCharType="begin"/>
          </w:r>
          <w:r>
            <w:instrText xml:space="preserve"> PAGEREF _Toc46242004 \h </w:instrText>
          </w:r>
          <w:r>
            <w:fldChar w:fldCharType="separate"/>
          </w:r>
          <w:r>
            <w:t>40</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"_Toc46242005" </w:instrText>
          </w:r>
          <w:r>
            <w:fldChar w:fldCharType="separate"/>
          </w:r>
          <w:r>
            <w:rPr>
              <w:rStyle w:val="52"/>
              <w:rFonts w:ascii="宋体" w:hAnsi="宋体" w:cs="Arial"/>
            </w:rPr>
            <w:t>2.6.4.16.</w:t>
          </w:r>
          <w:r>
            <w:rPr>
              <w:rFonts w:asciiTheme="minorHAnsi" w:hAnsiTheme="minorHAnsi" w:eastAsiaTheme="minorEastAsia" w:cstheme="minorBidi"/>
            </w:rPr>
            <w:tab/>
          </w:r>
          <w:r>
            <w:rPr>
              <w:rStyle w:val="52"/>
              <w:rFonts w:ascii="宋体" w:hAnsi="宋体" w:cs="宋体"/>
            </w:rPr>
            <w:t>分布式网络控制节点</w:t>
          </w:r>
          <w:r>
            <w:tab/>
          </w:r>
          <w:r>
            <w:fldChar w:fldCharType="begin"/>
          </w:r>
          <w:r>
            <w:instrText xml:space="preserve"> PAGEREF _Toc46242005 \h </w:instrText>
          </w:r>
          <w:r>
            <w:fldChar w:fldCharType="separate"/>
          </w:r>
          <w:r>
            <w:t>40</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"_Toc46242006" </w:instrText>
          </w:r>
          <w:r>
            <w:fldChar w:fldCharType="separate"/>
          </w:r>
          <w:r>
            <w:rPr>
              <w:rStyle w:val="52"/>
              <w:rFonts w:ascii="宋体" w:hAnsi="宋体" w:cs="Arial"/>
            </w:rPr>
            <w:t>2.6.4.17.</w:t>
          </w:r>
          <w:r>
            <w:rPr>
              <w:rFonts w:asciiTheme="minorHAnsi" w:hAnsiTheme="minorHAnsi" w:eastAsiaTheme="minorEastAsia" w:cstheme="minorBidi"/>
            </w:rPr>
            <w:tab/>
          </w:r>
          <w:r>
            <w:rPr>
              <w:rStyle w:val="52"/>
              <w:rFonts w:ascii="宋体" w:hAnsi="宋体" w:cs="宋体"/>
            </w:rPr>
            <w:t>区域中心分布式管理平台</w:t>
          </w:r>
          <w:r>
            <w:tab/>
          </w:r>
          <w:r>
            <w:fldChar w:fldCharType="begin"/>
          </w:r>
          <w:r>
            <w:instrText xml:space="preserve"> PAGEREF _Toc46242006 \h </w:instrText>
          </w:r>
          <w:r>
            <w:fldChar w:fldCharType="separate"/>
          </w:r>
          <w:r>
            <w:t>41</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"_Toc46242007" </w:instrText>
          </w:r>
          <w:r>
            <w:fldChar w:fldCharType="separate"/>
          </w:r>
          <w:r>
            <w:rPr>
              <w:rStyle w:val="52"/>
              <w:rFonts w:ascii="宋体" w:hAnsi="宋体" w:cs="Arial"/>
            </w:rPr>
            <w:t>2.6.4.18.</w:t>
          </w:r>
          <w:r>
            <w:rPr>
              <w:rFonts w:asciiTheme="minorHAnsi" w:hAnsiTheme="minorHAnsi" w:eastAsiaTheme="minorEastAsia" w:cstheme="minorBidi"/>
            </w:rPr>
            <w:tab/>
          </w:r>
          <w:r>
            <w:rPr>
              <w:rStyle w:val="52"/>
              <w:rFonts w:ascii="宋体" w:hAnsi="宋体" w:cs="宋体"/>
            </w:rPr>
            <w:t>分布式高清节点</w:t>
          </w:r>
          <w:r>
            <w:tab/>
          </w:r>
          <w:r>
            <w:fldChar w:fldCharType="begin"/>
          </w:r>
          <w:r>
            <w:instrText xml:space="preserve"> PAGEREF _Toc46242007 \h </w:instrText>
          </w:r>
          <w:r>
            <w:fldChar w:fldCharType="separate"/>
          </w:r>
          <w:r>
            <w:t>41</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"_Toc46242008" </w:instrText>
          </w:r>
          <w:r>
            <w:fldChar w:fldCharType="separate"/>
          </w:r>
          <w:r>
            <w:rPr>
              <w:rStyle w:val="52"/>
              <w:rFonts w:ascii="宋体" w:hAnsi="宋体" w:cs="Arial"/>
            </w:rPr>
            <w:t>2.6.4.19.</w:t>
          </w:r>
          <w:r>
            <w:rPr>
              <w:rFonts w:asciiTheme="minorHAnsi" w:hAnsiTheme="minorHAnsi" w:eastAsiaTheme="minorEastAsia" w:cstheme="minorBidi"/>
            </w:rPr>
            <w:tab/>
          </w:r>
          <w:r>
            <w:rPr>
              <w:rStyle w:val="52"/>
              <w:rFonts w:ascii="宋体" w:hAnsi="宋体" w:cs="宋体"/>
            </w:rPr>
            <w:t>分布式音视频控制软件</w:t>
          </w:r>
          <w:r>
            <w:tab/>
          </w:r>
          <w:r>
            <w:fldChar w:fldCharType="begin"/>
          </w:r>
          <w:r>
            <w:instrText xml:space="preserve"> PAGEREF _Toc46242008 \h </w:instrText>
          </w:r>
          <w:r>
            <w:fldChar w:fldCharType="separate"/>
          </w:r>
          <w:r>
            <w:t>42</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"_Toc46242009" </w:instrText>
          </w:r>
          <w:r>
            <w:fldChar w:fldCharType="separate"/>
          </w:r>
          <w:r>
            <w:rPr>
              <w:rStyle w:val="52"/>
              <w:rFonts w:ascii="宋体" w:hAnsi="宋体" w:cs="Arial"/>
            </w:rPr>
            <w:t>2.6.4.20.</w:t>
          </w:r>
          <w:r>
            <w:rPr>
              <w:rFonts w:asciiTheme="minorHAnsi" w:hAnsiTheme="minorHAnsi" w:eastAsiaTheme="minorEastAsia" w:cstheme="minorBidi"/>
            </w:rPr>
            <w:tab/>
          </w:r>
          <w:r>
            <w:rPr>
              <w:rStyle w:val="52"/>
              <w:rFonts w:ascii="宋体" w:hAnsi="宋体" w:cs="宋体"/>
            </w:rPr>
            <w:t>省监测中心路由器</w:t>
          </w:r>
          <w:r>
            <w:tab/>
          </w:r>
          <w:r>
            <w:fldChar w:fldCharType="begin"/>
          </w:r>
          <w:r>
            <w:instrText xml:space="preserve"> PAGEREF _Toc46242009 \h </w:instrText>
          </w:r>
          <w:r>
            <w:fldChar w:fldCharType="separate"/>
          </w:r>
          <w:r>
            <w:t>43</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"_Toc46242010" </w:instrText>
          </w:r>
          <w:r>
            <w:fldChar w:fldCharType="separate"/>
          </w:r>
          <w:r>
            <w:rPr>
              <w:rStyle w:val="52"/>
              <w:rFonts w:ascii="宋体" w:hAnsi="宋体" w:cs="Arial"/>
            </w:rPr>
            <w:t>2.6.4.21.</w:t>
          </w:r>
          <w:r>
            <w:rPr>
              <w:rFonts w:asciiTheme="minorHAnsi" w:hAnsiTheme="minorHAnsi" w:eastAsiaTheme="minorEastAsia" w:cstheme="minorBidi"/>
            </w:rPr>
            <w:tab/>
          </w:r>
          <w:r>
            <w:rPr>
              <w:rStyle w:val="52"/>
              <w:rFonts w:ascii="宋体" w:hAnsi="宋体" w:cs="宋体"/>
            </w:rPr>
            <w:t>省监测中心接入交换机</w:t>
          </w:r>
          <w:r>
            <w:tab/>
          </w:r>
          <w:r>
            <w:fldChar w:fldCharType="begin"/>
          </w:r>
          <w:r>
            <w:instrText xml:space="preserve"> PAGEREF _Toc46242010 \h </w:instrText>
          </w:r>
          <w:r>
            <w:fldChar w:fldCharType="separate"/>
          </w:r>
          <w:r>
            <w:t>43</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"_Toc46242011" </w:instrText>
          </w:r>
          <w:r>
            <w:fldChar w:fldCharType="separate"/>
          </w:r>
          <w:r>
            <w:rPr>
              <w:rStyle w:val="52"/>
              <w:rFonts w:ascii="宋体" w:hAnsi="宋体" w:cs="Arial"/>
            </w:rPr>
            <w:t>2.6.4.22.</w:t>
          </w:r>
          <w:r>
            <w:rPr>
              <w:rFonts w:asciiTheme="minorHAnsi" w:hAnsiTheme="minorHAnsi" w:eastAsiaTheme="minorEastAsia" w:cstheme="minorBidi"/>
            </w:rPr>
            <w:tab/>
          </w:r>
          <w:r>
            <w:rPr>
              <w:rStyle w:val="52"/>
              <w:rFonts w:ascii="宋体" w:hAnsi="宋体" w:cs="宋体"/>
            </w:rPr>
            <w:t>网络管理系统</w:t>
          </w:r>
          <w:r>
            <w:tab/>
          </w:r>
          <w:r>
            <w:fldChar w:fldCharType="begin"/>
          </w:r>
          <w:r>
            <w:instrText xml:space="preserve"> PAGEREF _Toc46242011 \h </w:instrText>
          </w:r>
          <w:r>
            <w:fldChar w:fldCharType="separate"/>
          </w:r>
          <w:r>
            <w:t>44</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"_Toc46242012" </w:instrText>
          </w:r>
          <w:r>
            <w:fldChar w:fldCharType="separate"/>
          </w:r>
          <w:r>
            <w:rPr>
              <w:rStyle w:val="52"/>
              <w:rFonts w:ascii="宋体" w:hAnsi="宋体" w:cs="Arial"/>
            </w:rPr>
            <w:t>2.6.4.23.</w:t>
          </w:r>
          <w:r>
            <w:rPr>
              <w:rFonts w:asciiTheme="minorHAnsi" w:hAnsiTheme="minorHAnsi" w:eastAsiaTheme="minorEastAsia" w:cstheme="minorBidi"/>
            </w:rPr>
            <w:tab/>
          </w:r>
          <w:r>
            <w:rPr>
              <w:rStyle w:val="52"/>
              <w:rFonts w:ascii="宋体" w:hAnsi="宋体" w:cs="宋体"/>
            </w:rPr>
            <w:t>SDN控制器</w:t>
          </w:r>
          <w:r>
            <w:tab/>
          </w:r>
          <w:r>
            <w:fldChar w:fldCharType="begin"/>
          </w:r>
          <w:r>
            <w:instrText xml:space="preserve"> PAGEREF _Toc46242012 \h </w:instrText>
          </w:r>
          <w:r>
            <w:fldChar w:fldCharType="separate"/>
          </w:r>
          <w:r>
            <w:t>45</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"_Toc46242013" </w:instrText>
          </w:r>
          <w:r>
            <w:fldChar w:fldCharType="separate"/>
          </w:r>
          <w:r>
            <w:rPr>
              <w:rStyle w:val="52"/>
              <w:rFonts w:ascii="宋体" w:hAnsi="宋体" w:cs="Arial"/>
            </w:rPr>
            <w:t>2.6.4.24.</w:t>
          </w:r>
          <w:r>
            <w:rPr>
              <w:rFonts w:asciiTheme="minorHAnsi" w:hAnsiTheme="minorHAnsi" w:eastAsiaTheme="minorEastAsia" w:cstheme="minorBidi"/>
            </w:rPr>
            <w:tab/>
          </w:r>
          <w:r>
            <w:rPr>
              <w:rStyle w:val="52"/>
              <w:rFonts w:ascii="宋体" w:hAnsi="宋体" w:cs="宋体"/>
            </w:rPr>
            <w:t>区域中心路由器（韶关、汕头、湛江）</w:t>
          </w:r>
          <w:r>
            <w:tab/>
          </w:r>
          <w:r>
            <w:fldChar w:fldCharType="begin"/>
          </w:r>
          <w:r>
            <w:instrText xml:space="preserve"> PAGEREF _Toc46242013 \h </w:instrText>
          </w:r>
          <w:r>
            <w:fldChar w:fldCharType="separate"/>
          </w:r>
          <w:r>
            <w:t>46</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"_Toc46242014" </w:instrText>
          </w:r>
          <w:r>
            <w:fldChar w:fldCharType="separate"/>
          </w:r>
          <w:r>
            <w:rPr>
              <w:rStyle w:val="52"/>
              <w:rFonts w:ascii="宋体" w:hAnsi="宋体" w:cs="Arial"/>
            </w:rPr>
            <w:t>2.6.4.25.</w:t>
          </w:r>
          <w:r>
            <w:rPr>
              <w:rFonts w:asciiTheme="minorHAnsi" w:hAnsiTheme="minorHAnsi" w:eastAsiaTheme="minorEastAsia" w:cstheme="minorBidi"/>
            </w:rPr>
            <w:tab/>
          </w:r>
          <w:r>
            <w:rPr>
              <w:rStyle w:val="52"/>
              <w:rFonts w:ascii="宋体" w:hAnsi="宋体" w:cs="宋体"/>
            </w:rPr>
            <w:t>核心交换机（韶关，汕头、湛江、江门）</w:t>
          </w:r>
          <w:r>
            <w:tab/>
          </w:r>
          <w:r>
            <w:fldChar w:fldCharType="begin"/>
          </w:r>
          <w:r>
            <w:instrText xml:space="preserve"> PAGEREF _Toc46242014 \h </w:instrText>
          </w:r>
          <w:r>
            <w:fldChar w:fldCharType="separate"/>
          </w:r>
          <w:r>
            <w:t>47</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"_Toc46242015" </w:instrText>
          </w:r>
          <w:r>
            <w:fldChar w:fldCharType="separate"/>
          </w:r>
          <w:r>
            <w:rPr>
              <w:rStyle w:val="52"/>
              <w:rFonts w:ascii="宋体" w:hAnsi="宋体" w:cs="Arial"/>
            </w:rPr>
            <w:t>2.6.4.26.</w:t>
          </w:r>
          <w:r>
            <w:rPr>
              <w:rFonts w:asciiTheme="minorHAnsi" w:hAnsiTheme="minorHAnsi" w:eastAsiaTheme="minorEastAsia" w:cstheme="minorBidi"/>
            </w:rPr>
            <w:tab/>
          </w:r>
          <w:r>
            <w:rPr>
              <w:rStyle w:val="52"/>
              <w:rFonts w:ascii="宋体" w:hAnsi="宋体" w:cs="宋体"/>
            </w:rPr>
            <w:t>无线WIFI设备</w:t>
          </w:r>
          <w:r>
            <w:tab/>
          </w:r>
          <w:r>
            <w:fldChar w:fldCharType="begin"/>
          </w:r>
          <w:r>
            <w:instrText xml:space="preserve"> PAGEREF _Toc46242015 \h </w:instrText>
          </w:r>
          <w:r>
            <w:fldChar w:fldCharType="separate"/>
          </w:r>
          <w:r>
            <w:t>48</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"_Toc46242016" </w:instrText>
          </w:r>
          <w:r>
            <w:fldChar w:fldCharType="separate"/>
          </w:r>
          <w:r>
            <w:rPr>
              <w:rStyle w:val="52"/>
              <w:rFonts w:ascii="宋体" w:hAnsi="宋体" w:cs="Arial"/>
            </w:rPr>
            <w:t>2.6.4.27.</w:t>
          </w:r>
          <w:r>
            <w:rPr>
              <w:rFonts w:asciiTheme="minorHAnsi" w:hAnsiTheme="minorHAnsi" w:eastAsiaTheme="minorEastAsia" w:cstheme="minorBidi"/>
            </w:rPr>
            <w:tab/>
          </w:r>
          <w:r>
            <w:rPr>
              <w:rStyle w:val="52"/>
              <w:rFonts w:ascii="宋体" w:hAnsi="宋体" w:cs="宋体"/>
            </w:rPr>
            <w:t>24口POE交换机</w:t>
          </w:r>
          <w:r>
            <w:tab/>
          </w:r>
          <w:r>
            <w:fldChar w:fldCharType="begin"/>
          </w:r>
          <w:r>
            <w:instrText xml:space="preserve"> PAGEREF _Toc46242016 \h </w:instrText>
          </w:r>
          <w:r>
            <w:fldChar w:fldCharType="separate"/>
          </w:r>
          <w:r>
            <w:t>49</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"_Toc46242017" </w:instrText>
          </w:r>
          <w:r>
            <w:fldChar w:fldCharType="separate"/>
          </w:r>
          <w:r>
            <w:rPr>
              <w:rStyle w:val="52"/>
              <w:rFonts w:ascii="宋体" w:hAnsi="宋体" w:cs="Arial"/>
            </w:rPr>
            <w:t>2.6.4.28.</w:t>
          </w:r>
          <w:r>
            <w:rPr>
              <w:rFonts w:asciiTheme="minorHAnsi" w:hAnsiTheme="minorHAnsi" w:eastAsiaTheme="minorEastAsia" w:cstheme="minorBidi"/>
            </w:rPr>
            <w:tab/>
          </w:r>
          <w:r>
            <w:rPr>
              <w:rStyle w:val="52"/>
              <w:rFonts w:ascii="宋体" w:hAnsi="宋体" w:cs="宋体"/>
            </w:rPr>
            <w:t>24口接入交换机</w:t>
          </w:r>
          <w:r>
            <w:tab/>
          </w:r>
          <w:r>
            <w:fldChar w:fldCharType="begin"/>
          </w:r>
          <w:r>
            <w:instrText xml:space="preserve"> PAGEREF _Toc46242017 \h </w:instrText>
          </w:r>
          <w:r>
            <w:fldChar w:fldCharType="separate"/>
          </w:r>
          <w:r>
            <w:t>49</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"_Toc46242018" </w:instrText>
          </w:r>
          <w:r>
            <w:fldChar w:fldCharType="separate"/>
          </w:r>
          <w:r>
            <w:rPr>
              <w:rStyle w:val="52"/>
              <w:rFonts w:ascii="宋体" w:hAnsi="宋体" w:cs="Arial"/>
            </w:rPr>
            <w:t>2.6.4.29.</w:t>
          </w:r>
          <w:r>
            <w:rPr>
              <w:rFonts w:asciiTheme="minorHAnsi" w:hAnsiTheme="minorHAnsi" w:eastAsiaTheme="minorEastAsia" w:cstheme="minorBidi"/>
            </w:rPr>
            <w:tab/>
          </w:r>
          <w:r>
            <w:rPr>
              <w:rStyle w:val="52"/>
              <w:rFonts w:ascii="宋体" w:hAnsi="宋体" w:cs="宋体"/>
            </w:rPr>
            <w:t>地市路由器</w:t>
          </w:r>
          <w:r>
            <w:tab/>
          </w:r>
          <w:r>
            <w:fldChar w:fldCharType="begin"/>
          </w:r>
          <w:r>
            <w:instrText xml:space="preserve"> PAGEREF _Toc46242018 \h </w:instrText>
          </w:r>
          <w:r>
            <w:fldChar w:fldCharType="separate"/>
          </w:r>
          <w:r>
            <w:t>50</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"_Toc46242019" </w:instrText>
          </w:r>
          <w:r>
            <w:fldChar w:fldCharType="separate"/>
          </w:r>
          <w:r>
            <w:rPr>
              <w:rStyle w:val="52"/>
              <w:rFonts w:ascii="宋体" w:hAnsi="宋体" w:cs="Arial"/>
            </w:rPr>
            <w:t>2.6.4.30.</w:t>
          </w:r>
          <w:r>
            <w:rPr>
              <w:rFonts w:asciiTheme="minorHAnsi" w:hAnsiTheme="minorHAnsi" w:eastAsiaTheme="minorEastAsia" w:cstheme="minorBidi"/>
            </w:rPr>
            <w:tab/>
          </w:r>
          <w:r>
            <w:rPr>
              <w:rStyle w:val="52"/>
              <w:rFonts w:ascii="宋体" w:hAnsi="宋体" w:cs="宋体"/>
            </w:rPr>
            <w:t>防火墙</w:t>
          </w:r>
          <w:r>
            <w:tab/>
          </w:r>
          <w:r>
            <w:fldChar w:fldCharType="begin"/>
          </w:r>
          <w:r>
            <w:instrText xml:space="preserve"> PAGEREF _Toc46242019 \h </w:instrText>
          </w:r>
          <w:r>
            <w:fldChar w:fldCharType="separate"/>
          </w:r>
          <w:r>
            <w:t>51</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"_Toc46242020" </w:instrText>
          </w:r>
          <w:r>
            <w:fldChar w:fldCharType="separate"/>
          </w:r>
          <w:r>
            <w:rPr>
              <w:rStyle w:val="52"/>
              <w:rFonts w:ascii="宋体" w:hAnsi="宋体" w:cs="Arial"/>
            </w:rPr>
            <w:t>2.6.4.31.</w:t>
          </w:r>
          <w:r>
            <w:rPr>
              <w:rFonts w:asciiTheme="minorHAnsi" w:hAnsiTheme="minorHAnsi" w:eastAsiaTheme="minorEastAsia" w:cstheme="minorBidi"/>
            </w:rPr>
            <w:tab/>
          </w:r>
          <w:r>
            <w:rPr>
              <w:rStyle w:val="52"/>
              <w:rFonts w:ascii="宋体" w:hAnsi="宋体" w:cs="宋体"/>
            </w:rPr>
            <w:t>安全一体机网关</w:t>
          </w:r>
          <w:r>
            <w:tab/>
          </w:r>
          <w:r>
            <w:fldChar w:fldCharType="begin"/>
          </w:r>
          <w:r>
            <w:instrText xml:space="preserve"> PAGEREF _Toc46242020 \h </w:instrText>
          </w:r>
          <w:r>
            <w:fldChar w:fldCharType="separate"/>
          </w:r>
          <w:r>
            <w:t>51</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"_Toc46242021" </w:instrText>
          </w:r>
          <w:r>
            <w:fldChar w:fldCharType="separate"/>
          </w:r>
          <w:r>
            <w:rPr>
              <w:rStyle w:val="52"/>
              <w:rFonts w:ascii="宋体" w:hAnsi="宋体" w:cs="宋体"/>
            </w:rPr>
            <w:t>2.7</w:t>
          </w:r>
          <w:r>
            <w:rPr>
              <w:rFonts w:asciiTheme="minorHAnsi" w:hAnsiTheme="minorHAnsi" w:eastAsiaTheme="minorEastAsia" w:cstheme="minorBidi"/>
            </w:rPr>
            <w:tab/>
          </w:r>
          <w:r>
            <w:rPr>
              <w:rStyle w:val="52"/>
              <w:rFonts w:ascii="宋体" w:hAnsi="宋体" w:cs="宋体"/>
            </w:rPr>
            <w:t>服务要求内容</w:t>
          </w:r>
          <w:r>
            <w:tab/>
          </w:r>
          <w:r>
            <w:fldChar w:fldCharType="begin"/>
          </w:r>
          <w:r>
            <w:instrText xml:space="preserve"> PAGEREF _Toc46242021 \h </w:instrText>
          </w:r>
          <w:r>
            <w:fldChar w:fldCharType="separate"/>
          </w:r>
          <w:r>
            <w:t>53</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"_Toc46242022" </w:instrText>
          </w:r>
          <w:r>
            <w:fldChar w:fldCharType="separate"/>
          </w:r>
          <w:r>
            <w:rPr>
              <w:rStyle w:val="52"/>
              <w:rFonts w:ascii="宋体" w:hAnsi="宋体" w:cs="Arial"/>
            </w:rPr>
            <w:t>2.7.1</w:t>
          </w:r>
          <w:r>
            <w:rPr>
              <w:rFonts w:asciiTheme="minorHAnsi" w:hAnsiTheme="minorHAnsi" w:eastAsiaTheme="minorEastAsia" w:cstheme="minorBidi"/>
            </w:rPr>
            <w:tab/>
          </w:r>
          <w:r>
            <w:rPr>
              <w:rStyle w:val="52"/>
              <w:rFonts w:ascii="宋体" w:hAnsi="宋体" w:cs="宋体"/>
            </w:rPr>
            <w:t>管理要求</w:t>
          </w:r>
          <w:r>
            <w:tab/>
          </w:r>
          <w:r>
            <w:fldChar w:fldCharType="begin"/>
          </w:r>
          <w:r>
            <w:instrText xml:space="preserve"> PAGEREF _Toc46242022 \h </w:instrText>
          </w:r>
          <w:r>
            <w:fldChar w:fldCharType="separate"/>
          </w:r>
          <w:r>
            <w:t>53</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"_Toc46242023" </w:instrText>
          </w:r>
          <w:r>
            <w:fldChar w:fldCharType="separate"/>
          </w:r>
          <w:r>
            <w:rPr>
              <w:rStyle w:val="52"/>
              <w:rFonts w:ascii="宋体" w:hAnsi="宋体" w:cs="Arial"/>
            </w:rPr>
            <w:t>2.7.1.1.</w:t>
          </w:r>
          <w:r>
            <w:rPr>
              <w:rFonts w:asciiTheme="minorHAnsi" w:hAnsiTheme="minorHAnsi" w:eastAsiaTheme="minorEastAsia" w:cstheme="minorBidi"/>
            </w:rPr>
            <w:tab/>
          </w:r>
          <w:r>
            <w:rPr>
              <w:rStyle w:val="52"/>
              <w:rFonts w:ascii="宋体" w:hAnsi="宋体" w:cs="宋体"/>
            </w:rPr>
            <w:t>服务人员</w:t>
          </w:r>
          <w:r>
            <w:tab/>
          </w:r>
          <w:r>
            <w:fldChar w:fldCharType="begin"/>
          </w:r>
          <w:r>
            <w:instrText xml:space="preserve"> PAGEREF _Toc46242023 \h </w:instrText>
          </w:r>
          <w:r>
            <w:fldChar w:fldCharType="separate"/>
          </w:r>
          <w:r>
            <w:t>53</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"_Toc46242024" </w:instrText>
          </w:r>
          <w:r>
            <w:fldChar w:fldCharType="separate"/>
          </w:r>
          <w:r>
            <w:rPr>
              <w:rStyle w:val="52"/>
              <w:rFonts w:ascii="宋体" w:hAnsi="宋体" w:cs="Arial"/>
            </w:rPr>
            <w:t>2.7.1.2.</w:t>
          </w:r>
          <w:r>
            <w:rPr>
              <w:rFonts w:asciiTheme="minorHAnsi" w:hAnsiTheme="minorHAnsi" w:eastAsiaTheme="minorEastAsia" w:cstheme="minorBidi"/>
            </w:rPr>
            <w:tab/>
          </w:r>
          <w:r>
            <w:rPr>
              <w:rStyle w:val="52"/>
              <w:rFonts w:ascii="宋体" w:hAnsi="宋体" w:cs="宋体"/>
            </w:rPr>
            <w:t>进度要求</w:t>
          </w:r>
          <w:r>
            <w:tab/>
          </w:r>
          <w:r>
            <w:fldChar w:fldCharType="begin"/>
          </w:r>
          <w:r>
            <w:instrText xml:space="preserve"> PAGEREF _Toc46242024 \h </w:instrText>
          </w:r>
          <w:r>
            <w:fldChar w:fldCharType="separate"/>
          </w:r>
          <w:r>
            <w:t>54</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"_Toc46242025" </w:instrText>
          </w:r>
          <w:r>
            <w:fldChar w:fldCharType="separate"/>
          </w:r>
          <w:r>
            <w:rPr>
              <w:rStyle w:val="52"/>
              <w:rFonts w:ascii="宋体" w:hAnsi="宋体" w:cs="Arial"/>
            </w:rPr>
            <w:t>2.7.1.3.</w:t>
          </w:r>
          <w:r>
            <w:rPr>
              <w:rFonts w:asciiTheme="minorHAnsi" w:hAnsiTheme="minorHAnsi" w:eastAsiaTheme="minorEastAsia" w:cstheme="minorBidi"/>
            </w:rPr>
            <w:tab/>
          </w:r>
          <w:r>
            <w:rPr>
              <w:rStyle w:val="52"/>
              <w:rFonts w:ascii="宋体" w:hAnsi="宋体" w:cs="宋体"/>
            </w:rPr>
            <w:t>组织实施要求</w:t>
          </w:r>
          <w:r>
            <w:tab/>
          </w:r>
          <w:r>
            <w:fldChar w:fldCharType="begin"/>
          </w:r>
          <w:r>
            <w:instrText xml:space="preserve"> PAGEREF _Toc46242025 \h </w:instrText>
          </w:r>
          <w:r>
            <w:fldChar w:fldCharType="separate"/>
          </w:r>
          <w:r>
            <w:t>54</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"_Toc46242026" </w:instrText>
          </w:r>
          <w:r>
            <w:fldChar w:fldCharType="separate"/>
          </w:r>
          <w:r>
            <w:rPr>
              <w:rStyle w:val="52"/>
              <w:rFonts w:ascii="宋体" w:hAnsi="宋体" w:cs="Arial"/>
            </w:rPr>
            <w:t>2.7.1.4.</w:t>
          </w:r>
          <w:r>
            <w:rPr>
              <w:rFonts w:asciiTheme="minorHAnsi" w:hAnsiTheme="minorHAnsi" w:eastAsiaTheme="minorEastAsia" w:cstheme="minorBidi"/>
            </w:rPr>
            <w:tab/>
          </w:r>
          <w:r>
            <w:rPr>
              <w:rStyle w:val="52"/>
              <w:rFonts w:ascii="宋体" w:hAnsi="宋体" w:cs="宋体"/>
            </w:rPr>
            <w:t>售后服务及质保期要求</w:t>
          </w:r>
          <w:r>
            <w:tab/>
          </w:r>
          <w:r>
            <w:fldChar w:fldCharType="begin"/>
          </w:r>
          <w:r>
            <w:instrText xml:space="preserve"> PAGEREF _Toc46242026 \h </w:instrText>
          </w:r>
          <w:r>
            <w:fldChar w:fldCharType="separate"/>
          </w:r>
          <w:r>
            <w:t>54</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"_Toc46242027" </w:instrText>
          </w:r>
          <w:r>
            <w:fldChar w:fldCharType="separate"/>
          </w:r>
          <w:r>
            <w:rPr>
              <w:rStyle w:val="52"/>
              <w:rFonts w:ascii="宋体" w:hAnsi="宋体" w:cs="Arial"/>
            </w:rPr>
            <w:t>2.7.1.5.</w:t>
          </w:r>
          <w:r>
            <w:rPr>
              <w:rFonts w:asciiTheme="minorHAnsi" w:hAnsiTheme="minorHAnsi" w:eastAsiaTheme="minorEastAsia" w:cstheme="minorBidi"/>
            </w:rPr>
            <w:tab/>
          </w:r>
          <w:r>
            <w:rPr>
              <w:rStyle w:val="52"/>
              <w:rFonts w:ascii="宋体" w:hAnsi="宋体" w:cs="宋体"/>
            </w:rPr>
            <w:t>培训要求</w:t>
          </w:r>
          <w:r>
            <w:tab/>
          </w:r>
          <w:r>
            <w:fldChar w:fldCharType="begin"/>
          </w:r>
          <w:r>
            <w:instrText xml:space="preserve"> PAGEREF _Toc46242027 \h </w:instrText>
          </w:r>
          <w:r>
            <w:fldChar w:fldCharType="separate"/>
          </w:r>
          <w:r>
            <w:t>55</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"_Toc46242028" </w:instrText>
          </w:r>
          <w:r>
            <w:fldChar w:fldCharType="separate"/>
          </w:r>
          <w:r>
            <w:rPr>
              <w:rStyle w:val="52"/>
              <w:rFonts w:ascii="宋体" w:hAnsi="宋体" w:cs="Arial"/>
            </w:rPr>
            <w:t>2.7.2</w:t>
          </w:r>
          <w:r>
            <w:rPr>
              <w:rFonts w:asciiTheme="minorHAnsi" w:hAnsiTheme="minorHAnsi" w:eastAsiaTheme="minorEastAsia" w:cstheme="minorBidi"/>
            </w:rPr>
            <w:tab/>
          </w:r>
          <w:r>
            <w:rPr>
              <w:rStyle w:val="52"/>
              <w:rFonts w:ascii="宋体" w:hAnsi="宋体" w:cs="宋体"/>
            </w:rPr>
            <w:t>验收要求</w:t>
          </w:r>
          <w:r>
            <w:tab/>
          </w:r>
          <w:r>
            <w:fldChar w:fldCharType="begin"/>
          </w:r>
          <w:r>
            <w:instrText xml:space="preserve"> PAGEREF _Toc46242028 \h </w:instrText>
          </w:r>
          <w:r>
            <w:fldChar w:fldCharType="separate"/>
          </w:r>
          <w:r>
            <w:t>55</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"_Toc46242029" </w:instrText>
          </w:r>
          <w:r>
            <w:fldChar w:fldCharType="separate"/>
          </w:r>
          <w:r>
            <w:rPr>
              <w:rStyle w:val="52"/>
              <w:rFonts w:ascii="宋体" w:hAnsi="宋体" w:cs="Arial"/>
            </w:rPr>
            <w:t>2.7.2.1.</w:t>
          </w:r>
          <w:r>
            <w:rPr>
              <w:rFonts w:asciiTheme="minorHAnsi" w:hAnsiTheme="minorHAnsi" w:eastAsiaTheme="minorEastAsia" w:cstheme="minorBidi"/>
            </w:rPr>
            <w:tab/>
          </w:r>
          <w:r>
            <w:rPr>
              <w:rStyle w:val="52"/>
              <w:rFonts w:ascii="宋体" w:hAnsi="宋体" w:cs="宋体"/>
            </w:rPr>
            <w:t>验收指标</w:t>
          </w:r>
          <w:r>
            <w:tab/>
          </w:r>
          <w:r>
            <w:fldChar w:fldCharType="begin"/>
          </w:r>
          <w:r>
            <w:instrText xml:space="preserve"> PAGEREF _Toc46242029 \h </w:instrText>
          </w:r>
          <w:r>
            <w:fldChar w:fldCharType="separate"/>
          </w:r>
          <w:r>
            <w:t>55</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"_Toc46242030" </w:instrText>
          </w:r>
          <w:r>
            <w:fldChar w:fldCharType="separate"/>
          </w:r>
          <w:r>
            <w:rPr>
              <w:rStyle w:val="52"/>
              <w:rFonts w:ascii="宋体" w:hAnsi="宋体" w:cs="Arial"/>
            </w:rPr>
            <w:t>2.7.2.2.</w:t>
          </w:r>
          <w:r>
            <w:rPr>
              <w:rFonts w:asciiTheme="minorHAnsi" w:hAnsiTheme="minorHAnsi" w:eastAsiaTheme="minorEastAsia" w:cstheme="minorBidi"/>
            </w:rPr>
            <w:tab/>
          </w:r>
          <w:r>
            <w:rPr>
              <w:rStyle w:val="52"/>
              <w:rFonts w:ascii="宋体" w:hAnsi="宋体" w:cs="宋体"/>
            </w:rPr>
            <w:t>验收要求</w:t>
          </w:r>
          <w:r>
            <w:tab/>
          </w:r>
          <w:r>
            <w:fldChar w:fldCharType="begin"/>
          </w:r>
          <w:r>
            <w:instrText xml:space="preserve"> PAGEREF _Toc46242030 \h </w:instrText>
          </w:r>
          <w:r>
            <w:fldChar w:fldCharType="separate"/>
          </w:r>
          <w:r>
            <w:t>56</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"_Toc46242031" </w:instrText>
          </w:r>
          <w:r>
            <w:fldChar w:fldCharType="separate"/>
          </w:r>
          <w:r>
            <w:rPr>
              <w:rStyle w:val="52"/>
              <w:rFonts w:ascii="宋体" w:hAnsi="宋体" w:cs="Arial"/>
            </w:rPr>
            <w:t>2.7.3</w:t>
          </w:r>
          <w:r>
            <w:rPr>
              <w:rFonts w:asciiTheme="minorHAnsi" w:hAnsiTheme="minorHAnsi" w:eastAsiaTheme="minorEastAsia" w:cstheme="minorBidi"/>
            </w:rPr>
            <w:tab/>
          </w:r>
          <w:r>
            <w:rPr>
              <w:rStyle w:val="52"/>
              <w:rFonts w:ascii="宋体" w:hAnsi="宋体" w:cs="宋体"/>
            </w:rPr>
            <w:t>其他要求</w:t>
          </w:r>
          <w:r>
            <w:tab/>
          </w:r>
          <w:r>
            <w:fldChar w:fldCharType="begin"/>
          </w:r>
          <w:r>
            <w:instrText xml:space="preserve"> PAGEREF _Toc46242031 \h </w:instrText>
          </w:r>
          <w:r>
            <w:fldChar w:fldCharType="separate"/>
          </w:r>
          <w:r>
            <w:t>57</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"_Toc46242032" </w:instrText>
          </w:r>
          <w:r>
            <w:fldChar w:fldCharType="separate"/>
          </w:r>
          <w:r>
            <w:rPr>
              <w:rStyle w:val="52"/>
              <w:rFonts w:ascii="宋体" w:hAnsi="宋体" w:cs="Arial"/>
            </w:rPr>
            <w:t>2.7.3.1.</w:t>
          </w:r>
          <w:r>
            <w:rPr>
              <w:rFonts w:asciiTheme="minorHAnsi" w:hAnsiTheme="minorHAnsi" w:eastAsiaTheme="minorEastAsia" w:cstheme="minorBidi"/>
            </w:rPr>
            <w:tab/>
          </w:r>
          <w:r>
            <w:rPr>
              <w:rStyle w:val="52"/>
              <w:rFonts w:ascii="宋体" w:hAnsi="宋体" w:cs="宋体"/>
            </w:rPr>
            <w:t>资产权属</w:t>
          </w:r>
          <w:r>
            <w:tab/>
          </w:r>
          <w:r>
            <w:fldChar w:fldCharType="begin"/>
          </w:r>
          <w:r>
            <w:instrText xml:space="preserve"> PAGEREF _Toc46242032 \h </w:instrText>
          </w:r>
          <w:r>
            <w:fldChar w:fldCharType="separate"/>
          </w:r>
          <w:r>
            <w:t>57</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"_Toc46242033" </w:instrText>
          </w:r>
          <w:r>
            <w:fldChar w:fldCharType="separate"/>
          </w:r>
          <w:r>
            <w:rPr>
              <w:rStyle w:val="52"/>
              <w:rFonts w:ascii="宋体" w:hAnsi="宋体" w:cs="Arial"/>
            </w:rPr>
            <w:t>2.7.3.2.</w:t>
          </w:r>
          <w:r>
            <w:rPr>
              <w:rFonts w:asciiTheme="minorHAnsi" w:hAnsiTheme="minorHAnsi" w:eastAsiaTheme="minorEastAsia" w:cstheme="minorBidi"/>
            </w:rPr>
            <w:tab/>
          </w:r>
          <w:r>
            <w:rPr>
              <w:rStyle w:val="52"/>
              <w:rFonts w:ascii="宋体" w:hAnsi="宋体" w:cs="宋体"/>
            </w:rPr>
            <w:t>保密要求</w:t>
          </w:r>
          <w:r>
            <w:tab/>
          </w:r>
          <w:r>
            <w:fldChar w:fldCharType="begin"/>
          </w:r>
          <w:r>
            <w:instrText xml:space="preserve"> PAGEREF _Toc46242033 \h </w:instrText>
          </w:r>
          <w:r>
            <w:fldChar w:fldCharType="separate"/>
          </w:r>
          <w:r>
            <w:t>58</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"_Toc46242034" </w:instrText>
          </w:r>
          <w:r>
            <w:fldChar w:fldCharType="separate"/>
          </w:r>
          <w:r>
            <w:rPr>
              <w:rStyle w:val="52"/>
              <w:rFonts w:ascii="宋体" w:hAnsi="宋体" w:cs="Arial"/>
            </w:rPr>
            <w:t>2.7.3.3.</w:t>
          </w:r>
          <w:r>
            <w:rPr>
              <w:rFonts w:asciiTheme="minorHAnsi" w:hAnsiTheme="minorHAnsi" w:eastAsiaTheme="minorEastAsia" w:cstheme="minorBidi"/>
            </w:rPr>
            <w:tab/>
          </w:r>
          <w:r>
            <w:rPr>
              <w:rStyle w:val="52"/>
              <w:rFonts w:ascii="宋体" w:hAnsi="宋体" w:cs="宋体"/>
            </w:rPr>
            <w:t>监理要求</w:t>
          </w:r>
          <w:r>
            <w:tab/>
          </w:r>
          <w:r>
            <w:fldChar w:fldCharType="begin"/>
          </w:r>
          <w:r>
            <w:instrText xml:space="preserve"> PAGEREF _Toc46242034 \h </w:instrText>
          </w:r>
          <w:r>
            <w:fldChar w:fldCharType="separate"/>
          </w:r>
          <w:r>
            <w:t>58</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"_Toc46242035" </w:instrText>
          </w:r>
          <w:r>
            <w:fldChar w:fldCharType="separate"/>
          </w:r>
          <w:r>
            <w:rPr>
              <w:rStyle w:val="52"/>
              <w:rFonts w:ascii="宋体" w:hAnsi="宋体" w:cs="Arial"/>
            </w:rPr>
            <w:t>2.7.4</w:t>
          </w:r>
          <w:r>
            <w:rPr>
              <w:rFonts w:asciiTheme="minorHAnsi" w:hAnsiTheme="minorHAnsi" w:eastAsiaTheme="minorEastAsia" w:cstheme="minorBidi"/>
            </w:rPr>
            <w:tab/>
          </w:r>
          <w:r>
            <w:rPr>
              <w:rStyle w:val="52"/>
              <w:rFonts w:ascii="宋体" w:hAnsi="宋体" w:cs="宋体"/>
            </w:rPr>
            <w:t>付款方式</w:t>
          </w:r>
          <w:r>
            <w:tab/>
          </w:r>
          <w:r>
            <w:fldChar w:fldCharType="begin"/>
          </w:r>
          <w:r>
            <w:instrText xml:space="preserve"> PAGEREF _Toc46242035 \h </w:instrText>
          </w:r>
          <w:r>
            <w:fldChar w:fldCharType="separate"/>
          </w:r>
          <w:r>
            <w:t>58</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"_Toc46242036" </w:instrText>
          </w:r>
          <w:r>
            <w:fldChar w:fldCharType="separate"/>
          </w:r>
          <w:r>
            <w:rPr>
              <w:rStyle w:val="52"/>
              <w:rFonts w:ascii="宋体" w:hAnsi="宋体" w:cs="Arial"/>
            </w:rPr>
            <w:t>2.7.4.1.</w:t>
          </w:r>
          <w:r>
            <w:rPr>
              <w:rFonts w:asciiTheme="minorHAnsi" w:hAnsiTheme="minorHAnsi" w:eastAsiaTheme="minorEastAsia" w:cstheme="minorBidi"/>
            </w:rPr>
            <w:tab/>
          </w:r>
          <w:r>
            <w:rPr>
              <w:rStyle w:val="52"/>
              <w:rFonts w:ascii="宋体" w:hAnsi="宋体" w:cs="宋体"/>
            </w:rPr>
            <w:t>预付款</w:t>
          </w:r>
          <w:r>
            <w:tab/>
          </w:r>
          <w:r>
            <w:fldChar w:fldCharType="begin"/>
          </w:r>
          <w:r>
            <w:instrText xml:space="preserve"> PAGEREF _Toc46242036 \h </w:instrText>
          </w:r>
          <w:r>
            <w:fldChar w:fldCharType="separate"/>
          </w:r>
          <w:r>
            <w:t>58</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"_Toc46242037" </w:instrText>
          </w:r>
          <w:r>
            <w:fldChar w:fldCharType="separate"/>
          </w:r>
          <w:r>
            <w:rPr>
              <w:rStyle w:val="52"/>
              <w:rFonts w:ascii="宋体" w:hAnsi="宋体" w:cs="Arial"/>
            </w:rPr>
            <w:t>2.7.4.2.</w:t>
          </w:r>
          <w:r>
            <w:rPr>
              <w:rFonts w:asciiTheme="minorHAnsi" w:hAnsiTheme="minorHAnsi" w:eastAsiaTheme="minorEastAsia" w:cstheme="minorBidi"/>
            </w:rPr>
            <w:tab/>
          </w:r>
          <w:r>
            <w:rPr>
              <w:rStyle w:val="52"/>
              <w:rFonts w:ascii="宋体" w:hAnsi="宋体" w:cs="宋体"/>
            </w:rPr>
            <w:t>项目验收款</w:t>
          </w:r>
          <w:r>
            <w:tab/>
          </w:r>
          <w:r>
            <w:fldChar w:fldCharType="begin"/>
          </w:r>
          <w:r>
            <w:instrText xml:space="preserve"> PAGEREF _Toc46242037 \h </w:instrText>
          </w:r>
          <w:r>
            <w:fldChar w:fldCharType="separate"/>
          </w:r>
          <w:r>
            <w:t>59</w:t>
          </w:r>
          <w:r>
            <w:fldChar w:fldCharType="end"/>
          </w:r>
          <w:r>
            <w:fldChar w:fldCharType="end"/>
          </w:r>
        </w:p>
        <w:p>
          <w:pPr>
            <w:pStyle w:val="26"/>
            <w:tabs>
              <w:tab w:val="left" w:pos="2100"/>
              <w:tab w:val="right" w:leader="dot" w:pos="9060"/>
            </w:tabs>
            <w:rPr>
              <w:rFonts w:asciiTheme="minorHAnsi" w:hAnsiTheme="minorHAnsi" w:eastAsiaTheme="minorEastAsia" w:cstheme="minorBidi"/>
            </w:rPr>
          </w:pPr>
          <w:r>
            <w:fldChar w:fldCharType="begin"/>
          </w:r>
          <w:r>
            <w:instrText xml:space="preserve"> HYPERLINK \l "_Toc46242038" </w:instrText>
          </w:r>
          <w:r>
            <w:fldChar w:fldCharType="separate"/>
          </w:r>
          <w:r>
            <w:rPr>
              <w:rStyle w:val="52"/>
              <w:rFonts w:ascii="宋体" w:hAnsi="宋体" w:cs="Arial"/>
            </w:rPr>
            <w:t>2.7.4.3.</w:t>
          </w:r>
          <w:r>
            <w:rPr>
              <w:rFonts w:asciiTheme="minorHAnsi" w:hAnsiTheme="minorHAnsi" w:eastAsiaTheme="minorEastAsia" w:cstheme="minorBidi"/>
            </w:rPr>
            <w:tab/>
          </w:r>
          <w:r>
            <w:rPr>
              <w:rStyle w:val="52"/>
              <w:rFonts w:ascii="宋体" w:hAnsi="宋体" w:cs="宋体"/>
            </w:rPr>
            <w:t>预付款保函的退还</w:t>
          </w:r>
          <w:r>
            <w:tab/>
          </w:r>
          <w:r>
            <w:fldChar w:fldCharType="begin"/>
          </w:r>
          <w:r>
            <w:instrText xml:space="preserve"> PAGEREF _Toc46242038 \h </w:instrText>
          </w:r>
          <w:r>
            <w:fldChar w:fldCharType="separate"/>
          </w:r>
          <w:r>
            <w:t>59</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"_Toc46242039" </w:instrText>
          </w:r>
          <w:r>
            <w:fldChar w:fldCharType="separate"/>
          </w:r>
          <w:r>
            <w:rPr>
              <w:rStyle w:val="52"/>
              <w:rFonts w:ascii="宋体" w:hAnsi="宋体" w:cs="宋体"/>
            </w:rPr>
            <w:t>2.8</w:t>
          </w:r>
          <w:r>
            <w:rPr>
              <w:rFonts w:asciiTheme="minorHAnsi" w:hAnsiTheme="minorHAnsi" w:eastAsiaTheme="minorEastAsia" w:cstheme="minorBidi"/>
            </w:rPr>
            <w:tab/>
          </w:r>
          <w:r>
            <w:rPr>
              <w:rStyle w:val="52"/>
              <w:rFonts w:ascii="宋体" w:hAnsi="宋体" w:cs="宋体"/>
            </w:rPr>
            <w:t>评分</w:t>
          </w:r>
          <w:r>
            <w:tab/>
          </w:r>
          <w:r>
            <w:fldChar w:fldCharType="begin"/>
          </w:r>
          <w:r>
            <w:instrText xml:space="preserve"> PAGEREF _Toc46242039 \h </w:instrText>
          </w:r>
          <w:r>
            <w:fldChar w:fldCharType="separate"/>
          </w:r>
          <w:r>
            <w:t>60</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"_Toc46242040" </w:instrText>
          </w:r>
          <w:r>
            <w:fldChar w:fldCharType="separate"/>
          </w:r>
          <w:r>
            <w:rPr>
              <w:rStyle w:val="52"/>
              <w:rFonts w:ascii="宋体" w:hAnsi="宋体" w:cs="Arial"/>
            </w:rPr>
            <w:t>2.8.1</w:t>
          </w:r>
          <w:r>
            <w:rPr>
              <w:rFonts w:asciiTheme="minorHAnsi" w:hAnsiTheme="minorHAnsi" w:eastAsiaTheme="minorEastAsia" w:cstheme="minorBidi"/>
            </w:rPr>
            <w:tab/>
          </w:r>
          <w:r>
            <w:rPr>
              <w:rStyle w:val="52"/>
              <w:rFonts w:ascii="宋体" w:hAnsi="宋体" w:cs="宋体"/>
            </w:rPr>
            <w:t>技术评分</w:t>
          </w:r>
          <w:r>
            <w:tab/>
          </w:r>
          <w:r>
            <w:fldChar w:fldCharType="begin"/>
          </w:r>
          <w:r>
            <w:instrText xml:space="preserve"> PAGEREF _Toc46242040 \h </w:instrText>
          </w:r>
          <w:r>
            <w:fldChar w:fldCharType="separate"/>
          </w:r>
          <w:r>
            <w:t>60</w:t>
          </w:r>
          <w:r>
            <w:fldChar w:fldCharType="end"/>
          </w:r>
          <w:r>
            <w:fldChar w:fldCharType="end"/>
          </w:r>
        </w:p>
        <w:p>
          <w:pPr>
            <w:pStyle w:val="26"/>
            <w:tabs>
              <w:tab w:val="left" w:pos="1680"/>
              <w:tab w:val="right" w:leader="dot" w:pos="9060"/>
            </w:tabs>
            <w:rPr>
              <w:rFonts w:asciiTheme="minorHAnsi" w:hAnsiTheme="minorHAnsi" w:eastAsiaTheme="minorEastAsia" w:cstheme="minorBidi"/>
            </w:rPr>
          </w:pPr>
          <w:r>
            <w:fldChar w:fldCharType="begin"/>
          </w:r>
          <w:r>
            <w:instrText xml:space="preserve"> HYPERLINK \l "_Toc46242041" </w:instrText>
          </w:r>
          <w:r>
            <w:fldChar w:fldCharType="separate"/>
          </w:r>
          <w:r>
            <w:rPr>
              <w:rStyle w:val="52"/>
              <w:rFonts w:ascii="宋体" w:hAnsi="宋体" w:cs="Arial"/>
            </w:rPr>
            <w:t>2.8.2</w:t>
          </w:r>
          <w:r>
            <w:rPr>
              <w:rFonts w:asciiTheme="minorHAnsi" w:hAnsiTheme="minorHAnsi" w:eastAsiaTheme="minorEastAsia" w:cstheme="minorBidi"/>
            </w:rPr>
            <w:tab/>
          </w:r>
          <w:r>
            <w:rPr>
              <w:rStyle w:val="52"/>
              <w:rFonts w:ascii="宋体" w:hAnsi="宋体" w:cs="宋体"/>
            </w:rPr>
            <w:t>商务评分</w:t>
          </w:r>
          <w:r>
            <w:tab/>
          </w:r>
          <w:r>
            <w:fldChar w:fldCharType="begin"/>
          </w:r>
          <w:r>
            <w:instrText xml:space="preserve"> PAGEREF _Toc46242041 \h </w:instrText>
          </w:r>
          <w:r>
            <w:fldChar w:fldCharType="separate"/>
          </w:r>
          <w:r>
            <w:t>60</w:t>
          </w:r>
          <w:r>
            <w:fldChar w:fldCharType="end"/>
          </w:r>
          <w:r>
            <w:fldChar w:fldCharType="end"/>
          </w:r>
        </w:p>
        <w:p>
          <w:pPr>
            <w:rPr>
              <w:rFonts w:ascii="宋体" w:hAnsi="宋体" w:cs="宋体"/>
            </w:rPr>
          </w:pPr>
          <w:r>
            <w:rPr>
              <w:rFonts w:hint="eastAsia" w:ascii="宋体" w:hAnsi="宋体" w:cs="宋体"/>
              <w:bCs/>
              <w:lang w:val="zh-CN"/>
            </w:rPr>
            <w:fldChar w:fldCharType="end"/>
          </w:r>
        </w:p>
      </w:sdtContent>
    </w:sdt>
    <w:p>
      <w:pPr>
        <w:tabs>
          <w:tab w:val="left" w:pos="420"/>
          <w:tab w:val="left" w:pos="6660"/>
        </w:tabs>
        <w:jc w:val="center"/>
        <w:rPr>
          <w:rFonts w:ascii="宋体" w:hAnsi="宋体" w:cs="宋体"/>
          <w:b/>
          <w:sz w:val="48"/>
          <w:szCs w:val="48"/>
        </w:rPr>
        <w:sectPr>
          <w:footerReference r:id="rId4" w:type="default"/>
          <w:pgSz w:w="11906" w:h="16838"/>
          <w:pgMar w:top="851" w:right="1418" w:bottom="851" w:left="1418" w:header="851" w:footer="992" w:gutter="0"/>
          <w:cols w:space="720" w:num="1"/>
          <w:docGrid w:type="lines" w:linePitch="312" w:charSpace="0"/>
        </w:sectPr>
      </w:pPr>
    </w:p>
    <w:p>
      <w:pPr>
        <w:pStyle w:val="20"/>
        <w:spacing w:line="360" w:lineRule="auto"/>
        <w:rPr>
          <w:rFonts w:ascii="宋体" w:hAnsi="宋体" w:cs="宋体"/>
          <w:sz w:val="24"/>
          <w:szCs w:val="24"/>
        </w:rPr>
      </w:pPr>
      <w:bookmarkStart w:id="0" w:name="EB1180e1e05f054f79bc3a335c1bd8e577"/>
      <w:bookmarkEnd w:id="0"/>
      <w:bookmarkStart w:id="1" w:name="EB98856677413d47c3955624c381d111d5"/>
      <w:bookmarkEnd w:id="1"/>
      <w:bookmarkStart w:id="2" w:name="_Toc46308527"/>
      <w:bookmarkStart w:id="3" w:name="_Toc50276156"/>
      <w:bookmarkStart w:id="4" w:name="_Toc98579010"/>
      <w:bookmarkStart w:id="5" w:name="_Toc37331038"/>
      <w:bookmarkStart w:id="6" w:name="_Toc40762370"/>
      <w:bookmarkStart w:id="7" w:name="_Toc175644388"/>
      <w:bookmarkStart w:id="8" w:name="_Toc37581420"/>
      <w:bookmarkStart w:id="9" w:name="_Toc401575143"/>
      <w:bookmarkStart w:id="10" w:name="_Toc101771371"/>
      <w:bookmarkStart w:id="11" w:name="_Toc37331080"/>
      <w:bookmarkStart w:id="12" w:name="_Toc101775124"/>
      <w:bookmarkStart w:id="13" w:name="_Toc37245277"/>
      <w:bookmarkStart w:id="14" w:name="_Toc50276195"/>
      <w:bookmarkStart w:id="15" w:name="_Toc98580292"/>
      <w:bookmarkStart w:id="16" w:name="_Toc98579068"/>
      <w:bookmarkStart w:id="17" w:name="_Toc37663391"/>
      <w:bookmarkStart w:id="18" w:name="_Toc37569519"/>
      <w:bookmarkStart w:id="19" w:name="_Toc98035088"/>
      <w:bookmarkStart w:id="20" w:name="_Toc403491565"/>
      <w:bookmarkStart w:id="21" w:name="_Toc37245276"/>
      <w:bookmarkStart w:id="22" w:name="_Toc101951257"/>
      <w:bookmarkStart w:id="23" w:name="_Toc46308683"/>
      <w:bookmarkStart w:id="24" w:name="_Toc101843124"/>
      <w:bookmarkStart w:id="25" w:name="_Toc98579609"/>
    </w:p>
    <w:p>
      <w:pPr>
        <w:pStyle w:val="3"/>
        <w:ind w:left="1124" w:hanging="1124" w:hangingChars="350"/>
        <w:rPr>
          <w:rFonts w:hAnsi="宋体"/>
          <w:b/>
        </w:rPr>
      </w:pPr>
      <w:bookmarkStart w:id="26" w:name="_Toc528593560"/>
      <w:bookmarkStart w:id="27" w:name="_Toc46241971"/>
      <w:r>
        <w:rPr>
          <w:rFonts w:hint="eastAsia" w:hAnsi="宋体"/>
          <w:b/>
        </w:rPr>
        <w:t xml:space="preserve">第1部分 </w:t>
      </w:r>
      <w:r>
        <w:rPr>
          <w:rFonts w:hint="eastAsia" w:hAnsi="宋体"/>
          <w:b/>
          <w:sz w:val="24"/>
          <w:szCs w:val="24"/>
        </w:rPr>
        <w:t xml:space="preserve"> </w:t>
      </w:r>
      <w:bookmarkStart w:id="28" w:name="_Toc528444265"/>
      <w:r>
        <w:rPr>
          <w:rFonts w:hint="eastAsia" w:hAnsi="宋体"/>
          <w:b/>
        </w:rPr>
        <w:t>投标邀请函</w:t>
      </w:r>
      <w:bookmarkEnd w:id="26"/>
      <w:bookmarkEnd w:id="27"/>
      <w:bookmarkEnd w:id="28"/>
    </w:p>
    <w:p>
      <w:pPr>
        <w:pStyle w:val="6"/>
        <w:spacing w:line="360" w:lineRule="auto"/>
        <w:rPr>
          <w:rFonts w:ascii="宋体" w:hAnsi="宋体" w:eastAsia="宋体" w:cs="宋体"/>
          <w:sz w:val="24"/>
          <w:szCs w:val="24"/>
        </w:rPr>
      </w:pPr>
      <w:bookmarkStart w:id="29" w:name="_Toc364084811"/>
      <w:bookmarkStart w:id="30" w:name="_Toc387787480"/>
      <w:bookmarkStart w:id="31" w:name="_Toc360898660"/>
      <w:bookmarkStart w:id="32" w:name="_Toc350864258"/>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 xml:space="preserve">一、采购项目编号： </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二、采购项目名称：</w:t>
      </w:r>
      <w:r>
        <w:rPr>
          <w:rFonts w:hint="eastAsia" w:ascii="宋体" w:hAnsi="宋体" w:eastAsia="宋体" w:cs="宋体"/>
          <w:bCs/>
          <w:sz w:val="24"/>
          <w:szCs w:val="24"/>
        </w:rPr>
        <w:t xml:space="preserve"> </w:t>
      </w:r>
      <w:r>
        <w:rPr>
          <w:rFonts w:hint="eastAsia" w:ascii="宋体" w:hAnsi="宋体" w:eastAsia="宋体" w:cs="宋体"/>
          <w:sz w:val="21"/>
          <w:szCs w:val="21"/>
        </w:rPr>
        <w:t xml:space="preserve">全省生态环境监测网络互联互通标准化整合项目   </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三、采购预算：总体预算限额</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万元</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四、项目内容及需求：(采购项目技术规格、参数及要求)</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 xml:space="preserve">1、采购内容： </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2、交货期： 合同生效后18个月内完成</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 xml:space="preserve">3、交货地点：广东省环境监测中心指定地点 </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4、本项目不接受备选方案，不接受进口产品投标</w:t>
      </w:r>
      <w:r>
        <w:rPr>
          <w:rFonts w:ascii="宋体" w:hAnsi="宋体"/>
          <w:szCs w:val="21"/>
        </w:rPr>
        <w:t>。</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五、投标供应商资格：</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1. 投标人应具备《政府采购法》第二十二条规定的条件。</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2. 供应商必须是具有独立承担民事责任能力的在中华人民共和国境内注册的法人或其他组织，投标时提交有效的营业执照（或事业法人登记证等相关证明）副本复印件。</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3. 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集中采购机构于报价截止日当天在“信用中国”网站（www.creditchina.gov.cn）及中国政府采购网(www.ccgp.gov.cn)查询结果为准，如相关失信记录已失效，供应商需提供相关证明资料）。</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★本次采购产品为非进口产品（进口产品指通过中国海关报关验放进入中国境内且产自关境外的产品）。</w:t>
      </w:r>
    </w:p>
    <w:p>
      <w:pPr>
        <w:pStyle w:val="6"/>
        <w:spacing w:line="360" w:lineRule="auto"/>
        <w:ind w:right="-53" w:firstLine="444" w:firstLineChars="200"/>
        <w:rPr>
          <w:rFonts w:ascii="宋体" w:hAnsi="宋体" w:eastAsia="宋体" w:cs="宋体"/>
          <w:sz w:val="21"/>
          <w:szCs w:val="21"/>
        </w:rPr>
      </w:pPr>
      <w:r>
        <w:rPr>
          <w:rFonts w:hint="eastAsia" w:ascii="宋体" w:hAnsi="宋体" w:eastAsia="宋体" w:cs="宋体"/>
          <w:sz w:val="21"/>
          <w:szCs w:val="21"/>
        </w:rPr>
        <w:t>★凡属于政府强制采购节能产品，请投标人承诺在交货时提供《节能产品政府采购清单》中的产品。（注：《节能产品政府采购清单》投标人可查询中国政府采购网&lt;http://www.ccgp.gov.cn&gt;。）</w:t>
      </w:r>
    </w:p>
    <w:p>
      <w:pPr>
        <w:pStyle w:val="6"/>
        <w:spacing w:line="360" w:lineRule="auto"/>
        <w:ind w:right="-53" w:firstLine="444" w:firstLineChars="200"/>
        <w:rPr>
          <w:rFonts w:ascii="宋体" w:hAnsi="宋体" w:eastAsia="宋体" w:cs="宋体"/>
          <w:bCs/>
          <w:sz w:val="21"/>
          <w:szCs w:val="21"/>
        </w:rPr>
      </w:pPr>
      <w:r>
        <w:rPr>
          <w:rFonts w:hint="eastAsia" w:ascii="宋体" w:hAnsi="宋体" w:eastAsia="宋体" w:cs="宋体"/>
          <w:sz w:val="21"/>
          <w:szCs w:val="21"/>
        </w:rPr>
        <w:t>★</w:t>
      </w:r>
      <w:r>
        <w:rPr>
          <w:rFonts w:hint="eastAsia" w:ascii="宋体" w:hAnsi="宋体" w:eastAsia="宋体" w:cs="宋体"/>
          <w:bCs/>
          <w:sz w:val="21"/>
          <w:szCs w:val="21"/>
        </w:rPr>
        <w:t>凡属于《中华人民共和国实施强制性产品认证的产品目录》的产品，交货时不能提供超出此目录范畴外的替代品，产品还须同时具备国家认证认可监督管理委员会颁布《中国强制认证》（CCC认证）。</w:t>
      </w:r>
    </w:p>
    <w:p>
      <w:pPr>
        <w:pStyle w:val="3"/>
        <w:ind w:left="1124" w:hanging="1124" w:hangingChars="350"/>
        <w:rPr>
          <w:rFonts w:hAnsi="宋体"/>
          <w:b/>
        </w:rPr>
      </w:pPr>
      <w:bookmarkStart w:id="33" w:name="_Toc528593561"/>
      <w:bookmarkStart w:id="34" w:name="_Toc46241972"/>
      <w:bookmarkStart w:id="35" w:name="_Toc458468974"/>
      <w:r>
        <w:rPr>
          <w:rFonts w:hint="eastAsia" w:hAnsi="宋体"/>
          <w:b/>
        </w:rPr>
        <w:t xml:space="preserve">第2部分 </w:t>
      </w:r>
      <w:r>
        <w:rPr>
          <w:rFonts w:hint="eastAsia" w:hAnsi="宋体"/>
          <w:b/>
          <w:sz w:val="24"/>
          <w:szCs w:val="24"/>
        </w:rPr>
        <w:t xml:space="preserve"> </w:t>
      </w:r>
      <w:r>
        <w:rPr>
          <w:rFonts w:hint="eastAsia" w:hAnsi="宋体"/>
          <w:b/>
          <w:szCs w:val="32"/>
        </w:rPr>
        <w:t>用户需求书</w:t>
      </w:r>
      <w:bookmarkEnd w:id="33"/>
      <w:bookmarkEnd w:id="34"/>
      <w:bookmarkStart w:id="36" w:name="_Toc528593562"/>
      <w:bookmarkEnd w:id="36"/>
      <w:bookmarkStart w:id="37" w:name="_Toc528526755"/>
      <w:bookmarkEnd w:id="37"/>
      <w:bookmarkStart w:id="38" w:name="_Toc528526924"/>
      <w:bookmarkEnd w:id="38"/>
      <w:bookmarkStart w:id="39" w:name="_Toc6924457"/>
      <w:bookmarkEnd w:id="39"/>
      <w:bookmarkStart w:id="40" w:name="_Toc528593563"/>
      <w:bookmarkEnd w:id="40"/>
      <w:bookmarkStart w:id="41" w:name="_Toc528526754"/>
      <w:bookmarkEnd w:id="41"/>
      <w:bookmarkStart w:id="42" w:name="_Toc528593427"/>
      <w:bookmarkEnd w:id="42"/>
      <w:bookmarkStart w:id="43" w:name="_Toc528574087"/>
      <w:bookmarkEnd w:id="43"/>
      <w:bookmarkStart w:id="44" w:name="_Toc528593428"/>
      <w:bookmarkEnd w:id="44"/>
      <w:bookmarkStart w:id="45" w:name="_Toc528574086"/>
      <w:bookmarkEnd w:id="45"/>
      <w:bookmarkStart w:id="46" w:name="_Toc6924456"/>
      <w:bookmarkEnd w:id="46"/>
      <w:bookmarkStart w:id="47" w:name="_Toc528526923"/>
      <w:bookmarkEnd w:id="47"/>
    </w:p>
    <w:p>
      <w:pPr>
        <w:pStyle w:val="131"/>
        <w:numPr>
          <w:ilvl w:val="1"/>
          <w:numId w:val="6"/>
        </w:numPr>
        <w:ind w:left="567"/>
        <w:outlineLvl w:val="2"/>
        <w:rPr>
          <w:rFonts w:ascii="宋体" w:hAnsi="宋体" w:eastAsia="宋体" w:cs="宋体"/>
          <w:sz w:val="24"/>
          <w:szCs w:val="24"/>
        </w:rPr>
      </w:pPr>
      <w:bookmarkStart w:id="48" w:name="_Toc528593564"/>
      <w:bookmarkStart w:id="49" w:name="_Toc46241973"/>
      <w:r>
        <w:rPr>
          <w:rFonts w:hint="eastAsia" w:ascii="宋体" w:hAnsi="宋体" w:eastAsia="宋体" w:cs="宋体"/>
          <w:sz w:val="24"/>
          <w:szCs w:val="24"/>
        </w:rPr>
        <w:t>项目背景</w:t>
      </w:r>
      <w:bookmarkEnd w:id="29"/>
      <w:bookmarkEnd w:id="30"/>
      <w:bookmarkEnd w:id="31"/>
      <w:bookmarkEnd w:id="35"/>
      <w:bookmarkEnd w:id="48"/>
      <w:bookmarkEnd w:id="49"/>
    </w:p>
    <w:p>
      <w:pPr>
        <w:pStyle w:val="141"/>
        <w:numPr>
          <w:ilvl w:val="2"/>
          <w:numId w:val="7"/>
        </w:numPr>
        <w:tabs>
          <w:tab w:val="clear" w:pos="851"/>
        </w:tabs>
        <w:outlineLvl w:val="3"/>
        <w:rPr>
          <w:rFonts w:ascii="宋体" w:hAnsi="宋体" w:eastAsia="宋体" w:cs="宋体"/>
          <w:color w:val="auto"/>
        </w:rPr>
      </w:pPr>
      <w:bookmarkStart w:id="50" w:name="_Toc46241974"/>
      <w:r>
        <w:rPr>
          <w:rFonts w:hint="eastAsia" w:ascii="宋体" w:hAnsi="宋体" w:eastAsia="宋体" w:cs="宋体"/>
          <w:color w:val="auto"/>
          <w:sz w:val="24"/>
          <w:szCs w:val="24"/>
        </w:rPr>
        <w:t>总体现状</w:t>
      </w:r>
      <w:bookmarkEnd w:id="50"/>
    </w:p>
    <w:p>
      <w:pPr>
        <w:pStyle w:val="5"/>
        <w:rPr>
          <w:rFonts w:ascii="宋体" w:hAnsi="宋体" w:cs="宋体"/>
        </w:rPr>
      </w:pPr>
      <w:r>
        <w:rPr>
          <w:rFonts w:hint="eastAsia" w:ascii="宋体" w:hAnsi="宋体" w:cs="宋体"/>
        </w:rPr>
        <w:t>目前</w:t>
      </w:r>
      <w:bookmarkStart w:id="51" w:name="_Hlk17583829"/>
      <w:r>
        <w:rPr>
          <w:rFonts w:hint="eastAsia" w:ascii="宋体" w:hAnsi="宋体" w:cs="宋体"/>
        </w:rPr>
        <w:t>全省生态环境监测信息网络</w:t>
      </w:r>
      <w:bookmarkEnd w:id="51"/>
      <w:r>
        <w:rPr>
          <w:rFonts w:hint="eastAsia" w:ascii="宋体" w:hAnsi="宋体" w:cs="宋体"/>
        </w:rPr>
        <w:t>包括移动、电信800M业务网、监测站点VPN网络、全省互联网出口网络（</w:t>
      </w:r>
      <w:r>
        <w:rPr>
          <w:rFonts w:ascii="宋体" w:hAnsi="宋体" w:cs="宋体"/>
        </w:rPr>
        <w:t>350</w:t>
      </w:r>
      <w:r>
        <w:rPr>
          <w:rFonts w:hint="eastAsia" w:ascii="宋体" w:hAnsi="宋体" w:cs="宋体"/>
        </w:rPr>
        <w:t>M，监测中心电信2</w:t>
      </w:r>
      <w:r>
        <w:rPr>
          <w:rFonts w:ascii="宋体" w:hAnsi="宋体" w:cs="宋体"/>
        </w:rPr>
        <w:t>50M,</w:t>
      </w:r>
      <w:r>
        <w:rPr>
          <w:rFonts w:hint="eastAsia" w:ascii="宋体" w:hAnsi="宋体" w:cs="宋体"/>
        </w:rPr>
        <w:t>移动1</w:t>
      </w:r>
      <w:r>
        <w:rPr>
          <w:rFonts w:ascii="宋体" w:hAnsi="宋体" w:cs="宋体"/>
        </w:rPr>
        <w:t>00</w:t>
      </w:r>
      <w:r>
        <w:rPr>
          <w:rFonts w:hint="eastAsia" w:ascii="宋体" w:hAnsi="宋体" w:cs="宋体"/>
        </w:rPr>
        <w:t>M）, 各个地级市站点接入省环保网络的带宽普遍都是只有30M~50M，云浮、惠州、珠海的站点只有10M的带宽；最大的带宽茂名市站也只有100M。总体而言，全省生态环境监测网络带宽明显偏小，存在明显瓶颈，目前无法支撑省市站点视频双向转递与应用。</w:t>
      </w:r>
    </w:p>
    <w:p>
      <w:pPr>
        <w:pStyle w:val="5"/>
        <w:rPr>
          <w:rFonts w:ascii="宋体" w:hAnsi="宋体" w:cs="宋体"/>
        </w:rPr>
      </w:pPr>
      <w:r>
        <w:rPr>
          <w:rFonts w:hint="eastAsia" w:ascii="宋体" w:hAnsi="宋体" w:cs="宋体"/>
        </w:rPr>
        <w:t>在网络安全防护方面，除省生态环境监测中心整体网络达到二级等保要求外，大部分地级市的网络建设没有达到网络安全等保要求。初步统计深圳、东莞、江门、清远、汕头等地市环境监测信息网络安全等级达到二级，佛山、江门、河源这3个地级市只有简单的防火墙、安全审计设备；惠州、茂名、中山这3个地级市只有防火墙单台设备等等，其他地级市均没有具备条件进行网络安全等级评定。一旦有黑客入侵、篡改、损毁生态环境监测收集的数据，后果将不堪设想。</w:t>
      </w:r>
    </w:p>
    <w:p>
      <w:pPr>
        <w:pStyle w:val="141"/>
        <w:numPr>
          <w:ilvl w:val="2"/>
          <w:numId w:val="7"/>
        </w:numPr>
        <w:tabs>
          <w:tab w:val="clear" w:pos="851"/>
        </w:tabs>
        <w:outlineLvl w:val="3"/>
        <w:rPr>
          <w:rFonts w:ascii="宋体" w:hAnsi="宋体" w:eastAsia="宋体" w:cs="宋体"/>
          <w:color w:val="auto"/>
          <w:sz w:val="24"/>
          <w:szCs w:val="24"/>
        </w:rPr>
      </w:pPr>
      <w:bookmarkStart w:id="52" w:name="_Toc46241975"/>
      <w:r>
        <w:rPr>
          <w:rFonts w:hint="eastAsia" w:ascii="宋体" w:hAnsi="宋体" w:eastAsia="宋体" w:cs="宋体"/>
          <w:color w:val="auto"/>
          <w:sz w:val="24"/>
          <w:szCs w:val="24"/>
        </w:rPr>
        <w:t>广东省环境监测中心信息网络现状</w:t>
      </w:r>
      <w:bookmarkEnd w:id="52"/>
    </w:p>
    <w:p>
      <w:pPr>
        <w:pStyle w:val="5"/>
        <w:rPr>
          <w:rFonts w:ascii="宋体" w:hAnsi="宋体" w:cs="宋体"/>
        </w:rPr>
      </w:pPr>
      <w:r>
        <w:rPr>
          <w:rFonts w:hint="eastAsia" w:ascii="宋体" w:hAnsi="宋体" w:cs="宋体"/>
        </w:rPr>
        <w:t>根据广东省生态环境监测网络“一网、一屏、一脑、一体、一云”总体规划建设要求，广东省环境监测中心于2018年11月16日公开招标“2018年广东省环境监测网络监控中心升级改造项目”，项目建设后的整体网络拓扑如下：</w:t>
      </w:r>
    </w:p>
    <w:p>
      <w:pPr>
        <w:jc w:val="left"/>
        <w:rPr>
          <w:rFonts w:ascii="宋体" w:hAnsi="宋体" w:cs="宋体"/>
        </w:rPr>
        <w:sectPr>
          <w:footerReference r:id="rId5" w:type="default"/>
          <w:pgSz w:w="11906" w:h="16838"/>
          <w:pgMar w:top="1134" w:right="1274" w:bottom="1276" w:left="1418" w:header="851" w:footer="992" w:gutter="0"/>
          <w:pgNumType w:start="1"/>
          <w:cols w:space="720" w:num="1"/>
          <w:docGrid w:linePitch="312" w:charSpace="0"/>
        </w:sectPr>
      </w:pPr>
    </w:p>
    <w:p>
      <w:pPr>
        <w:jc w:val="left"/>
        <w:rPr>
          <w:rFonts w:ascii="宋体" w:hAnsi="宋体" w:cs="宋体"/>
        </w:rPr>
        <w:sectPr>
          <w:pgSz w:w="16838" w:h="11906" w:orient="landscape"/>
          <w:pgMar w:top="1418" w:right="1134" w:bottom="1276" w:left="1276" w:header="851" w:footer="992" w:gutter="0"/>
          <w:cols w:space="720" w:num="1"/>
          <w:docGrid w:linePitch="312" w:charSpace="0"/>
        </w:sectPr>
      </w:pPr>
      <w:r>
        <w:rPr>
          <w:rFonts w:hint="eastAsia" w:ascii="宋体" w:hAnsi="宋体" w:cs="宋体"/>
        </w:rPr>
        <w:drawing>
          <wp:inline distT="0" distB="0" distL="114300" distR="114300">
            <wp:extent cx="9211310" cy="5678170"/>
            <wp:effectExtent l="0" t="0" r="889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9211310" cy="5678170"/>
                    </a:xfrm>
                    <a:prstGeom prst="rect">
                      <a:avLst/>
                    </a:prstGeom>
                    <a:noFill/>
                    <a:ln>
                      <a:noFill/>
                    </a:ln>
                  </pic:spPr>
                </pic:pic>
              </a:graphicData>
            </a:graphic>
          </wp:inline>
        </w:drawing>
      </w:r>
    </w:p>
    <w:p>
      <w:pPr>
        <w:pStyle w:val="154"/>
        <w:numPr>
          <w:ilvl w:val="0"/>
          <w:numId w:val="8"/>
        </w:numPr>
        <w:ind w:left="0" w:firstLine="402"/>
        <w:contextualSpacing/>
        <w:jc w:val="left"/>
        <w:rPr>
          <w:rFonts w:ascii="宋体" w:hAnsi="宋体" w:cs="宋体"/>
          <w:b/>
          <w:bCs/>
          <w:lang w:val="en-GB"/>
        </w:rPr>
      </w:pPr>
      <w:r>
        <w:rPr>
          <w:rFonts w:hint="eastAsia" w:ascii="宋体" w:hAnsi="宋体" w:cs="宋体"/>
          <w:b/>
          <w:bCs/>
          <w:lang w:val="en-GB"/>
        </w:rPr>
        <w:t>互联网出口区域</w:t>
      </w:r>
    </w:p>
    <w:p>
      <w:pPr>
        <w:pStyle w:val="5"/>
        <w:rPr>
          <w:rFonts w:ascii="宋体" w:hAnsi="宋体" w:cs="宋体"/>
        </w:rPr>
      </w:pPr>
      <w:r>
        <w:rPr>
          <w:rFonts w:hint="eastAsia" w:ascii="宋体" w:hAnsi="宋体" w:cs="宋体"/>
        </w:rPr>
        <w:t>互联网出口线路3条，采用光纤接入的方式，线路1由中国电信提供，链路带宽为50M;线路2由中国电信提供，链路带宽为200M;线路3是中国联通提供，链路带宽为200M，通过链路负载均衡设备实现带宽自动优化分配及链路故障转移，所有进出口网络流量都需要经过出口防火墙进行管控及安全防护。</w:t>
      </w:r>
    </w:p>
    <w:p>
      <w:pPr>
        <w:pStyle w:val="154"/>
        <w:numPr>
          <w:ilvl w:val="0"/>
          <w:numId w:val="8"/>
        </w:numPr>
        <w:ind w:left="0" w:firstLine="402"/>
        <w:contextualSpacing/>
        <w:jc w:val="left"/>
        <w:rPr>
          <w:rFonts w:ascii="宋体" w:hAnsi="宋体" w:cs="宋体"/>
          <w:b/>
          <w:bCs/>
          <w:lang w:val="en-GB"/>
        </w:rPr>
      </w:pPr>
      <w:r>
        <w:rPr>
          <w:rFonts w:hint="eastAsia" w:ascii="宋体" w:hAnsi="宋体" w:cs="宋体"/>
          <w:b/>
          <w:bCs/>
          <w:lang w:val="en-GB"/>
        </w:rPr>
        <w:t>数据中心区域</w:t>
      </w:r>
    </w:p>
    <w:p>
      <w:pPr>
        <w:pStyle w:val="5"/>
        <w:rPr>
          <w:rFonts w:ascii="宋体" w:hAnsi="宋体" w:cs="宋体"/>
        </w:rPr>
      </w:pPr>
      <w:r>
        <w:rPr>
          <w:rFonts w:hint="eastAsia" w:ascii="宋体" w:hAnsi="宋体" w:cs="宋体"/>
        </w:rPr>
        <w:t>数据中心网络采用二层架构，各自业务系统先接到数据中心接入层交换机，再汇聚到2台H3C核心交换机。</w:t>
      </w:r>
    </w:p>
    <w:p>
      <w:pPr>
        <w:pStyle w:val="5"/>
        <w:rPr>
          <w:rFonts w:ascii="宋体" w:hAnsi="宋体" w:cs="宋体"/>
        </w:rPr>
      </w:pPr>
      <w:r>
        <w:rPr>
          <w:rFonts w:hint="eastAsia" w:ascii="宋体" w:hAnsi="宋体" w:cs="宋体"/>
        </w:rPr>
        <w:t>数据中心出口安全边界部署了1台防火墙，保障业务系统安全性。</w:t>
      </w:r>
    </w:p>
    <w:p>
      <w:pPr>
        <w:pStyle w:val="5"/>
        <w:rPr>
          <w:rFonts w:ascii="宋体" w:hAnsi="宋体" w:cs="宋体"/>
        </w:rPr>
      </w:pPr>
      <w:r>
        <w:rPr>
          <w:rFonts w:hint="eastAsia" w:ascii="宋体" w:hAnsi="宋体" w:cs="宋体"/>
        </w:rPr>
        <w:t>大气、水业务系统各部署了1台VPN设备，与各自的站房实现业务传输网络互联互通，保障各站房业务数据能够传输到业务系统进行分析与展示。每个业务系统都有多台服务器和存储资源，后期将逐步整合迁移，实现业务应用云平台迁移。目前，水业务系统视频存储容量为384TB。</w:t>
      </w:r>
    </w:p>
    <w:p>
      <w:pPr>
        <w:pStyle w:val="5"/>
        <w:rPr>
          <w:rFonts w:ascii="宋体" w:hAnsi="宋体" w:cs="宋体"/>
        </w:rPr>
      </w:pPr>
      <w:r>
        <w:rPr>
          <w:rFonts w:hint="eastAsia" w:ascii="宋体" w:hAnsi="宋体" w:cs="宋体"/>
        </w:rPr>
        <w:t>在数据中心部署了安全及运维管理系统（安全态势、等保一体机、VPN、运维开发一体化服务等），初步实现智能化运维和安全管理，基本符合业务系统二级等保建设要求。</w:t>
      </w:r>
    </w:p>
    <w:p>
      <w:pPr>
        <w:pStyle w:val="154"/>
        <w:numPr>
          <w:ilvl w:val="0"/>
          <w:numId w:val="8"/>
        </w:numPr>
        <w:ind w:left="0" w:firstLine="402"/>
        <w:contextualSpacing/>
        <w:jc w:val="left"/>
        <w:rPr>
          <w:rFonts w:ascii="宋体" w:hAnsi="宋体" w:cs="宋体"/>
          <w:b/>
          <w:bCs/>
          <w:lang w:val="en-GB"/>
        </w:rPr>
      </w:pPr>
      <w:r>
        <w:rPr>
          <w:rFonts w:hint="eastAsia" w:ascii="宋体" w:hAnsi="宋体" w:cs="宋体"/>
          <w:b/>
          <w:bCs/>
          <w:lang w:val="en-GB"/>
        </w:rPr>
        <w:t>办公终端区域</w:t>
      </w:r>
    </w:p>
    <w:p>
      <w:pPr>
        <w:pStyle w:val="5"/>
        <w:rPr>
          <w:rFonts w:ascii="宋体" w:hAnsi="宋体" w:cs="宋体"/>
        </w:rPr>
      </w:pPr>
      <w:r>
        <w:rPr>
          <w:rFonts w:hint="eastAsia" w:ascii="宋体" w:hAnsi="宋体" w:cs="宋体"/>
        </w:rPr>
        <w:t>办公终端分为有线和无线网络，其中有线网络千兆接入桌面，上行千兆汇集核心;核心交换机采用2台H3C交换机，40多台老旧接入层交换机组成办公网络。</w:t>
      </w:r>
    </w:p>
    <w:p>
      <w:pPr>
        <w:pStyle w:val="5"/>
        <w:rPr>
          <w:rFonts w:ascii="宋体" w:hAnsi="宋体" w:cs="宋体"/>
        </w:rPr>
      </w:pPr>
      <w:r>
        <w:rPr>
          <w:rFonts w:hint="eastAsia" w:ascii="宋体" w:hAnsi="宋体" w:cs="宋体"/>
        </w:rPr>
        <w:t>无线网络通过无线控制器实现无线统一认证与管理，信号基本覆盖省监测中心大楼。</w:t>
      </w:r>
    </w:p>
    <w:p>
      <w:pPr>
        <w:pStyle w:val="5"/>
        <w:rPr>
          <w:rFonts w:ascii="宋体" w:hAnsi="宋体" w:cs="宋体"/>
        </w:rPr>
      </w:pPr>
      <w:r>
        <w:rPr>
          <w:rFonts w:hint="eastAsia" w:ascii="宋体" w:hAnsi="宋体" w:cs="宋体"/>
        </w:rPr>
        <w:t>为了保障办公终端可理、规范地使用网络，通过2台上网行为管理设备来实现流量控制及网络审计。</w:t>
      </w:r>
    </w:p>
    <w:p>
      <w:pPr>
        <w:pStyle w:val="154"/>
        <w:numPr>
          <w:ilvl w:val="0"/>
          <w:numId w:val="8"/>
        </w:numPr>
        <w:ind w:left="0" w:firstLine="402"/>
        <w:contextualSpacing/>
        <w:jc w:val="left"/>
        <w:rPr>
          <w:rFonts w:ascii="宋体" w:hAnsi="宋体" w:cs="宋体"/>
          <w:b/>
          <w:bCs/>
          <w:lang w:val="en-GB"/>
        </w:rPr>
      </w:pPr>
      <w:r>
        <w:rPr>
          <w:rFonts w:hint="eastAsia" w:ascii="宋体" w:hAnsi="宋体" w:cs="宋体"/>
          <w:b/>
          <w:bCs/>
          <w:lang w:val="en-GB"/>
        </w:rPr>
        <w:t>物联网区域</w:t>
      </w:r>
    </w:p>
    <w:p>
      <w:pPr>
        <w:pStyle w:val="5"/>
        <w:rPr>
          <w:rFonts w:ascii="宋体" w:hAnsi="宋体" w:cs="宋体"/>
        </w:rPr>
      </w:pPr>
      <w:r>
        <w:rPr>
          <w:rFonts w:hint="eastAsia" w:ascii="宋体" w:hAnsi="宋体" w:cs="宋体"/>
        </w:rPr>
        <w:t>省监测中心大楼部署了视频、门禁、会商、中控等物联网设备，规划出一个物联网区域，通过综合监管平台，实现智能化楼宇。</w:t>
      </w:r>
    </w:p>
    <w:p>
      <w:pPr>
        <w:pStyle w:val="141"/>
        <w:numPr>
          <w:ilvl w:val="2"/>
          <w:numId w:val="7"/>
        </w:numPr>
        <w:tabs>
          <w:tab w:val="clear" w:pos="851"/>
        </w:tabs>
        <w:outlineLvl w:val="3"/>
        <w:rPr>
          <w:rFonts w:ascii="宋体" w:hAnsi="宋体" w:eastAsia="宋体" w:cs="宋体"/>
          <w:color w:val="auto"/>
          <w:sz w:val="24"/>
          <w:szCs w:val="24"/>
        </w:rPr>
      </w:pPr>
      <w:bookmarkStart w:id="53" w:name="_Toc46241976"/>
      <w:r>
        <w:rPr>
          <w:rFonts w:hint="eastAsia" w:ascii="宋体" w:hAnsi="宋体" w:eastAsia="宋体" w:cs="宋体"/>
          <w:color w:val="auto"/>
          <w:sz w:val="24"/>
          <w:szCs w:val="24"/>
        </w:rPr>
        <w:t>网络中心机房现状</w:t>
      </w:r>
      <w:bookmarkEnd w:id="53"/>
    </w:p>
    <w:p>
      <w:pPr>
        <w:pStyle w:val="5"/>
        <w:rPr>
          <w:rFonts w:ascii="宋体" w:hAnsi="宋体" w:cs="宋体"/>
        </w:rPr>
      </w:pPr>
      <w:r>
        <w:rPr>
          <w:rFonts w:hint="eastAsia" w:ascii="宋体" w:hAnsi="宋体" w:cs="宋体"/>
        </w:rPr>
        <w:t>网络中心机房位于广东省环境监测中心大楼2楼，总建筑面积为668平方米。在机房配套设施方面，机房按照国家《电子计算机房设计规范》和《电子计算机场地通用规范》中的标准设计建造，包含数据中心机房、扩展机房、监控大厅、配电室、监控室及UPS配电室等，基本满足当前业务需求。</w:t>
      </w:r>
    </w:p>
    <w:p>
      <w:pPr>
        <w:pStyle w:val="141"/>
        <w:numPr>
          <w:ilvl w:val="2"/>
          <w:numId w:val="7"/>
        </w:numPr>
        <w:tabs>
          <w:tab w:val="clear" w:pos="851"/>
        </w:tabs>
        <w:outlineLvl w:val="3"/>
        <w:rPr>
          <w:rFonts w:ascii="宋体" w:hAnsi="宋体" w:eastAsia="宋体" w:cs="宋体"/>
          <w:color w:val="auto"/>
          <w:sz w:val="24"/>
          <w:szCs w:val="24"/>
        </w:rPr>
      </w:pPr>
      <w:bookmarkStart w:id="54" w:name="_Toc46241977"/>
      <w:r>
        <w:rPr>
          <w:rFonts w:hint="eastAsia" w:ascii="宋体" w:hAnsi="宋体" w:eastAsia="宋体" w:cs="宋体"/>
          <w:color w:val="auto"/>
          <w:sz w:val="24"/>
          <w:szCs w:val="24"/>
        </w:rPr>
        <w:t>信息安全保障现状</w:t>
      </w:r>
      <w:bookmarkEnd w:id="54"/>
    </w:p>
    <w:p>
      <w:pPr>
        <w:pStyle w:val="5"/>
        <w:rPr>
          <w:rFonts w:ascii="宋体" w:hAnsi="宋体" w:cs="宋体"/>
        </w:rPr>
      </w:pPr>
      <w:r>
        <w:rPr>
          <w:rFonts w:hint="eastAsia" w:ascii="宋体" w:hAnsi="宋体" w:cs="宋体"/>
        </w:rPr>
        <w:t>在安全保障上，采用“分布式防御，集中式管理”的部署方针。目前在网络出口边界和数据中心边界部署了防火墙，作为安全防护的第一道防线，实现对边界的流量监控和积极防御。在数据中心部署了安全态势、等保一体机、VPN等设备，作为安全防护的第二道防线，保障业务系统的安全性，基本符合等级保护二级建设要求。</w:t>
      </w:r>
    </w:p>
    <w:p>
      <w:pPr>
        <w:pStyle w:val="141"/>
        <w:numPr>
          <w:ilvl w:val="2"/>
          <w:numId w:val="7"/>
        </w:numPr>
        <w:tabs>
          <w:tab w:val="clear" w:pos="851"/>
        </w:tabs>
        <w:outlineLvl w:val="3"/>
        <w:rPr>
          <w:rFonts w:ascii="宋体" w:hAnsi="宋体" w:eastAsia="宋体" w:cs="宋体"/>
          <w:color w:val="auto"/>
          <w:sz w:val="24"/>
          <w:szCs w:val="24"/>
        </w:rPr>
      </w:pPr>
      <w:bookmarkStart w:id="55" w:name="_Toc46241978"/>
      <w:r>
        <w:rPr>
          <w:rFonts w:hint="eastAsia" w:ascii="宋体" w:hAnsi="宋体" w:eastAsia="宋体" w:cs="宋体"/>
          <w:color w:val="auto"/>
          <w:sz w:val="24"/>
          <w:szCs w:val="24"/>
        </w:rPr>
        <w:t>网络运维现状</w:t>
      </w:r>
      <w:bookmarkEnd w:id="55"/>
    </w:p>
    <w:p>
      <w:pPr>
        <w:pStyle w:val="5"/>
        <w:rPr>
          <w:rFonts w:ascii="宋体" w:hAnsi="宋体" w:cs="宋体"/>
        </w:rPr>
      </w:pPr>
      <w:r>
        <w:rPr>
          <w:rFonts w:hint="eastAsia" w:ascii="宋体" w:hAnsi="宋体" w:cs="宋体"/>
        </w:rPr>
        <w:t>随着信息化的不断建设，要运维的设备也越来越多。设备的可靠性及稳定性，对业务系统开展是非常重要的。如靠人工方式地运维，工作量非常大，并且效率也比较低下。在网络中心升级改造项目中，集成了一套运维开发一体化集成服务系统，该系统含四个子模块：网络设备监控、代码集中管理、持续集成工具以及日志分析工具，初步形成一体化运维与运管管理体系。</w:t>
      </w:r>
    </w:p>
    <w:p>
      <w:pPr>
        <w:pStyle w:val="141"/>
        <w:numPr>
          <w:ilvl w:val="2"/>
          <w:numId w:val="7"/>
        </w:numPr>
        <w:tabs>
          <w:tab w:val="clear" w:pos="851"/>
        </w:tabs>
        <w:outlineLvl w:val="3"/>
        <w:rPr>
          <w:rFonts w:ascii="宋体" w:hAnsi="宋体" w:eastAsia="宋体" w:cs="宋体"/>
          <w:color w:val="auto"/>
          <w:sz w:val="24"/>
          <w:szCs w:val="24"/>
        </w:rPr>
      </w:pPr>
      <w:bookmarkStart w:id="56" w:name="_Toc46241979"/>
      <w:r>
        <w:rPr>
          <w:rFonts w:hint="eastAsia" w:ascii="宋体" w:hAnsi="宋体" w:eastAsia="宋体" w:cs="宋体"/>
          <w:color w:val="auto"/>
          <w:sz w:val="24"/>
          <w:szCs w:val="24"/>
        </w:rPr>
        <w:t>分布式节点现状</w:t>
      </w:r>
      <w:bookmarkEnd w:id="56"/>
    </w:p>
    <w:p>
      <w:pPr>
        <w:pStyle w:val="5"/>
        <w:rPr>
          <w:rFonts w:ascii="宋体" w:hAnsi="宋体" w:cs="宋体"/>
        </w:rPr>
      </w:pPr>
      <w:r>
        <w:rPr>
          <w:rFonts w:hint="eastAsia" w:ascii="宋体" w:hAnsi="宋体" w:cs="宋体"/>
        </w:rPr>
        <w:drawing>
          <wp:inline distT="0" distB="0" distL="114300" distR="114300">
            <wp:extent cx="5260975" cy="2110105"/>
            <wp:effectExtent l="0" t="0" r="15875" b="4445"/>
            <wp:docPr id="3" name="图片 2" descr="总体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总体拓扑图"/>
                    <pic:cNvPicPr>
                      <a:picLocks noChangeAspect="1"/>
                    </pic:cNvPicPr>
                  </pic:nvPicPr>
                  <pic:blipFill>
                    <a:blip r:embed="rId12"/>
                    <a:stretch>
                      <a:fillRect/>
                    </a:stretch>
                  </pic:blipFill>
                  <pic:spPr>
                    <a:xfrm>
                      <a:off x="0" y="0"/>
                      <a:ext cx="5260975" cy="2110105"/>
                    </a:xfrm>
                    <a:prstGeom prst="rect">
                      <a:avLst/>
                    </a:prstGeom>
                    <a:noFill/>
                    <a:ln>
                      <a:noFill/>
                    </a:ln>
                  </pic:spPr>
                </pic:pic>
              </a:graphicData>
            </a:graphic>
          </wp:inline>
        </w:drawing>
      </w:r>
    </w:p>
    <w:p>
      <w:pPr>
        <w:pStyle w:val="5"/>
        <w:ind w:firstLine="482"/>
        <w:jc w:val="center"/>
        <w:rPr>
          <w:rFonts w:ascii="宋体" w:hAnsi="宋体" w:cs="宋体"/>
          <w:b/>
          <w:bCs/>
        </w:rPr>
      </w:pPr>
      <w:r>
        <w:rPr>
          <w:rFonts w:hint="eastAsia" w:ascii="宋体" w:hAnsi="宋体" w:cs="宋体"/>
          <w:b/>
          <w:bCs/>
        </w:rPr>
        <w:t>监测中心分布式可视化管控平台系统拓扑图</w:t>
      </w:r>
    </w:p>
    <w:p>
      <w:pPr>
        <w:pStyle w:val="5"/>
        <w:rPr>
          <w:rFonts w:ascii="宋体" w:hAnsi="宋体" w:cs="宋体"/>
        </w:rPr>
      </w:pPr>
      <w:r>
        <w:rPr>
          <w:rFonts w:hint="eastAsia" w:ascii="宋体" w:hAnsi="宋体" w:cs="宋体"/>
        </w:rPr>
        <w:t>监测中心目前部署了分布式可视化管控平台，利用先进的分布式系统技术，与用户业务系统、视讯会议系统、监控系统、大屏显示系统、扩音系统等对接融合，各个会场之间的信号既可独立使用，亦可总体联动使用。可在一个无线控制终端上可视化预览控制所有信号，可设置权限管理，达到分控、总控互不影响。形成一个高度感知、良好体验感的分布式综合控制管理平台。</w:t>
      </w:r>
    </w:p>
    <w:p>
      <w:pPr>
        <w:pStyle w:val="5"/>
        <w:rPr>
          <w:rFonts w:ascii="宋体" w:hAnsi="宋体" w:cs="宋体"/>
        </w:rPr>
      </w:pPr>
      <w:r>
        <w:rPr>
          <w:rFonts w:hint="eastAsia" w:ascii="宋体" w:hAnsi="宋体" w:cs="宋体"/>
        </w:rPr>
        <w:t>由于二楼会商中心目前是兼具指挥、监控、会商等多功能重要场合，对指挥调度的坐席需求大幅增加，为满足腾讯云“一张网”平台的超高分上屏需求，拟在一期建设的分布式系统中增加4K坐席输入和输出节点，更好满足中心业务平台调度指挥应用。</w:t>
      </w:r>
    </w:p>
    <w:p>
      <w:pPr>
        <w:ind w:left="-426" w:hanging="284"/>
        <w:rPr>
          <w:rFonts w:ascii="宋体" w:hAnsi="宋体" w:cs="宋体"/>
          <w:lang w:val="en-GB"/>
        </w:rPr>
      </w:pPr>
    </w:p>
    <w:p>
      <w:pPr>
        <w:pStyle w:val="141"/>
        <w:numPr>
          <w:ilvl w:val="2"/>
          <w:numId w:val="7"/>
        </w:numPr>
        <w:tabs>
          <w:tab w:val="clear" w:pos="851"/>
        </w:tabs>
        <w:outlineLvl w:val="3"/>
        <w:rPr>
          <w:rFonts w:ascii="宋体" w:hAnsi="宋体" w:eastAsia="宋体" w:cs="宋体"/>
          <w:color w:val="auto"/>
        </w:rPr>
      </w:pPr>
      <w:bookmarkStart w:id="57" w:name="_Toc23780432"/>
      <w:bookmarkStart w:id="58" w:name="_Toc46241980"/>
      <w:r>
        <w:rPr>
          <w:rFonts w:hint="eastAsia" w:ascii="宋体" w:hAnsi="宋体" w:eastAsia="宋体" w:cs="宋体"/>
          <w:color w:val="auto"/>
          <w:sz w:val="24"/>
          <w:szCs w:val="24"/>
        </w:rPr>
        <w:t>地市环境监测站信息网络现状</w:t>
      </w:r>
      <w:bookmarkEnd w:id="57"/>
      <w:bookmarkEnd w:id="58"/>
    </w:p>
    <w:p>
      <w:pPr>
        <w:pStyle w:val="5"/>
        <w:rPr>
          <w:rFonts w:ascii="宋体" w:hAnsi="宋体" w:cs="宋体"/>
        </w:rPr>
      </w:pPr>
      <w:r>
        <w:rPr>
          <w:rFonts w:hint="eastAsia" w:ascii="宋体" w:hAnsi="宋体" w:cs="宋体"/>
        </w:rPr>
        <w:t>广东省环境监测中心地市信息网络，由5个区域中心（粤东西北，深圳，广州市站）和16个其它地市组成。</w:t>
      </w:r>
    </w:p>
    <w:p>
      <w:pPr>
        <w:pStyle w:val="5"/>
        <w:rPr>
          <w:rFonts w:ascii="宋体" w:hAnsi="宋体" w:cs="宋体"/>
        </w:rPr>
      </w:pPr>
      <w:r>
        <w:rPr>
          <w:rFonts w:hint="eastAsia" w:ascii="宋体" w:hAnsi="宋体" w:cs="宋体"/>
        </w:rPr>
        <w:t>目前现状如下：</w:t>
      </w:r>
    </w:p>
    <w:p>
      <w:pPr>
        <w:pStyle w:val="5"/>
        <w:rPr>
          <w:rFonts w:ascii="宋体" w:hAnsi="宋体" w:cs="宋体"/>
        </w:rPr>
      </w:pPr>
      <w:r>
        <w:rPr>
          <w:rFonts w:hint="eastAsia" w:ascii="宋体" w:hAnsi="宋体" w:cs="宋体"/>
        </w:rPr>
        <w:t>1）部分地市已有一条100M的mstp环保专线，如未有环保专线的地市，将由省信息中心承担建设。</w:t>
      </w:r>
    </w:p>
    <w:p>
      <w:pPr>
        <w:pStyle w:val="5"/>
        <w:rPr>
          <w:rFonts w:ascii="宋体" w:hAnsi="宋体" w:cs="宋体"/>
        </w:rPr>
      </w:pPr>
      <w:r>
        <w:rPr>
          <w:rFonts w:hint="eastAsia" w:ascii="宋体" w:hAnsi="宋体" w:cs="宋体"/>
        </w:rPr>
        <w:t>2）各地市（区域中心）均建设了内部局域网，多数未进行等级保护测评；</w:t>
      </w:r>
    </w:p>
    <w:p>
      <w:pPr>
        <w:pStyle w:val="5"/>
        <w:rPr>
          <w:rFonts w:ascii="宋体" w:hAnsi="宋体" w:cs="宋体"/>
        </w:rPr>
      </w:pPr>
      <w:r>
        <w:rPr>
          <w:rFonts w:hint="eastAsia" w:ascii="宋体" w:hAnsi="宋体" w:cs="宋体"/>
        </w:rPr>
        <w:t>3）部分地市（区域中心）已经建设视频会商系统，通过环保专线/VPN隧道方式和省生态环境监测中心进行视频会商。</w:t>
      </w:r>
    </w:p>
    <w:bookmarkEnd w:id="32"/>
    <w:p>
      <w:pPr>
        <w:pStyle w:val="131"/>
        <w:numPr>
          <w:ilvl w:val="1"/>
          <w:numId w:val="6"/>
        </w:numPr>
        <w:ind w:left="567"/>
        <w:outlineLvl w:val="2"/>
        <w:rPr>
          <w:rFonts w:ascii="宋体" w:hAnsi="宋体" w:eastAsia="宋体" w:cs="宋体"/>
          <w:sz w:val="24"/>
          <w:szCs w:val="24"/>
        </w:rPr>
      </w:pPr>
      <w:bookmarkStart w:id="59" w:name="_Toc356307701"/>
      <w:bookmarkEnd w:id="59"/>
      <w:bookmarkStart w:id="60" w:name="_Toc356307698"/>
      <w:bookmarkEnd w:id="60"/>
      <w:bookmarkStart w:id="61" w:name="_Toc356307699"/>
      <w:bookmarkEnd w:id="61"/>
      <w:bookmarkStart w:id="62" w:name="_Toc356307703"/>
      <w:bookmarkEnd w:id="62"/>
      <w:bookmarkStart w:id="63" w:name="_Toc356307700"/>
      <w:bookmarkEnd w:id="63"/>
      <w:bookmarkStart w:id="64" w:name="_Toc356307702"/>
      <w:bookmarkEnd w:id="64"/>
      <w:bookmarkStart w:id="65" w:name="_Toc356307697"/>
      <w:bookmarkEnd w:id="65"/>
      <w:bookmarkStart w:id="66" w:name="_Toc528593565"/>
      <w:bookmarkStart w:id="67" w:name="_Toc46241981"/>
      <w:bookmarkStart w:id="68" w:name="_Toc360898662"/>
      <w:bookmarkStart w:id="69" w:name="_Toc350864268"/>
      <w:r>
        <w:rPr>
          <w:rFonts w:hint="eastAsia" w:ascii="宋体" w:hAnsi="宋体" w:eastAsia="宋体" w:cs="宋体"/>
          <w:sz w:val="24"/>
          <w:szCs w:val="24"/>
        </w:rPr>
        <w:t>项目建设内容</w:t>
      </w:r>
      <w:bookmarkEnd w:id="66"/>
      <w:bookmarkEnd w:id="67"/>
    </w:p>
    <w:p>
      <w:pPr>
        <w:pStyle w:val="5"/>
        <w:rPr>
          <w:rFonts w:ascii="宋体" w:hAnsi="宋体" w:cs="宋体"/>
        </w:rPr>
      </w:pPr>
      <w:r>
        <w:rPr>
          <w:rFonts w:hint="eastAsia" w:ascii="宋体" w:hAnsi="宋体" w:cs="宋体"/>
        </w:rPr>
        <w:t>根据省政务网整合接入要求，开展地市监测网络二级等级保护整改及省市监测网络互联互通建设。</w:t>
      </w:r>
    </w:p>
    <w:p>
      <w:pPr>
        <w:pStyle w:val="5"/>
        <w:rPr>
          <w:rFonts w:ascii="宋体" w:hAnsi="宋体" w:cs="宋体"/>
        </w:rPr>
      </w:pPr>
      <w:r>
        <w:rPr>
          <w:rFonts w:hint="eastAsia" w:ascii="宋体" w:hAnsi="宋体" w:cs="宋体"/>
        </w:rPr>
        <w:t>按照“六位一体、区域协同”原则，推进全省生态环境监测信息网络互联互通、视频</w:t>
      </w:r>
      <w:r>
        <w:rPr>
          <w:rFonts w:ascii="宋体" w:hAnsi="宋体" w:cs="宋体"/>
        </w:rPr>
        <w:t>监控</w:t>
      </w:r>
      <w:r>
        <w:rPr>
          <w:rFonts w:hint="eastAsia" w:ascii="宋体" w:hAnsi="宋体" w:cs="宋体"/>
        </w:rPr>
        <w:t>互联互通、视频会商互联互通、融合指挥调度，推进区域环境监测预警中心、地市监测站智能化、标准化建设，包括区域监控指挥中心可视化交互协同管理系统、视频云平台、融合调度系统、视频会议系统、网络安全改造、智能化装备等整合升级或新建。</w:t>
      </w:r>
      <w:bookmarkStart w:id="70" w:name="_Toc17145524"/>
      <w:bookmarkEnd w:id="70"/>
      <w:bookmarkStart w:id="71" w:name="_Toc17145555"/>
      <w:bookmarkEnd w:id="71"/>
      <w:bookmarkStart w:id="72" w:name="_Toc17145525"/>
      <w:bookmarkEnd w:id="72"/>
      <w:bookmarkStart w:id="73" w:name="_Toc17145523"/>
      <w:bookmarkEnd w:id="73"/>
    </w:p>
    <w:p>
      <w:pPr>
        <w:pStyle w:val="5"/>
        <w:rPr>
          <w:rFonts w:ascii="宋体" w:hAnsi="宋体" w:cs="宋体"/>
        </w:rPr>
      </w:pPr>
      <w:r>
        <w:rPr>
          <w:rFonts w:hint="eastAsia" w:ascii="宋体" w:hAnsi="宋体" w:cs="宋体"/>
        </w:rPr>
        <w:t>现有信息网络整合。包括完成对现有水、气、噪声、实验室、安防等</w:t>
      </w:r>
      <w:r>
        <w:rPr>
          <w:rFonts w:ascii="宋体" w:hAnsi="宋体" w:cs="宋体"/>
        </w:rPr>
        <w:t>省级</w:t>
      </w:r>
      <w:r>
        <w:rPr>
          <w:rFonts w:hint="eastAsia" w:ascii="宋体" w:hAnsi="宋体" w:cs="宋体"/>
        </w:rPr>
        <w:t>视频监控平台整合接入视频云平台；完成现有华为视频会议、科达视频会议、小鱼视频会议及互联网主流开放视频会议互联互通整合；完成现有试点环境监测应急车辆、单兵设备、无人机、现场手机视频融合指挥调度；完成现有环境监测</w:t>
      </w:r>
      <w:r>
        <w:rPr>
          <w:rFonts w:ascii="宋体" w:hAnsi="宋体" w:cs="宋体"/>
        </w:rPr>
        <w:t>业务</w:t>
      </w:r>
      <w:r>
        <w:rPr>
          <w:rFonts w:hint="eastAsia" w:ascii="宋体" w:hAnsi="宋体" w:cs="宋体"/>
        </w:rPr>
        <w:t>网、环保内网、电子政务网信息网络互联互通整合；实现区域中心与省监测中心分布式中控集成整合，支撑省市分布式管理与调度。</w:t>
      </w:r>
    </w:p>
    <w:p>
      <w:pPr>
        <w:pStyle w:val="131"/>
        <w:numPr>
          <w:ilvl w:val="1"/>
          <w:numId w:val="6"/>
        </w:numPr>
        <w:ind w:left="567"/>
        <w:outlineLvl w:val="2"/>
        <w:rPr>
          <w:rFonts w:ascii="宋体" w:hAnsi="宋体" w:eastAsia="宋体" w:cs="宋体"/>
          <w:sz w:val="24"/>
          <w:szCs w:val="24"/>
        </w:rPr>
      </w:pPr>
      <w:bookmarkStart w:id="74" w:name="_Toc528593566"/>
      <w:bookmarkStart w:id="75" w:name="_Toc46241982"/>
      <w:bookmarkStart w:id="76" w:name="_Hlk490095457"/>
      <w:r>
        <w:rPr>
          <w:rFonts w:hint="eastAsia" w:ascii="宋体" w:hAnsi="宋体" w:eastAsia="宋体" w:cs="宋体"/>
          <w:sz w:val="24"/>
          <w:szCs w:val="24"/>
        </w:rPr>
        <w:t>项目建设目标</w:t>
      </w:r>
      <w:bookmarkEnd w:id="74"/>
      <w:bookmarkEnd w:id="75"/>
    </w:p>
    <w:p>
      <w:pPr>
        <w:pStyle w:val="5"/>
        <w:rPr>
          <w:rFonts w:ascii="宋体" w:hAnsi="宋体" w:cs="宋体"/>
        </w:rPr>
      </w:pPr>
      <w:bookmarkStart w:id="77" w:name="_Toc528526772"/>
      <w:bookmarkEnd w:id="77"/>
      <w:bookmarkStart w:id="78" w:name="_Toc528574104"/>
      <w:bookmarkEnd w:id="78"/>
      <w:bookmarkStart w:id="79" w:name="_Toc365555426"/>
      <w:bookmarkEnd w:id="79"/>
      <w:bookmarkStart w:id="80" w:name="_Toc365555429"/>
      <w:bookmarkEnd w:id="80"/>
      <w:bookmarkStart w:id="81" w:name="_Toc528593567"/>
      <w:bookmarkEnd w:id="81"/>
      <w:bookmarkStart w:id="82" w:name="_Toc365555423"/>
      <w:bookmarkEnd w:id="82"/>
      <w:bookmarkStart w:id="83" w:name="_Toc6924463"/>
      <w:bookmarkEnd w:id="83"/>
      <w:bookmarkStart w:id="84" w:name="_Toc528593444"/>
      <w:bookmarkEnd w:id="84"/>
      <w:bookmarkStart w:id="85" w:name="_Toc528593568"/>
      <w:bookmarkEnd w:id="85"/>
      <w:bookmarkStart w:id="86" w:name="_Toc365555424"/>
      <w:bookmarkEnd w:id="86"/>
      <w:bookmarkStart w:id="87" w:name="_Toc528574103"/>
      <w:bookmarkEnd w:id="87"/>
      <w:bookmarkStart w:id="88" w:name="_Toc528526941"/>
      <w:bookmarkEnd w:id="88"/>
      <w:bookmarkStart w:id="89" w:name="_Toc528526771"/>
      <w:bookmarkEnd w:id="89"/>
      <w:bookmarkStart w:id="90" w:name="_Toc528478948"/>
      <w:bookmarkEnd w:id="90"/>
      <w:bookmarkStart w:id="91" w:name="_Toc365555428"/>
      <w:bookmarkEnd w:id="91"/>
      <w:bookmarkStart w:id="92" w:name="_Toc528478947"/>
      <w:bookmarkEnd w:id="92"/>
      <w:bookmarkStart w:id="93" w:name="_Toc528593445"/>
      <w:bookmarkEnd w:id="93"/>
      <w:bookmarkStart w:id="94" w:name="_Toc365555422"/>
      <w:bookmarkEnd w:id="94"/>
      <w:bookmarkStart w:id="95" w:name="_Toc365555425"/>
      <w:bookmarkEnd w:id="95"/>
      <w:bookmarkStart w:id="96" w:name="_Toc365555427"/>
      <w:bookmarkEnd w:id="96"/>
      <w:bookmarkStart w:id="97" w:name="_Toc528526940"/>
      <w:bookmarkEnd w:id="97"/>
      <w:bookmarkStart w:id="98" w:name="_Toc458468977"/>
      <w:r>
        <w:rPr>
          <w:rFonts w:ascii="宋体" w:hAnsi="宋体" w:cs="宋体"/>
        </w:rPr>
        <w:t>1</w:t>
      </w:r>
      <w:r>
        <w:rPr>
          <w:rFonts w:hint="eastAsia" w:ascii="宋体" w:hAnsi="宋体" w:cs="宋体"/>
        </w:rPr>
        <w:t>、适应环境监测机构垂改要求，完善网络设计，基本实现全省2</w:t>
      </w:r>
      <w:r>
        <w:rPr>
          <w:rFonts w:ascii="宋体" w:hAnsi="宋体" w:cs="宋体"/>
        </w:rPr>
        <w:t>1</w:t>
      </w:r>
      <w:r>
        <w:rPr>
          <w:rFonts w:hint="eastAsia" w:ascii="宋体" w:hAnsi="宋体" w:cs="宋体"/>
        </w:rPr>
        <w:t>个地市监测信息网络互联互通，满足区域监测中心协同办公、应急指挥、一张图展示需求；</w:t>
      </w:r>
    </w:p>
    <w:p>
      <w:pPr>
        <w:pStyle w:val="5"/>
        <w:rPr>
          <w:rFonts w:ascii="宋体" w:hAnsi="宋体" w:cs="宋体"/>
        </w:rPr>
      </w:pPr>
      <w:r>
        <w:rPr>
          <w:rFonts w:hint="eastAsia" w:ascii="宋体" w:hAnsi="宋体" w:cs="宋体"/>
        </w:rPr>
        <w:t>2、根据信息安全等级保护的要求，开展2</w:t>
      </w:r>
      <w:r>
        <w:rPr>
          <w:rFonts w:ascii="宋体" w:hAnsi="宋体" w:cs="宋体"/>
        </w:rPr>
        <w:t>1</w:t>
      </w:r>
      <w:r>
        <w:rPr>
          <w:rFonts w:hint="eastAsia" w:ascii="宋体" w:hAnsi="宋体" w:cs="宋体"/>
        </w:rPr>
        <w:t>个地市网络信息基准安全整改，建立满足二级要求的安全技术防护体系。</w:t>
      </w:r>
    </w:p>
    <w:p>
      <w:pPr>
        <w:pStyle w:val="5"/>
        <w:rPr>
          <w:rFonts w:ascii="宋体" w:hAnsi="宋体" w:cs="宋体"/>
        </w:rPr>
      </w:pPr>
      <w:r>
        <w:rPr>
          <w:rFonts w:ascii="宋体" w:hAnsi="宋体" w:cs="宋体"/>
        </w:rPr>
        <w:t>3</w:t>
      </w:r>
      <w:r>
        <w:rPr>
          <w:rFonts w:hint="eastAsia" w:ascii="宋体" w:hAnsi="宋体" w:cs="宋体"/>
        </w:rPr>
        <w:t>、实现现有水、气、噪声、实验室、安防</w:t>
      </w:r>
      <w:r>
        <w:rPr>
          <w:rFonts w:ascii="宋体" w:hAnsi="宋体" w:cs="宋体"/>
        </w:rPr>
        <w:t>等省级</w:t>
      </w:r>
      <w:r>
        <w:rPr>
          <w:rFonts w:hint="eastAsia" w:ascii="宋体" w:hAnsi="宋体" w:cs="宋体"/>
        </w:rPr>
        <w:t>视频监控平台整合，提升视频使用效率及视频共享能力，实现视频智能应用。</w:t>
      </w:r>
    </w:p>
    <w:p>
      <w:pPr>
        <w:pStyle w:val="5"/>
        <w:rPr>
          <w:rFonts w:ascii="宋体" w:hAnsi="宋体" w:cs="宋体"/>
        </w:rPr>
      </w:pPr>
      <w:r>
        <w:rPr>
          <w:rFonts w:ascii="宋体" w:hAnsi="宋体" w:cs="宋体"/>
        </w:rPr>
        <w:t>4</w:t>
      </w:r>
      <w:r>
        <w:rPr>
          <w:rFonts w:hint="eastAsia" w:ascii="宋体" w:hAnsi="宋体" w:cs="宋体"/>
        </w:rPr>
        <w:t>、实现省、区域中心、监测站三级预警联动，实现人、车智能分析处理，支撑区域流域环境监测业务开展；</w:t>
      </w:r>
    </w:p>
    <w:p>
      <w:pPr>
        <w:pStyle w:val="5"/>
        <w:rPr>
          <w:rFonts w:ascii="宋体" w:hAnsi="宋体" w:cs="宋体"/>
        </w:rPr>
      </w:pPr>
      <w:r>
        <w:rPr>
          <w:rFonts w:ascii="宋体" w:hAnsi="宋体" w:cs="宋体"/>
        </w:rPr>
        <w:t>5</w:t>
      </w:r>
      <w:r>
        <w:rPr>
          <w:rFonts w:hint="eastAsia" w:ascii="宋体" w:hAnsi="宋体" w:cs="宋体"/>
        </w:rPr>
        <w:t>、加强环境监测部门应急突发环境事件，提升应急响应与服务水平，弥补了监测工作人员的不足，实现对污染源快速发现与精准打击，提升生态环境预警管控水平。</w:t>
      </w:r>
    </w:p>
    <w:bookmarkEnd w:id="98"/>
    <w:p>
      <w:pPr>
        <w:pStyle w:val="141"/>
        <w:numPr>
          <w:ilvl w:val="1"/>
          <w:numId w:val="7"/>
        </w:numPr>
        <w:tabs>
          <w:tab w:val="left" w:pos="709"/>
          <w:tab w:val="clear" w:pos="851"/>
        </w:tabs>
        <w:rPr>
          <w:rFonts w:ascii="宋体" w:hAnsi="宋体" w:eastAsia="宋体" w:cs="宋体"/>
          <w:color w:val="auto"/>
          <w:sz w:val="24"/>
          <w:szCs w:val="24"/>
        </w:rPr>
      </w:pPr>
      <w:bookmarkStart w:id="99" w:name="_Toc46241983"/>
      <w:r>
        <w:rPr>
          <w:rFonts w:hint="eastAsia" w:ascii="宋体" w:hAnsi="宋体" w:eastAsia="宋体" w:cs="宋体"/>
          <w:color w:val="auto"/>
          <w:sz w:val="24"/>
          <w:szCs w:val="24"/>
        </w:rPr>
        <w:t>建设内容</w:t>
      </w:r>
      <w:bookmarkEnd w:id="99"/>
    </w:p>
    <w:p>
      <w:pPr>
        <w:pStyle w:val="7"/>
        <w:rPr>
          <w:b/>
          <w:bCs/>
          <w:color w:val="auto"/>
        </w:rPr>
      </w:pPr>
      <w:r>
        <w:rPr>
          <w:rFonts w:hint="eastAsia"/>
          <w:b/>
          <w:bCs/>
          <w:color w:val="auto"/>
        </w:rPr>
        <w:t>2.3.</w:t>
      </w:r>
      <w:r>
        <w:rPr>
          <w:b/>
          <w:bCs/>
          <w:color w:val="auto"/>
        </w:rPr>
        <w:t>2</w:t>
      </w:r>
      <w:r>
        <w:rPr>
          <w:rFonts w:hint="eastAsia"/>
          <w:b/>
          <w:bCs/>
          <w:color w:val="auto"/>
        </w:rPr>
        <w:t xml:space="preserve">.1 </w:t>
      </w:r>
      <w:bookmarkStart w:id="100" w:name="_Toc23780437"/>
      <w:r>
        <w:rPr>
          <w:rFonts w:hint="eastAsia"/>
          <w:b/>
          <w:bCs/>
          <w:color w:val="auto"/>
        </w:rPr>
        <w:t>地市环境监测站网络升级改造与整合</w:t>
      </w:r>
      <w:bookmarkEnd w:id="100"/>
    </w:p>
    <w:p>
      <w:pPr>
        <w:pStyle w:val="8"/>
        <w:rPr>
          <w:color w:val="auto"/>
          <w:sz w:val="21"/>
          <w:szCs w:val="21"/>
        </w:rPr>
      </w:pPr>
      <w:r>
        <w:rPr>
          <w:rFonts w:hint="eastAsia"/>
          <w:color w:val="auto"/>
          <w:sz w:val="21"/>
          <w:szCs w:val="21"/>
        </w:rPr>
        <w:t>2.3.</w:t>
      </w:r>
      <w:r>
        <w:rPr>
          <w:color w:val="auto"/>
          <w:sz w:val="21"/>
          <w:szCs w:val="21"/>
        </w:rPr>
        <w:t>2</w:t>
      </w:r>
      <w:r>
        <w:rPr>
          <w:rFonts w:hint="eastAsia"/>
          <w:color w:val="auto"/>
          <w:sz w:val="21"/>
          <w:szCs w:val="21"/>
        </w:rPr>
        <w:t xml:space="preserve">.1.1 </w:t>
      </w:r>
      <w:bookmarkStart w:id="101" w:name="_Toc23780438"/>
      <w:r>
        <w:rPr>
          <w:rFonts w:hint="eastAsia"/>
          <w:color w:val="auto"/>
          <w:sz w:val="21"/>
          <w:szCs w:val="21"/>
        </w:rPr>
        <w:t>区域生态环境监测预警中心</w:t>
      </w:r>
      <w:bookmarkEnd w:id="101"/>
    </w:p>
    <w:p>
      <w:pPr>
        <w:pStyle w:val="5"/>
        <w:rPr>
          <w:rFonts w:ascii="宋体" w:hAnsi="宋体" w:cs="宋体"/>
        </w:rPr>
      </w:pPr>
      <w:r>
        <w:rPr>
          <w:rFonts w:hint="eastAsia" w:ascii="宋体" w:hAnsi="宋体" w:cs="宋体"/>
        </w:rPr>
        <w:t>整体按照全省“监测一张网”总体要求，拓展整体升级全省5个区域中心、1</w:t>
      </w:r>
      <w:r>
        <w:rPr>
          <w:rFonts w:ascii="宋体" w:hAnsi="宋体" w:cs="宋体"/>
        </w:rPr>
        <w:t>6</w:t>
      </w:r>
      <w:r>
        <w:rPr>
          <w:rFonts w:hint="eastAsia" w:ascii="宋体" w:hAnsi="宋体" w:cs="宋体"/>
        </w:rPr>
        <w:t>个监测中心生态环境监测业务网，包括</w:t>
      </w:r>
      <w:r>
        <w:rPr>
          <w:rFonts w:ascii="宋体" w:hAnsi="宋体" w:cs="宋体"/>
        </w:rPr>
        <w:t>5</w:t>
      </w:r>
      <w:r>
        <w:rPr>
          <w:rFonts w:hint="eastAsia" w:ascii="宋体" w:hAnsi="宋体" w:cs="宋体"/>
        </w:rPr>
        <w:t>个区域中心、1</w:t>
      </w:r>
      <w:r>
        <w:rPr>
          <w:rFonts w:ascii="宋体" w:hAnsi="宋体" w:cs="宋体"/>
        </w:rPr>
        <w:t>6</w:t>
      </w:r>
      <w:r>
        <w:rPr>
          <w:rFonts w:hint="eastAsia" w:ascii="宋体" w:hAnsi="宋体" w:cs="宋体"/>
        </w:rPr>
        <w:t>个地市监测站等接入全省生态环境业务网络，按照“六位一体、区域协同”原则，推进区域预警中心智能化、标准化建设，包括区域监控指挥中心、可视化交互协同管理系统、视频监控系统、视频会议系统等整合升级或新建。按照“集中管控、分布接入”原则，统筹推进区域中心大屏、分布节点、监控、视频会议、无人机、无人船等智能化建设，根据分中心要求规范与要求，进行合规性配置与整合改造，支撑全省一张网和测管协同应用。</w:t>
      </w:r>
    </w:p>
    <w:p>
      <w:pPr>
        <w:pStyle w:val="5"/>
        <w:rPr>
          <w:rFonts w:ascii="宋体" w:hAnsi="宋体" w:cs="宋体"/>
        </w:rPr>
      </w:pPr>
      <w:r>
        <w:rPr>
          <w:rFonts w:hint="eastAsia" w:ascii="宋体" w:hAnsi="宋体" w:cs="宋体"/>
        </w:rPr>
        <w:t>具体的建设内容如下：</w:t>
      </w:r>
    </w:p>
    <w:p>
      <w:pPr>
        <w:pStyle w:val="5"/>
        <w:rPr>
          <w:rFonts w:ascii="宋体" w:hAnsi="宋体" w:cs="宋体"/>
        </w:rPr>
      </w:pPr>
      <w:r>
        <w:rPr>
          <w:rFonts w:hint="eastAsia" w:ascii="宋体" w:hAnsi="宋体" w:cs="宋体"/>
        </w:rPr>
        <w:t>1、生态环境监测业务网基础支撑改造。根据生态环境监测网络专项设计方案要求，对5个区域中心、1</w:t>
      </w:r>
      <w:r>
        <w:rPr>
          <w:rFonts w:ascii="宋体" w:hAnsi="宋体" w:cs="宋体"/>
        </w:rPr>
        <w:t>6</w:t>
      </w:r>
      <w:r>
        <w:rPr>
          <w:rFonts w:hint="eastAsia" w:ascii="宋体" w:hAnsi="宋体" w:cs="宋体"/>
        </w:rPr>
        <w:t>个地市环境监测站网络升级改造，调整优化整体网络拓扑结构，建立分级分域生态网络，评估通信量，规划IP地址、DNS、QOS资源分配；基于物联网和业务发展需求，支撑</w:t>
      </w:r>
      <w:r>
        <w:rPr>
          <w:rFonts w:ascii="宋体" w:hAnsi="宋体" w:cs="宋体"/>
        </w:rPr>
        <w:t>生态环境</w:t>
      </w:r>
      <w:r>
        <w:rPr>
          <w:rFonts w:hint="eastAsia" w:ascii="宋体" w:hAnsi="宋体" w:cs="宋体"/>
        </w:rPr>
        <w:t>监测网络进行I</w:t>
      </w:r>
      <w:r>
        <w:rPr>
          <w:rFonts w:ascii="宋体" w:hAnsi="宋体" w:cs="宋体"/>
        </w:rPr>
        <w:t>PV6拓展</w:t>
      </w:r>
      <w:r>
        <w:rPr>
          <w:rFonts w:hint="eastAsia" w:ascii="宋体" w:hAnsi="宋体" w:cs="宋体"/>
        </w:rPr>
        <w:t>升级，实现2</w:t>
      </w:r>
      <w:r>
        <w:rPr>
          <w:rFonts w:ascii="宋体" w:hAnsi="宋体" w:cs="宋体"/>
        </w:rPr>
        <w:t>1</w:t>
      </w:r>
      <w:r>
        <w:rPr>
          <w:rFonts w:hint="eastAsia" w:ascii="宋体" w:hAnsi="宋体" w:cs="宋体"/>
        </w:rPr>
        <w:t>个地市监测站电子政务网、环保专网“一张网”整合，实现互联网出口统一管理，支撑全省统一业务部署与服务；</w:t>
      </w:r>
    </w:p>
    <w:p>
      <w:pPr>
        <w:pStyle w:val="5"/>
        <w:rPr>
          <w:rFonts w:ascii="宋体" w:hAnsi="宋体" w:cs="宋体"/>
        </w:rPr>
      </w:pPr>
      <w:r>
        <w:rPr>
          <w:rFonts w:hint="eastAsia" w:ascii="宋体" w:hAnsi="宋体" w:cs="宋体"/>
        </w:rPr>
        <w:t>2、生态环境监测业务网信息安全升级与改造。按照省监测中心三级安全防护、地市监测中心、监测站二级安全防护要求，对标等保2.</w:t>
      </w:r>
      <w:r>
        <w:rPr>
          <w:rFonts w:ascii="宋体" w:hAnsi="宋体" w:cs="宋体"/>
        </w:rPr>
        <w:t>0</w:t>
      </w:r>
      <w:r>
        <w:rPr>
          <w:rFonts w:hint="eastAsia" w:ascii="宋体" w:hAnsi="宋体" w:cs="宋体"/>
        </w:rPr>
        <w:t>，对市监测站网络安全进行安全整改与设备升级；基于全省“五个一”要求，进行监测中心、监测站改造与接入，配备必要视频监控、视频会议等；在市监测站点出口部署防火墙等安全设备，保障整体网络安全。</w:t>
      </w:r>
    </w:p>
    <w:p>
      <w:pPr>
        <w:pStyle w:val="5"/>
        <w:rPr>
          <w:rFonts w:ascii="宋体" w:hAnsi="宋体" w:cs="宋体"/>
        </w:rPr>
      </w:pPr>
      <w:r>
        <w:rPr>
          <w:rFonts w:hint="eastAsia" w:ascii="宋体" w:hAnsi="宋体" w:cs="宋体"/>
        </w:rPr>
        <w:t>3、区域监控指挥中心建设。基于全省统一生态环境监测中控系统，开展区域监控指挥中心标准建设与集成接入。包括面积不低于1</w:t>
      </w:r>
      <w:r>
        <w:rPr>
          <w:rFonts w:ascii="宋体" w:hAnsi="宋体" w:cs="宋体"/>
        </w:rPr>
        <w:t>20</w:t>
      </w:r>
      <w:r>
        <w:rPr>
          <w:rFonts w:hint="eastAsia" w:ascii="宋体" w:hAnsi="宋体" w:cs="宋体"/>
        </w:rPr>
        <w:t>平方米监控指挥室，配备不低于12.9平方米高清大屏显示系统，不低于1</w:t>
      </w:r>
      <w:r>
        <w:rPr>
          <w:rFonts w:ascii="宋体" w:hAnsi="宋体" w:cs="宋体"/>
        </w:rPr>
        <w:t>0</w:t>
      </w:r>
      <w:r>
        <w:rPr>
          <w:rFonts w:hint="eastAsia" w:ascii="宋体" w:hAnsi="宋体" w:cs="宋体"/>
        </w:rPr>
        <w:t>人坐席。建设包括大屏幕显示系统及音视频调度系统等。本项目重点整合接入广州、深圳区域监测指挥中心，拓展建设汕头、韶关、湛江区域监测指挥中心。</w:t>
      </w:r>
    </w:p>
    <w:p>
      <w:pPr>
        <w:pStyle w:val="5"/>
        <w:rPr>
          <w:rFonts w:ascii="宋体" w:hAnsi="宋体" w:cs="宋体"/>
        </w:rPr>
      </w:pPr>
      <w:r>
        <w:rPr>
          <w:rFonts w:hint="eastAsia" w:ascii="宋体" w:hAnsi="宋体" w:cs="宋体"/>
        </w:rPr>
        <w:t>4、可视化交互协同管理系统。基于全省统一生态环境监测中控系统，实现区域主要监控设备、会议设备、业务节点接入与统一近控，每个区域中心视频监控接入节点不少于1个、视频会议节点接入不少于1个，大屏显示节点接入不少于1个；业务平台接入节点不少于1个，支撑实现全省生态环境监测统一中控管理、可视化展示和一体化运维工作。</w:t>
      </w:r>
    </w:p>
    <w:p>
      <w:pPr>
        <w:pStyle w:val="5"/>
        <w:rPr>
          <w:rFonts w:ascii="宋体" w:hAnsi="宋体" w:cs="宋体"/>
        </w:rPr>
      </w:pPr>
      <w:r>
        <w:rPr>
          <w:rFonts w:hint="eastAsia" w:ascii="宋体" w:hAnsi="宋体" w:cs="宋体"/>
        </w:rPr>
        <w:t>5、视频会议系统融合。基于全省统一协同调度管理平台要求，拓展建设或整合区域预警中心高清视频系统，原则每个区域预警中心建设固定视频会议室1-2间，地市监测站视频会议室1间，具备多种业务全面融合的多媒体通讯系统，集语音调度、视频会议、视频监控、移动视频回传应急指挥调度能力，实现省、市（区域中心）一体化协同调度管理。</w:t>
      </w:r>
    </w:p>
    <w:p>
      <w:pPr>
        <w:pStyle w:val="5"/>
        <w:rPr>
          <w:rFonts w:ascii="宋体" w:hAnsi="宋体" w:cs="宋体"/>
        </w:rPr>
      </w:pPr>
      <w:r>
        <w:rPr>
          <w:rFonts w:ascii="宋体" w:hAnsi="宋体" w:cs="宋体"/>
        </w:rPr>
        <w:t>6</w:t>
      </w:r>
      <w:r>
        <w:rPr>
          <w:rFonts w:hint="eastAsia" w:ascii="宋体" w:hAnsi="宋体" w:cs="宋体"/>
        </w:rPr>
        <w:t>、视频云平台资源整合。基于省监测中心视频云平台要求，整合现有水、气、噪声、实验室、安防等</w:t>
      </w:r>
      <w:r>
        <w:rPr>
          <w:rFonts w:ascii="宋体" w:hAnsi="宋体" w:cs="宋体"/>
        </w:rPr>
        <w:t>省级</w:t>
      </w:r>
      <w:r>
        <w:rPr>
          <w:rFonts w:hint="eastAsia" w:ascii="宋体" w:hAnsi="宋体" w:cs="宋体"/>
        </w:rPr>
        <w:t>已有视频监控平台，具备多种业务全面融合的多媒体通讯系统，集视频监控、移动视频回传、视频智能应用、应急指挥调度能力，实现省、市（区域中心）视频云资源调度与整合管理。</w:t>
      </w:r>
    </w:p>
    <w:p>
      <w:pPr>
        <w:pStyle w:val="5"/>
        <w:rPr>
          <w:rFonts w:ascii="宋体" w:hAnsi="宋体" w:cs="宋体"/>
        </w:rPr>
      </w:pPr>
    </w:p>
    <w:p>
      <w:pPr>
        <w:pStyle w:val="8"/>
        <w:rPr>
          <w:color w:val="auto"/>
          <w:sz w:val="21"/>
          <w:szCs w:val="21"/>
        </w:rPr>
      </w:pPr>
      <w:r>
        <w:rPr>
          <w:rFonts w:hint="eastAsia"/>
          <w:color w:val="auto"/>
          <w:sz w:val="21"/>
          <w:szCs w:val="21"/>
        </w:rPr>
        <w:t>2.3.</w:t>
      </w:r>
      <w:r>
        <w:rPr>
          <w:color w:val="auto"/>
          <w:sz w:val="21"/>
          <w:szCs w:val="21"/>
        </w:rPr>
        <w:t>2</w:t>
      </w:r>
      <w:r>
        <w:rPr>
          <w:rFonts w:hint="eastAsia"/>
          <w:color w:val="auto"/>
          <w:sz w:val="21"/>
          <w:szCs w:val="21"/>
        </w:rPr>
        <w:t>.1.</w:t>
      </w:r>
      <w:bookmarkStart w:id="102" w:name="_Toc23780439"/>
      <w:r>
        <w:rPr>
          <w:rFonts w:hint="eastAsia"/>
          <w:color w:val="auto"/>
          <w:sz w:val="21"/>
          <w:szCs w:val="21"/>
        </w:rPr>
        <w:t>2 地市监测站信息网络升级改造建设</w:t>
      </w:r>
      <w:bookmarkEnd w:id="102"/>
    </w:p>
    <w:p>
      <w:pPr>
        <w:pStyle w:val="5"/>
        <w:rPr>
          <w:rFonts w:ascii="宋体" w:hAnsi="宋体" w:cs="宋体"/>
        </w:rPr>
      </w:pPr>
      <w:r>
        <w:rPr>
          <w:rFonts w:hint="eastAsia" w:ascii="宋体" w:hAnsi="宋体" w:cs="宋体"/>
        </w:rPr>
        <w:t>地市监测站总体遵循全省生态环境监测网络建设标准规范要求，按照统一中控，全面融合接入要求，建设屏幕显示系统、视频会议系统及音视频调度系统等，原则地市监控满足工作人员的指挥调度、决策分析等工作需要；本项目重点整合接入1</w:t>
      </w:r>
      <w:r>
        <w:rPr>
          <w:rFonts w:ascii="宋体" w:hAnsi="宋体" w:cs="宋体"/>
        </w:rPr>
        <w:t>6</w:t>
      </w:r>
      <w:r>
        <w:rPr>
          <w:rFonts w:hint="eastAsia" w:ascii="宋体" w:hAnsi="宋体" w:cs="宋体"/>
        </w:rPr>
        <w:t>个地市监测站。</w:t>
      </w:r>
    </w:p>
    <w:p>
      <w:pPr>
        <w:pStyle w:val="5"/>
        <w:rPr>
          <w:rFonts w:ascii="宋体" w:hAnsi="宋体" w:cs="宋体"/>
        </w:rPr>
      </w:pPr>
      <w:r>
        <w:rPr>
          <w:rFonts w:hint="eastAsia" w:ascii="宋体" w:hAnsi="宋体" w:cs="宋体"/>
        </w:rPr>
        <w:t>一是开展站点业务网络基础支撑改造。按照全省统一网络规划，合理调研网络架构和</w:t>
      </w:r>
      <w:r>
        <w:rPr>
          <w:rFonts w:ascii="宋体" w:hAnsi="宋体" w:cs="宋体"/>
        </w:rPr>
        <w:t>IP地址规划，优化vlan、QOS、DNS配置，部署路由</w:t>
      </w:r>
      <w:r>
        <w:rPr>
          <w:rFonts w:hint="eastAsia" w:ascii="宋体" w:hAnsi="宋体" w:cs="宋体"/>
        </w:rPr>
        <w:t>交换等网络设备实现与省网络互连互通</w:t>
      </w:r>
      <w:r>
        <w:rPr>
          <w:rFonts w:ascii="宋体" w:hAnsi="宋体" w:cs="宋体"/>
        </w:rPr>
        <w:t>；</w:t>
      </w:r>
    </w:p>
    <w:p>
      <w:pPr>
        <w:pStyle w:val="5"/>
        <w:rPr>
          <w:rFonts w:ascii="宋体" w:hAnsi="宋体" w:cs="宋体"/>
        </w:rPr>
      </w:pPr>
      <w:r>
        <w:rPr>
          <w:rFonts w:hint="eastAsia" w:ascii="宋体" w:hAnsi="宋体" w:cs="宋体"/>
        </w:rPr>
        <w:t>二是监测站信息安全整改与升级。对照等保</w:t>
      </w:r>
      <w:r>
        <w:rPr>
          <w:rFonts w:ascii="宋体" w:hAnsi="宋体" w:cs="宋体"/>
        </w:rPr>
        <w:t>2.0，按照等保二级80分标准，对区域预警中心网络信息安全改造</w:t>
      </w:r>
      <w:r>
        <w:rPr>
          <w:rFonts w:hint="eastAsia" w:ascii="宋体" w:hAnsi="宋体" w:cs="宋体"/>
        </w:rPr>
        <w:t>，</w:t>
      </w:r>
      <w:r>
        <w:rPr>
          <w:rFonts w:ascii="宋体" w:hAnsi="宋体" w:cs="宋体"/>
        </w:rPr>
        <w:t>包括配备防火墙、安全一体机等安全防护设备</w:t>
      </w:r>
      <w:r>
        <w:rPr>
          <w:rFonts w:hint="eastAsia" w:ascii="宋体" w:hAnsi="宋体" w:cs="宋体"/>
        </w:rPr>
        <w:t>，通过网络改造和安全加固，使</w:t>
      </w:r>
      <w:r>
        <w:rPr>
          <w:rFonts w:ascii="宋体" w:hAnsi="宋体" w:cs="宋体"/>
        </w:rPr>
        <w:t>地市</w:t>
      </w:r>
      <w:r>
        <w:rPr>
          <w:rFonts w:hint="eastAsia" w:ascii="宋体" w:hAnsi="宋体" w:cs="宋体"/>
        </w:rPr>
        <w:t>信息</w:t>
      </w:r>
      <w:r>
        <w:rPr>
          <w:rFonts w:ascii="宋体" w:hAnsi="宋体" w:cs="宋体"/>
        </w:rPr>
        <w:t>网络安全建设达到国家信息安全等级保护二级建设的标准</w:t>
      </w:r>
    </w:p>
    <w:p>
      <w:pPr>
        <w:pStyle w:val="5"/>
        <w:rPr>
          <w:rFonts w:ascii="宋体" w:hAnsi="宋体" w:cs="宋体"/>
        </w:rPr>
      </w:pPr>
      <w:r>
        <w:rPr>
          <w:rFonts w:hint="eastAsia" w:ascii="宋体" w:hAnsi="宋体" w:cs="宋体"/>
        </w:rPr>
        <w:t>三是实现生态环境监测网络互联互通。基于全省分布式同管理系统，实现与地市监测站用户业务系统、视讯会议系统、监控系统、大屏显示系统、扩音系统等对接融合，为用户打造一个良好体验感的可视化综合管理平台。基于全省统一生态环境监测中控系统，实现区域主要监控设备、会议设备、业务节点接入与统一近控，每个地市监测站中心视频监控接入节点不少于</w:t>
      </w:r>
      <w:r>
        <w:rPr>
          <w:rFonts w:ascii="宋体" w:hAnsi="宋体" w:cs="宋体"/>
        </w:rPr>
        <w:t>1个、视频会议节点接入不少于1，大屏显示节点接入不少于1个，业务平台接入节点不少于1个，支撑实现全省生态环境监测统一中控管理、</w:t>
      </w:r>
      <w:r>
        <w:rPr>
          <w:rFonts w:hint="eastAsia" w:ascii="宋体" w:hAnsi="宋体" w:cs="宋体"/>
        </w:rPr>
        <w:t>大屏跨市调度、</w:t>
      </w:r>
      <w:r>
        <w:rPr>
          <w:rFonts w:ascii="宋体" w:hAnsi="宋体" w:cs="宋体"/>
        </w:rPr>
        <w:t>可视化展示和一体化运维工作。</w:t>
      </w:r>
    </w:p>
    <w:p>
      <w:pPr>
        <w:pStyle w:val="5"/>
        <w:rPr>
          <w:rFonts w:ascii="宋体" w:hAnsi="宋体" w:cs="宋体"/>
        </w:rPr>
      </w:pPr>
      <w:r>
        <w:rPr>
          <w:rFonts w:hint="eastAsia" w:ascii="宋体" w:hAnsi="宋体" w:cs="宋体"/>
        </w:rPr>
        <w:t>按照全省统一网络规划，合理调研网络架构和IP地址规划，优化vlan、QOS、DNS配置，部署路由交换等网络设备及安全防护设备，使</w:t>
      </w:r>
      <w:r>
        <w:rPr>
          <w:rFonts w:ascii="宋体" w:hAnsi="宋体" w:cs="宋体"/>
        </w:rPr>
        <w:t>地市和省监测中心网络互联互通</w:t>
      </w:r>
      <w:r>
        <w:rPr>
          <w:rFonts w:hint="eastAsia" w:ascii="宋体" w:hAnsi="宋体" w:cs="宋体"/>
        </w:rPr>
        <w:t>，网络</w:t>
      </w:r>
      <w:r>
        <w:rPr>
          <w:rFonts w:ascii="宋体" w:hAnsi="宋体" w:cs="宋体"/>
        </w:rPr>
        <w:t>安全防护达到等保二级要求</w:t>
      </w:r>
      <w:r>
        <w:rPr>
          <w:rFonts w:hint="eastAsia" w:ascii="宋体" w:hAnsi="宋体" w:cs="宋体"/>
        </w:rPr>
        <w:t>，</w:t>
      </w:r>
      <w:r>
        <w:rPr>
          <w:rFonts w:ascii="宋体" w:hAnsi="宋体" w:cs="宋体"/>
        </w:rPr>
        <w:t>支撑办公</w:t>
      </w:r>
      <w:r>
        <w:rPr>
          <w:rFonts w:hint="eastAsia" w:ascii="宋体" w:hAnsi="宋体" w:cs="宋体"/>
        </w:rPr>
        <w:t>、</w:t>
      </w:r>
      <w:r>
        <w:rPr>
          <w:rFonts w:ascii="宋体" w:hAnsi="宋体" w:cs="宋体"/>
        </w:rPr>
        <w:t>视频会议</w:t>
      </w:r>
      <w:r>
        <w:rPr>
          <w:rFonts w:hint="eastAsia" w:ascii="宋体" w:hAnsi="宋体" w:cs="宋体"/>
        </w:rPr>
        <w:t>、</w:t>
      </w:r>
      <w:r>
        <w:rPr>
          <w:rFonts w:ascii="宋体" w:hAnsi="宋体" w:cs="宋体"/>
        </w:rPr>
        <w:t>业务数据上报等业务</w:t>
      </w:r>
      <w:r>
        <w:rPr>
          <w:rFonts w:hint="eastAsia" w:ascii="宋体" w:hAnsi="宋体" w:cs="宋体"/>
        </w:rPr>
        <w:t>安全可靠运行。</w:t>
      </w:r>
    </w:p>
    <w:p>
      <w:pPr>
        <w:pStyle w:val="9"/>
        <w:rPr>
          <w:rFonts w:ascii="宋体" w:hAnsi="宋体" w:eastAsia="宋体" w:cs="宋体"/>
          <w:color w:val="auto"/>
        </w:rPr>
      </w:pPr>
      <w:r>
        <w:rPr>
          <w:rFonts w:hint="eastAsia" w:ascii="宋体" w:hAnsi="宋体" w:eastAsia="宋体" w:cs="宋体"/>
          <w:color w:val="auto"/>
        </w:rPr>
        <w:t>2.3.2.1.2.1 地市监测站网络安全升级</w:t>
      </w:r>
    </w:p>
    <w:p>
      <w:pPr>
        <w:pStyle w:val="5"/>
        <w:rPr>
          <w:rFonts w:ascii="宋体" w:hAnsi="宋体" w:cs="宋体"/>
        </w:rPr>
      </w:pPr>
      <w:r>
        <w:rPr>
          <w:rFonts w:ascii="宋体" w:hAnsi="宋体" w:cs="宋体"/>
        </w:rPr>
        <w:t>根据规划内容</w:t>
      </w:r>
      <w:r>
        <w:rPr>
          <w:rFonts w:hint="eastAsia" w:ascii="宋体" w:hAnsi="宋体" w:cs="宋体"/>
        </w:rPr>
        <w:t>，</w:t>
      </w:r>
      <w:r>
        <w:rPr>
          <w:rFonts w:ascii="宋体" w:hAnsi="宋体" w:cs="宋体"/>
        </w:rPr>
        <w:t>本项目</w:t>
      </w:r>
      <w:r>
        <w:rPr>
          <w:rFonts w:hint="eastAsia" w:ascii="宋体" w:hAnsi="宋体" w:cs="宋体"/>
        </w:rPr>
        <w:t>合理调研网络架构和IP地址规划，</w:t>
      </w:r>
      <w:r>
        <w:rPr>
          <w:rFonts w:ascii="宋体" w:hAnsi="宋体" w:cs="宋体"/>
        </w:rPr>
        <w:t>对16个地市监测站的网络改造</w:t>
      </w:r>
      <w:r>
        <w:rPr>
          <w:rFonts w:hint="eastAsia" w:ascii="宋体" w:hAnsi="宋体" w:cs="宋体"/>
        </w:rPr>
        <w:t>，优化QOS、DNS配置.</w:t>
      </w:r>
    </w:p>
    <w:p>
      <w:pPr>
        <w:pStyle w:val="9"/>
        <w:rPr>
          <w:rFonts w:ascii="宋体" w:hAnsi="宋体" w:eastAsia="宋体" w:cs="宋体"/>
          <w:color w:val="auto"/>
        </w:rPr>
      </w:pPr>
      <w:r>
        <w:rPr>
          <w:rFonts w:hint="eastAsia" w:ascii="宋体" w:hAnsi="宋体" w:eastAsia="宋体" w:cs="宋体"/>
          <w:color w:val="auto"/>
        </w:rPr>
        <w:t>2.3.2.1.2.2 IPV6网络地址改造与部署</w:t>
      </w:r>
    </w:p>
    <w:p>
      <w:pPr>
        <w:pStyle w:val="5"/>
        <w:rPr>
          <w:rFonts w:ascii="宋体" w:hAnsi="宋体" w:cs="宋体"/>
        </w:rPr>
      </w:pPr>
      <w:r>
        <w:rPr>
          <w:rFonts w:hint="eastAsia" w:ascii="宋体" w:hAnsi="宋体" w:cs="宋体"/>
        </w:rPr>
        <w:t>要全面合理规划区域流域监测网络，合理建立分级分区域分层业务网络体系。为了支撑监测网络的IPV6改造和IPV6业务，响应国家推进互联网协议第六版（IPV6）规模部署的行动计划，本次网络改造新增设备需具备IPV6能力，支撑IPV4地址向IPV6地址演进，为了保障平滑演进，需支持IPv4/IPv6双栈及支持过渡技术，最终实现全网具备IPV6地址的规模部署和业务承载能力。</w:t>
      </w:r>
    </w:p>
    <w:p>
      <w:pPr>
        <w:pStyle w:val="9"/>
        <w:rPr>
          <w:rFonts w:ascii="宋体" w:hAnsi="宋体" w:eastAsia="宋体" w:cs="宋体"/>
          <w:color w:val="auto"/>
        </w:rPr>
      </w:pPr>
      <w:r>
        <w:rPr>
          <w:rFonts w:hint="eastAsia" w:ascii="宋体" w:hAnsi="宋体" w:eastAsia="宋体" w:cs="宋体"/>
          <w:color w:val="auto"/>
        </w:rPr>
        <w:t>2.3.2.1.2.3 VLAN调整与优化配置</w:t>
      </w:r>
    </w:p>
    <w:p>
      <w:pPr>
        <w:pStyle w:val="5"/>
        <w:rPr>
          <w:rFonts w:ascii="宋体" w:hAnsi="宋体" w:cs="宋体"/>
        </w:rPr>
      </w:pPr>
      <w:r>
        <w:rPr>
          <w:rFonts w:hint="eastAsia" w:ascii="宋体" w:hAnsi="宋体" w:cs="宋体"/>
        </w:rPr>
        <w:t>业务采用PUPSPV，即每个监测站、每类生态要素的VLAN各不相同，实现业务隔离。</w:t>
      </w:r>
    </w:p>
    <w:p>
      <w:pPr>
        <w:pStyle w:val="5"/>
        <w:rPr>
          <w:rFonts w:ascii="宋体" w:hAnsi="宋体" w:cs="宋体"/>
        </w:rPr>
      </w:pPr>
      <w:r>
        <w:rPr>
          <w:rFonts w:hint="eastAsia" w:ascii="宋体" w:hAnsi="宋体" w:cs="宋体"/>
        </w:rPr>
        <w:t>将用户VLAN进行透传或者转换，并对不同业务做802.1p QoS标识。</w:t>
      </w:r>
    </w:p>
    <w:p>
      <w:pPr>
        <w:pStyle w:val="5"/>
        <w:rPr>
          <w:rFonts w:ascii="宋体" w:hAnsi="宋体" w:cs="宋体"/>
        </w:rPr>
      </w:pPr>
      <w:r>
        <w:rPr>
          <w:rFonts w:hint="eastAsia" w:ascii="宋体" w:hAnsi="宋体" w:cs="宋体"/>
        </w:rPr>
        <w:t>根据802.1p标记在用户接口实施QoS控制，优先保证网管等高优先级的业务流量，在拥塞时丢弃普通上网流量。</w:t>
      </w:r>
    </w:p>
    <w:p>
      <w:pPr>
        <w:pStyle w:val="9"/>
        <w:rPr>
          <w:rFonts w:ascii="宋体" w:hAnsi="宋体" w:eastAsia="宋体" w:cs="宋体"/>
          <w:color w:val="auto"/>
        </w:rPr>
      </w:pPr>
      <w:r>
        <w:rPr>
          <w:rFonts w:hint="eastAsia" w:ascii="宋体" w:hAnsi="宋体" w:eastAsia="宋体" w:cs="宋体"/>
          <w:color w:val="auto"/>
        </w:rPr>
        <w:t>2.3.2.1.2.4 QOS保障体系建设</w:t>
      </w:r>
    </w:p>
    <w:p>
      <w:pPr>
        <w:pStyle w:val="5"/>
        <w:rPr>
          <w:rFonts w:ascii="宋体" w:hAnsi="宋体" w:cs="宋体"/>
        </w:rPr>
      </w:pPr>
      <w:r>
        <w:rPr>
          <w:rFonts w:hint="eastAsia" w:ascii="宋体" w:hAnsi="宋体" w:cs="宋体"/>
        </w:rPr>
        <w:t>为了保证生态环境监测网络关键应用的网络带宽，将对应用按重要等级进行分类，在网络上，实现对不同等级的应用提供优先权不同的质量服务。</w:t>
      </w:r>
    </w:p>
    <w:p>
      <w:pPr>
        <w:pStyle w:val="8"/>
        <w:rPr>
          <w:color w:val="auto"/>
          <w:sz w:val="24"/>
          <w:szCs w:val="24"/>
        </w:rPr>
      </w:pPr>
      <w:r>
        <w:rPr>
          <w:rFonts w:hint="eastAsia"/>
          <w:color w:val="auto"/>
          <w:sz w:val="24"/>
          <w:szCs w:val="24"/>
        </w:rPr>
        <w:t>2.3.</w:t>
      </w:r>
      <w:r>
        <w:rPr>
          <w:color w:val="auto"/>
          <w:sz w:val="24"/>
          <w:szCs w:val="24"/>
        </w:rPr>
        <w:t>2</w:t>
      </w:r>
      <w:r>
        <w:rPr>
          <w:rFonts w:hint="eastAsia"/>
          <w:color w:val="auto"/>
          <w:sz w:val="24"/>
          <w:szCs w:val="24"/>
        </w:rPr>
        <w:t>.1.3 地市监测站网络互联互通融合</w:t>
      </w:r>
    </w:p>
    <w:p>
      <w:pPr>
        <w:pStyle w:val="9"/>
        <w:rPr>
          <w:color w:val="auto"/>
        </w:rPr>
      </w:pPr>
      <w:r>
        <w:rPr>
          <w:rFonts w:hint="eastAsia"/>
          <w:color w:val="auto"/>
        </w:rPr>
        <w:t>2.3.</w:t>
      </w:r>
      <w:r>
        <w:rPr>
          <w:color w:val="auto"/>
        </w:rPr>
        <w:t>2</w:t>
      </w:r>
      <w:r>
        <w:rPr>
          <w:rFonts w:hint="eastAsia"/>
          <w:color w:val="auto"/>
        </w:rPr>
        <w:t>.1.3.1 监控显示系统建设</w:t>
      </w:r>
    </w:p>
    <w:p>
      <w:pPr>
        <w:pStyle w:val="5"/>
        <w:rPr>
          <w:rFonts w:ascii="宋体" w:hAnsi="宋体" w:cs="宋体"/>
        </w:rPr>
      </w:pPr>
      <w:r>
        <w:rPr>
          <w:rFonts w:hint="eastAsia" w:ascii="宋体" w:hAnsi="宋体" w:cs="宋体"/>
        </w:rPr>
        <w:t>通过地市监控显示系统可以实现对的整个系统所需要显示的各种情况的动态监管，可随时对各种采集到的监控信号、网络信号及各种计算机图形信息进行多画面显示和分析，能够直观、完整、准确、清晰、灵活的显示任意有关来自各方面信息，便于及时做出判断和处理，实现实时监控和集中指挥、统一管控的目的。基于全省统一生态环境监测中控系统，开展地市监测站显示系统建设，包括至少1套</w:t>
      </w:r>
      <w:r>
        <w:rPr>
          <w:rFonts w:ascii="宋体" w:hAnsi="宋体" w:cs="宋体"/>
        </w:rPr>
        <w:t>86</w:t>
      </w:r>
      <w:r>
        <w:rPr>
          <w:rFonts w:hint="eastAsia" w:ascii="宋体" w:hAnsi="宋体" w:cs="宋体"/>
        </w:rPr>
        <w:t>寸交互式指挥屏。</w:t>
      </w:r>
    </w:p>
    <w:p>
      <w:pPr>
        <w:pStyle w:val="9"/>
        <w:rPr>
          <w:color w:val="auto"/>
        </w:rPr>
      </w:pPr>
      <w:r>
        <w:rPr>
          <w:rFonts w:hint="eastAsia"/>
          <w:color w:val="auto"/>
        </w:rPr>
        <w:t>2.3.</w:t>
      </w:r>
      <w:r>
        <w:rPr>
          <w:color w:val="auto"/>
        </w:rPr>
        <w:t>2</w:t>
      </w:r>
      <w:r>
        <w:rPr>
          <w:rFonts w:hint="eastAsia"/>
          <w:color w:val="auto"/>
        </w:rPr>
        <w:t>.1.3.2 视频会议系统融合</w:t>
      </w:r>
    </w:p>
    <w:p>
      <w:pPr>
        <w:pStyle w:val="5"/>
        <w:rPr>
          <w:rFonts w:ascii="宋体" w:hAnsi="宋体" w:cs="宋体"/>
        </w:rPr>
      </w:pPr>
      <w:r>
        <w:rPr>
          <w:rFonts w:hint="eastAsia" w:ascii="宋体" w:hAnsi="宋体" w:cs="宋体"/>
        </w:rPr>
        <w:t>基于全省环境监控中心视频</w:t>
      </w:r>
      <w:r>
        <w:rPr>
          <w:rFonts w:ascii="宋体" w:hAnsi="宋体" w:cs="宋体"/>
        </w:rPr>
        <w:t>会议</w:t>
      </w:r>
      <w:r>
        <w:rPr>
          <w:rFonts w:hint="eastAsia" w:ascii="宋体" w:hAnsi="宋体" w:cs="宋体"/>
        </w:rPr>
        <w:t>M</w:t>
      </w:r>
      <w:r>
        <w:rPr>
          <w:rFonts w:ascii="宋体" w:hAnsi="宋体" w:cs="宋体"/>
        </w:rPr>
        <w:t>CU</w:t>
      </w:r>
      <w:r>
        <w:rPr>
          <w:rFonts w:hint="eastAsia" w:ascii="宋体" w:hAnsi="宋体" w:cs="宋体"/>
        </w:rPr>
        <w:t>，拓展建设1</w:t>
      </w:r>
      <w:r>
        <w:rPr>
          <w:rFonts w:ascii="宋体" w:hAnsi="宋体" w:cs="宋体"/>
        </w:rPr>
        <w:t>6</w:t>
      </w:r>
      <w:r>
        <w:rPr>
          <w:rFonts w:hint="eastAsia" w:ascii="宋体" w:hAnsi="宋体" w:cs="宋体"/>
        </w:rPr>
        <w:t>个监测站视频会议系统，满足国家、省、市环境监测系统视频会议需求，可以召开高清双流视频会议，并综合集成了视频监控、远程指挥等多种功能。本次包括在地市监测站中心部署交互式指挥大屏，包含视频会议、触控白板和显示功能，并实现与省环境监测中心互联互通，实现省厅、省监测中心、区域监测中心、监测站和国家总站、省监测中心、区域监测中心、监测站全面互联互通，可实现省监测中心及下属单位会场可以直接加入到省政府或监测总站等上级单位会议室，实现跨级会议交互，充分保障了视频会议系统建设的前瞻性和应用的灵活性。</w:t>
      </w:r>
    </w:p>
    <w:p>
      <w:pPr>
        <w:pStyle w:val="5"/>
        <w:rPr>
          <w:rFonts w:ascii="宋体" w:hAnsi="宋体" w:cs="宋体"/>
        </w:rPr>
      </w:pPr>
    </w:p>
    <w:p>
      <w:pPr>
        <w:pStyle w:val="7"/>
        <w:rPr>
          <w:b/>
          <w:bCs/>
          <w:color w:val="auto"/>
          <w:sz w:val="24"/>
          <w:szCs w:val="24"/>
        </w:rPr>
      </w:pPr>
      <w:r>
        <w:rPr>
          <w:rFonts w:hint="eastAsia"/>
          <w:b/>
          <w:bCs/>
          <w:color w:val="auto"/>
          <w:sz w:val="24"/>
          <w:szCs w:val="24"/>
        </w:rPr>
        <w:t>2.3.</w:t>
      </w:r>
      <w:r>
        <w:rPr>
          <w:b/>
          <w:bCs/>
          <w:color w:val="auto"/>
          <w:sz w:val="24"/>
          <w:szCs w:val="24"/>
        </w:rPr>
        <w:t>2</w:t>
      </w:r>
      <w:r>
        <w:rPr>
          <w:rFonts w:hint="eastAsia"/>
          <w:b/>
          <w:bCs/>
          <w:color w:val="auto"/>
          <w:sz w:val="24"/>
          <w:szCs w:val="24"/>
        </w:rPr>
        <w:t>.</w:t>
      </w:r>
      <w:r>
        <w:rPr>
          <w:b/>
          <w:bCs/>
          <w:color w:val="auto"/>
          <w:sz w:val="24"/>
          <w:szCs w:val="24"/>
        </w:rPr>
        <w:t>2</w:t>
      </w:r>
      <w:r>
        <w:rPr>
          <w:rFonts w:hint="eastAsia"/>
          <w:b/>
          <w:bCs/>
          <w:color w:val="auto"/>
          <w:sz w:val="24"/>
          <w:szCs w:val="24"/>
        </w:rPr>
        <w:t xml:space="preserve"> </w:t>
      </w:r>
      <w:bookmarkStart w:id="103" w:name="_Toc23780440"/>
      <w:r>
        <w:rPr>
          <w:rFonts w:hint="eastAsia"/>
          <w:b/>
          <w:bCs/>
          <w:color w:val="auto"/>
          <w:sz w:val="24"/>
          <w:szCs w:val="24"/>
        </w:rPr>
        <w:t>生态环境监测中心会商互联互通智能化融合</w:t>
      </w:r>
      <w:bookmarkEnd w:id="103"/>
    </w:p>
    <w:p>
      <w:pPr>
        <w:pStyle w:val="5"/>
        <w:rPr>
          <w:rFonts w:ascii="宋体" w:hAnsi="宋体" w:cs="宋体"/>
        </w:rPr>
      </w:pPr>
      <w:r>
        <w:rPr>
          <w:rFonts w:hint="eastAsia" w:ascii="宋体" w:hAnsi="宋体" w:cs="宋体"/>
        </w:rPr>
        <w:t>地市监测中心互联互通融合。在前期视频监控的基础上，基于集中中控管理的架构与要求，搭建智能中控体系，进行高清会议会商系统、指挥调度监控融合系统等建设，打造“绿色、透明、安全、舒适”监控中心。</w:t>
      </w:r>
    </w:p>
    <w:p>
      <w:pPr>
        <w:pStyle w:val="5"/>
        <w:rPr>
          <w:rFonts w:ascii="宋体" w:hAnsi="宋体" w:cs="宋体"/>
        </w:rPr>
      </w:pPr>
      <w:r>
        <w:rPr>
          <w:rFonts w:hint="eastAsia" w:ascii="宋体" w:hAnsi="宋体" w:cs="宋体"/>
        </w:rPr>
        <w:t>为</w:t>
      </w:r>
      <w:r>
        <w:rPr>
          <w:rFonts w:ascii="宋体" w:hAnsi="宋体" w:cs="宋体"/>
        </w:rPr>
        <w:t>匹配</w:t>
      </w:r>
      <w:r>
        <w:rPr>
          <w:rFonts w:hint="eastAsia" w:ascii="宋体" w:hAnsi="宋体" w:cs="宋体"/>
        </w:rPr>
        <w:t>生态环境监测中心会商互联互通建设需求，本次将构建一套</w:t>
      </w:r>
      <w:r>
        <w:rPr>
          <w:rFonts w:ascii="宋体" w:hAnsi="宋体" w:cs="宋体"/>
        </w:rPr>
        <w:t>可视化的视频调度平台</w:t>
      </w:r>
      <w:r>
        <w:rPr>
          <w:rFonts w:hint="eastAsia" w:ascii="宋体" w:hAnsi="宋体" w:cs="宋体"/>
        </w:rPr>
        <w:t>。</w:t>
      </w:r>
      <w:r>
        <w:rPr>
          <w:rFonts w:ascii="宋体" w:hAnsi="宋体" w:cs="宋体"/>
        </w:rPr>
        <w:t>此平台</w:t>
      </w:r>
      <w:r>
        <w:rPr>
          <w:rFonts w:hint="eastAsia" w:ascii="宋体" w:hAnsi="宋体" w:cs="宋体"/>
        </w:rPr>
        <w:t>通过</w:t>
      </w:r>
      <w:r>
        <w:rPr>
          <w:rFonts w:ascii="宋体" w:hAnsi="宋体" w:cs="宋体"/>
        </w:rPr>
        <w:t>各种通信手段，视频</w:t>
      </w:r>
      <w:r>
        <w:rPr>
          <w:rFonts w:hint="eastAsia" w:ascii="宋体" w:hAnsi="宋体" w:cs="宋体"/>
        </w:rPr>
        <w:t>资源的</w:t>
      </w:r>
      <w:r>
        <w:rPr>
          <w:rFonts w:ascii="宋体" w:hAnsi="宋体" w:cs="宋体"/>
        </w:rPr>
        <w:t>融合</w:t>
      </w:r>
      <w:r>
        <w:rPr>
          <w:rFonts w:hint="eastAsia" w:ascii="宋体" w:hAnsi="宋体" w:cs="宋体"/>
        </w:rPr>
        <w:t>，</w:t>
      </w:r>
      <w:r>
        <w:rPr>
          <w:rFonts w:ascii="宋体" w:hAnsi="宋体" w:cs="宋体"/>
        </w:rPr>
        <w:t>满足省厅指挥中心在各种重大事件和发生重大事件时</w:t>
      </w:r>
      <w:r>
        <w:rPr>
          <w:rFonts w:hint="eastAsia" w:ascii="宋体" w:hAnsi="宋体" w:cs="宋体"/>
        </w:rPr>
        <w:t>，</w:t>
      </w:r>
      <w:r>
        <w:rPr>
          <w:rFonts w:ascii="宋体" w:hAnsi="宋体" w:cs="宋体"/>
        </w:rPr>
        <w:t>对事件和现场情况的快速研判和会商决策</w:t>
      </w:r>
      <w:r>
        <w:rPr>
          <w:rFonts w:hint="eastAsia" w:ascii="宋体" w:hAnsi="宋体" w:cs="宋体"/>
        </w:rPr>
        <w:t>，对现场应急</w:t>
      </w:r>
      <w:r>
        <w:rPr>
          <w:rFonts w:ascii="宋体" w:hAnsi="宋体" w:cs="宋体"/>
        </w:rPr>
        <w:t>指挥</w:t>
      </w:r>
      <w:r>
        <w:rPr>
          <w:rFonts w:hint="eastAsia" w:ascii="宋体" w:hAnsi="宋体" w:cs="宋体"/>
        </w:rPr>
        <w:t>。</w:t>
      </w:r>
    </w:p>
    <w:p>
      <w:pPr>
        <w:pStyle w:val="5"/>
        <w:rPr>
          <w:rFonts w:ascii="宋体" w:hAnsi="宋体" w:cs="宋体"/>
        </w:rPr>
      </w:pPr>
      <w:r>
        <w:rPr>
          <w:rFonts w:hint="eastAsia" w:ascii="宋体" w:hAnsi="宋体" w:cs="宋体"/>
        </w:rPr>
        <w:t>视频调度平台通过统一接入视频会议，视频监控，无人机等视频源，实现根据需要统一对应急指挥中心和各种后台数据的统一接入和控制呈现，</w:t>
      </w:r>
      <w:r>
        <w:rPr>
          <w:rFonts w:ascii="宋体" w:hAnsi="宋体" w:cs="宋体"/>
        </w:rPr>
        <w:t>让</w:t>
      </w:r>
      <w:r>
        <w:rPr>
          <w:rFonts w:hint="eastAsia" w:ascii="宋体" w:hAnsi="宋体" w:cs="宋体"/>
        </w:rPr>
        <w:t>各级指挥中心，和一线处置人员可以掌握详尽的视频和数据资料。</w:t>
      </w:r>
    </w:p>
    <w:p>
      <w:pPr>
        <w:pStyle w:val="5"/>
        <w:rPr>
          <w:rFonts w:ascii="宋体" w:hAnsi="宋体" w:cs="宋体"/>
        </w:rPr>
      </w:pPr>
      <w:r>
        <w:rPr>
          <w:rFonts w:ascii="宋体" w:hAnsi="宋体" w:cs="宋体"/>
        </w:rPr>
        <w:t>可视决策平台基于标准的H</w:t>
      </w:r>
      <w:r>
        <w:rPr>
          <w:rFonts w:hint="eastAsia" w:ascii="宋体" w:hAnsi="宋体" w:cs="宋体"/>
        </w:rPr>
        <w:t>.</w:t>
      </w:r>
      <w:r>
        <w:rPr>
          <w:rFonts w:ascii="宋体" w:hAnsi="宋体" w:cs="宋体"/>
        </w:rPr>
        <w:t>323/SIP/T28181协议产品和系统建设</w:t>
      </w:r>
      <w:r>
        <w:rPr>
          <w:rFonts w:hint="eastAsia" w:ascii="宋体" w:hAnsi="宋体" w:cs="宋体"/>
        </w:rPr>
        <w:t>，包括视频集中控制平台，媒体处理平台，录播/点播平台，语音融合平台，媒体融合平台，视频监控系统等系统。可以提供决策指挥台调度和专业的大屏调度控制应用。</w:t>
      </w:r>
    </w:p>
    <w:p>
      <w:pPr>
        <w:pStyle w:val="5"/>
        <w:rPr>
          <w:rFonts w:ascii="宋体" w:hAnsi="宋体" w:cs="宋体"/>
        </w:rPr>
      </w:pPr>
      <w:r>
        <w:rPr>
          <w:rFonts w:ascii="宋体" w:hAnsi="宋体" w:cs="宋体"/>
        </w:rPr>
        <w:t>通过标准的H</w:t>
      </w:r>
      <w:r>
        <w:rPr>
          <w:rFonts w:hint="eastAsia" w:ascii="宋体" w:hAnsi="宋体" w:cs="宋体"/>
        </w:rPr>
        <w:t>.</w:t>
      </w:r>
      <w:r>
        <w:rPr>
          <w:rFonts w:ascii="宋体" w:hAnsi="宋体" w:cs="宋体"/>
        </w:rPr>
        <w:t>323</w:t>
      </w:r>
      <w:r>
        <w:rPr>
          <w:rFonts w:hint="eastAsia" w:ascii="宋体" w:hAnsi="宋体" w:cs="宋体"/>
        </w:rPr>
        <w:t>/</w:t>
      </w:r>
      <w:r>
        <w:rPr>
          <w:rFonts w:ascii="宋体" w:hAnsi="宋体" w:cs="宋体"/>
        </w:rPr>
        <w:t>SIP</w:t>
      </w:r>
      <w:r>
        <w:rPr>
          <w:rFonts w:hint="eastAsia" w:ascii="宋体" w:hAnsi="宋体" w:cs="宋体"/>
        </w:rPr>
        <w:t>，</w:t>
      </w:r>
      <w:r>
        <w:rPr>
          <w:rFonts w:ascii="宋体" w:hAnsi="宋体" w:cs="宋体"/>
        </w:rPr>
        <w:t>接入各级决策指挥中心</w:t>
      </w:r>
      <w:r>
        <w:rPr>
          <w:rFonts w:hint="eastAsia" w:ascii="宋体" w:hAnsi="宋体" w:cs="宋体"/>
        </w:rPr>
        <w:t>的视频会议设备。基于标准的T</w:t>
      </w:r>
      <w:r>
        <w:rPr>
          <w:rFonts w:ascii="宋体" w:hAnsi="宋体" w:cs="宋体"/>
        </w:rPr>
        <w:t>28181</w:t>
      </w:r>
      <w:r>
        <w:rPr>
          <w:rFonts w:hint="eastAsia" w:ascii="宋体" w:hAnsi="宋体" w:cs="宋体"/>
        </w:rPr>
        <w:t>，</w:t>
      </w:r>
      <w:r>
        <w:rPr>
          <w:rFonts w:ascii="宋体" w:hAnsi="宋体" w:cs="宋体"/>
        </w:rPr>
        <w:t>接入各级</w:t>
      </w:r>
      <w:r>
        <w:rPr>
          <w:rFonts w:hint="eastAsia" w:ascii="宋体" w:hAnsi="宋体" w:cs="宋体"/>
        </w:rPr>
        <w:t>监控设备。</w:t>
      </w:r>
    </w:p>
    <w:p>
      <w:pPr>
        <w:pStyle w:val="5"/>
        <w:rPr>
          <w:rFonts w:ascii="宋体" w:hAnsi="宋体" w:cs="宋体"/>
        </w:rPr>
      </w:pPr>
      <w:r>
        <w:rPr>
          <w:rFonts w:ascii="宋体" w:hAnsi="宋体" w:cs="宋体"/>
        </w:rPr>
        <w:t>各种视频源通过可视决策平台后</w:t>
      </w:r>
      <w:r>
        <w:rPr>
          <w:rFonts w:hint="eastAsia" w:ascii="宋体" w:hAnsi="宋体" w:cs="宋体"/>
        </w:rPr>
        <w:t>，</w:t>
      </w:r>
      <w:r>
        <w:rPr>
          <w:rFonts w:ascii="宋体" w:hAnsi="宋体" w:cs="宋体"/>
        </w:rPr>
        <w:t>可以满足大屏统一上墙</w:t>
      </w:r>
      <w:r>
        <w:rPr>
          <w:rFonts w:hint="eastAsia" w:ascii="宋体" w:hAnsi="宋体" w:cs="宋体"/>
        </w:rPr>
        <w:t>，</w:t>
      </w:r>
      <w:r>
        <w:rPr>
          <w:rFonts w:ascii="宋体" w:hAnsi="宋体" w:cs="宋体"/>
        </w:rPr>
        <w:t>应急决策会商</w:t>
      </w:r>
      <w:r>
        <w:rPr>
          <w:rFonts w:hint="eastAsia" w:ascii="宋体" w:hAnsi="宋体" w:cs="宋体"/>
        </w:rPr>
        <w:t>，</w:t>
      </w:r>
      <w:r>
        <w:rPr>
          <w:rFonts w:ascii="宋体" w:hAnsi="宋体" w:cs="宋体"/>
        </w:rPr>
        <w:t>辅助决策</w:t>
      </w:r>
      <w:r>
        <w:rPr>
          <w:rFonts w:hint="eastAsia" w:ascii="宋体" w:hAnsi="宋体" w:cs="宋体"/>
        </w:rPr>
        <w:t>，</w:t>
      </w:r>
      <w:r>
        <w:rPr>
          <w:rFonts w:ascii="宋体" w:hAnsi="宋体" w:cs="宋体"/>
        </w:rPr>
        <w:t>综合态势研判等各种场景的需求</w:t>
      </w:r>
      <w:r>
        <w:rPr>
          <w:rFonts w:hint="eastAsia" w:ascii="宋体" w:hAnsi="宋体" w:cs="宋体"/>
        </w:rPr>
        <w:t>。</w:t>
      </w:r>
    </w:p>
    <w:p>
      <w:pPr>
        <w:pStyle w:val="8"/>
        <w:rPr>
          <w:rFonts w:hAnsi="宋体"/>
          <w:color w:val="auto"/>
          <w:sz w:val="24"/>
          <w:szCs w:val="24"/>
        </w:rPr>
      </w:pPr>
      <w:r>
        <w:rPr>
          <w:rFonts w:hint="eastAsia" w:hAnsi="宋体"/>
          <w:color w:val="auto"/>
          <w:sz w:val="24"/>
          <w:szCs w:val="24"/>
        </w:rPr>
        <w:t xml:space="preserve">2.3.2.2.1 </w:t>
      </w:r>
      <w:bookmarkStart w:id="104" w:name="_Toc23780441"/>
      <w:r>
        <w:rPr>
          <w:rFonts w:hint="eastAsia" w:hAnsi="宋体"/>
          <w:color w:val="auto"/>
          <w:sz w:val="24"/>
          <w:szCs w:val="24"/>
        </w:rPr>
        <w:t>地市互联互通会商融合体系建设</w:t>
      </w:r>
      <w:bookmarkEnd w:id="104"/>
    </w:p>
    <w:p>
      <w:pPr>
        <w:pStyle w:val="5"/>
        <w:rPr>
          <w:rFonts w:ascii="宋体" w:hAnsi="宋体" w:cs="宋体"/>
        </w:rPr>
      </w:pPr>
      <w:r>
        <w:rPr>
          <w:rFonts w:hint="eastAsia" w:ascii="宋体" w:hAnsi="宋体" w:cs="宋体"/>
        </w:rPr>
        <w:t>根据目前对监测站需求现状的分析，结合当前省环境监测中心与下面地级市21个监测站的实际情况。</w:t>
      </w:r>
    </w:p>
    <w:p>
      <w:pPr>
        <w:pStyle w:val="5"/>
        <w:rPr>
          <w:rFonts w:ascii="宋体" w:hAnsi="宋体" w:cs="宋体"/>
        </w:rPr>
      </w:pPr>
      <w:r>
        <w:rPr>
          <w:rFonts w:hint="eastAsia" w:ascii="宋体" w:hAnsi="宋体" w:cs="宋体"/>
        </w:rPr>
        <w:t>本项目主要包含基础建设工程及各业务系统建设，其中业务系统包括大屏显示系统、视频会议系统、视频监控平台等配套设施工程。基于全省统一生态环境监测中控系统，实现区域主要监控设备、会议设备接入与统一近控，每个区域中心视频监控接入节点不少于</w:t>
      </w:r>
      <w:r>
        <w:rPr>
          <w:rFonts w:ascii="宋体" w:hAnsi="宋体" w:cs="宋体"/>
        </w:rPr>
        <w:t>1个、视频会议节点接入不少于</w:t>
      </w:r>
      <w:r>
        <w:rPr>
          <w:rFonts w:hint="eastAsia" w:ascii="宋体" w:hAnsi="宋体" w:cs="宋体"/>
        </w:rPr>
        <w:t>1个</w:t>
      </w:r>
      <w:r>
        <w:rPr>
          <w:rFonts w:ascii="宋体" w:hAnsi="宋体" w:cs="宋体"/>
        </w:rPr>
        <w:t>，大屏显示节点接入不少于1个；业务平台接入节点不少于1个，支撑实现全省生态环境监测统一中控管理、可视化展示和一体化运维工作。</w:t>
      </w:r>
    </w:p>
    <w:p>
      <w:pPr>
        <w:pStyle w:val="8"/>
        <w:rPr>
          <w:color w:val="auto"/>
          <w:sz w:val="24"/>
          <w:szCs w:val="24"/>
        </w:rPr>
      </w:pPr>
      <w:r>
        <w:rPr>
          <w:rFonts w:hint="eastAsia"/>
          <w:color w:val="auto"/>
          <w:sz w:val="24"/>
          <w:szCs w:val="24"/>
        </w:rPr>
        <w:t>2.3.</w:t>
      </w:r>
      <w:r>
        <w:rPr>
          <w:color w:val="auto"/>
          <w:sz w:val="24"/>
          <w:szCs w:val="24"/>
        </w:rPr>
        <w:t>2</w:t>
      </w:r>
      <w:r>
        <w:rPr>
          <w:rFonts w:hint="eastAsia"/>
          <w:color w:val="auto"/>
          <w:sz w:val="24"/>
          <w:szCs w:val="24"/>
        </w:rPr>
        <w:t>.</w:t>
      </w:r>
      <w:r>
        <w:rPr>
          <w:color w:val="auto"/>
          <w:sz w:val="24"/>
          <w:szCs w:val="24"/>
        </w:rPr>
        <w:t>2</w:t>
      </w:r>
      <w:r>
        <w:rPr>
          <w:rFonts w:hint="eastAsia"/>
          <w:color w:val="auto"/>
          <w:sz w:val="24"/>
          <w:szCs w:val="24"/>
        </w:rPr>
        <w:t>.</w:t>
      </w:r>
      <w:r>
        <w:rPr>
          <w:color w:val="auto"/>
          <w:sz w:val="24"/>
          <w:szCs w:val="24"/>
        </w:rPr>
        <w:t>2</w:t>
      </w:r>
      <w:r>
        <w:rPr>
          <w:rFonts w:hint="eastAsia"/>
          <w:color w:val="auto"/>
          <w:sz w:val="24"/>
          <w:szCs w:val="24"/>
        </w:rPr>
        <w:t xml:space="preserve"> 监测中心网络改造建设</w:t>
      </w:r>
    </w:p>
    <w:p>
      <w:pPr>
        <w:pStyle w:val="5"/>
        <w:rPr>
          <w:rFonts w:ascii="宋体" w:hAnsi="宋体" w:cs="宋体"/>
        </w:rPr>
      </w:pPr>
      <w:r>
        <w:rPr>
          <w:rFonts w:ascii="宋体" w:hAnsi="宋体" w:cs="宋体"/>
        </w:rPr>
        <w:t>在监测中心出口部署一台路由器实现与</w:t>
      </w:r>
      <w:r>
        <w:rPr>
          <w:rFonts w:hint="eastAsia" w:ascii="宋体" w:hAnsi="宋体" w:cs="宋体"/>
        </w:rPr>
        <w:t>5个区域预警中心和1</w:t>
      </w:r>
      <w:r>
        <w:rPr>
          <w:rFonts w:ascii="宋体" w:hAnsi="宋体" w:cs="宋体"/>
        </w:rPr>
        <w:t>6个市监测站互联互通</w:t>
      </w:r>
      <w:r>
        <w:rPr>
          <w:rFonts w:hint="eastAsia" w:ascii="宋体" w:hAnsi="宋体" w:cs="宋体"/>
        </w:rPr>
        <w:t>，</w:t>
      </w:r>
      <w:r>
        <w:rPr>
          <w:rFonts w:ascii="宋体" w:hAnsi="宋体" w:cs="宋体"/>
        </w:rPr>
        <w:t>部署</w:t>
      </w:r>
      <w:r>
        <w:rPr>
          <w:rFonts w:hint="eastAsia" w:ascii="宋体" w:hAnsi="宋体" w:cs="宋体"/>
        </w:rPr>
        <w:t>2台接入交换机用于视频监控平台、融合调度网关等接入，核心交换机、防火墙等其他网络安全设备利旧。另外在监测中心部署广域S</w:t>
      </w:r>
      <w:r>
        <w:rPr>
          <w:rFonts w:ascii="宋体" w:hAnsi="宋体" w:cs="宋体"/>
        </w:rPr>
        <w:t>DN控制器和网络管理平台</w:t>
      </w:r>
      <w:r>
        <w:rPr>
          <w:rFonts w:hint="eastAsia" w:ascii="宋体" w:hAnsi="宋体" w:cs="宋体"/>
        </w:rPr>
        <w:t>，实现网络的可视化管理和业务的快速发放。</w:t>
      </w:r>
    </w:p>
    <w:p>
      <w:pPr>
        <w:pStyle w:val="5"/>
        <w:rPr>
          <w:rFonts w:ascii="宋体" w:hAnsi="宋体" w:cs="宋体"/>
        </w:rPr>
      </w:pPr>
      <w:r>
        <w:rPr>
          <w:rFonts w:hint="eastAsia" w:ascii="宋体" w:hAnsi="宋体" w:cs="宋体"/>
        </w:rPr>
        <w:t>基于全网资源分层可视，提供物理拓扑、逻辑拓扑、隧道、</w:t>
      </w:r>
      <w:r>
        <w:rPr>
          <w:rFonts w:ascii="宋体" w:hAnsi="宋体" w:cs="宋体"/>
        </w:rPr>
        <w:t>VPN业务多层视图，提供强大、灵活的管控能力，</w:t>
      </w:r>
      <w:r>
        <w:rPr>
          <w:rFonts w:hint="eastAsia" w:ascii="宋体" w:hAnsi="宋体" w:cs="宋体"/>
        </w:rPr>
        <w:t>省监控中心通过S</w:t>
      </w:r>
      <w:r>
        <w:rPr>
          <w:rFonts w:ascii="宋体" w:hAnsi="宋体" w:cs="宋体"/>
        </w:rPr>
        <w:t>DN</w:t>
      </w:r>
      <w:r>
        <w:rPr>
          <w:rFonts w:hint="eastAsia" w:ascii="宋体" w:hAnsi="宋体" w:cs="宋体"/>
        </w:rPr>
        <w:t>平台，向地市发放策略，按需调整，业务自动驱动隧道创建调整，大大缩短业务上线周期，提升业务发放效率。</w:t>
      </w:r>
    </w:p>
    <w:p>
      <w:pPr>
        <w:pStyle w:val="5"/>
        <w:rPr>
          <w:rFonts w:ascii="宋体" w:hAnsi="宋体" w:cs="宋体"/>
        </w:rPr>
      </w:pPr>
      <w:r>
        <w:rPr>
          <w:rFonts w:hint="eastAsia" w:ascii="宋体" w:hAnsi="宋体" w:cs="宋体"/>
        </w:rPr>
        <w:t>利用S</w:t>
      </w:r>
      <w:r>
        <w:rPr>
          <w:rFonts w:ascii="宋体" w:hAnsi="宋体" w:cs="宋体"/>
        </w:rPr>
        <w:t>DN</w:t>
      </w:r>
      <w:r>
        <w:rPr>
          <w:rFonts w:hint="eastAsia" w:ascii="宋体" w:hAnsi="宋体" w:cs="宋体"/>
        </w:rPr>
        <w:t>（软件定义网络）技术，S</w:t>
      </w:r>
      <w:r>
        <w:rPr>
          <w:rFonts w:ascii="宋体" w:hAnsi="宋体" w:cs="宋体"/>
        </w:rPr>
        <w:t>DN控制器</w:t>
      </w:r>
      <w:r>
        <w:rPr>
          <w:rFonts w:hint="eastAsia" w:ascii="宋体" w:hAnsi="宋体" w:cs="宋体"/>
        </w:rPr>
        <w:t>基于全网资源分层可视，实现从网络拓扑到业务</w:t>
      </w:r>
      <w:r>
        <w:rPr>
          <w:rFonts w:ascii="宋体" w:hAnsi="宋体" w:cs="宋体"/>
        </w:rPr>
        <w:t>VPN的360度网络可视化，便于管理和规划，自动发现网络资源，提升运维效率，减少网络初始化时间。各科室VPN业务</w:t>
      </w:r>
      <w:r>
        <w:rPr>
          <w:rFonts w:hint="eastAsia" w:ascii="宋体" w:hAnsi="宋体" w:cs="宋体"/>
        </w:rPr>
        <w:t>自动驱动隧道创建调整，大大缩短业务上线周期，提升业务发放效率，实现V</w:t>
      </w:r>
      <w:r>
        <w:rPr>
          <w:rFonts w:ascii="宋体" w:hAnsi="宋体" w:cs="宋体"/>
        </w:rPr>
        <w:t>PN业务快速部署发放</w:t>
      </w:r>
      <w:r>
        <w:rPr>
          <w:rFonts w:hint="eastAsia" w:ascii="宋体" w:hAnsi="宋体" w:cs="宋体"/>
        </w:rPr>
        <w:t>。</w:t>
      </w:r>
    </w:p>
    <w:bookmarkEnd w:id="68"/>
    <w:bookmarkEnd w:id="76"/>
    <w:p>
      <w:pPr>
        <w:pStyle w:val="131"/>
        <w:numPr>
          <w:ilvl w:val="1"/>
          <w:numId w:val="7"/>
        </w:numPr>
        <w:ind w:left="567"/>
        <w:outlineLvl w:val="2"/>
        <w:rPr>
          <w:rFonts w:ascii="宋体" w:hAnsi="宋体" w:eastAsia="宋体" w:cs="宋体"/>
          <w:sz w:val="24"/>
          <w:szCs w:val="24"/>
        </w:rPr>
      </w:pPr>
      <w:bookmarkStart w:id="105" w:name="_Toc528478949"/>
      <w:bookmarkEnd w:id="105"/>
      <w:bookmarkStart w:id="106" w:name="_Toc364084816"/>
      <w:bookmarkStart w:id="107" w:name="_Toc365555443"/>
      <w:bookmarkStart w:id="108" w:name="_Toc387787486"/>
      <w:bookmarkStart w:id="109" w:name="_Toc458468980"/>
      <w:bookmarkStart w:id="110" w:name="_Toc46241984"/>
      <w:bookmarkStart w:id="111" w:name="_Toc360898663"/>
      <w:bookmarkStart w:id="112" w:name="_Toc528593569"/>
      <w:r>
        <w:rPr>
          <w:rFonts w:hint="eastAsia" w:ascii="宋体" w:hAnsi="宋体" w:eastAsia="宋体" w:cs="宋体"/>
          <w:sz w:val="24"/>
          <w:szCs w:val="24"/>
        </w:rPr>
        <w:t>项目总体要求</w:t>
      </w:r>
      <w:bookmarkEnd w:id="106"/>
      <w:bookmarkEnd w:id="107"/>
      <w:bookmarkEnd w:id="108"/>
      <w:bookmarkEnd w:id="109"/>
      <w:bookmarkEnd w:id="110"/>
      <w:bookmarkEnd w:id="111"/>
      <w:bookmarkEnd w:id="112"/>
    </w:p>
    <w:p>
      <w:pPr>
        <w:pStyle w:val="5"/>
        <w:rPr>
          <w:rFonts w:ascii="宋体" w:hAnsi="宋体" w:cs="宋体"/>
        </w:rPr>
      </w:pPr>
      <w:r>
        <w:rPr>
          <w:rFonts w:hint="eastAsia" w:ascii="宋体" w:hAnsi="宋体" w:cs="宋体"/>
        </w:rPr>
        <w:t>项目建设应与广东省生态环境厅信息网络规划进行衔接，</w:t>
      </w:r>
      <w:r>
        <w:rPr>
          <w:rFonts w:ascii="宋体" w:hAnsi="宋体" w:cs="宋体"/>
        </w:rPr>
        <w:t>各部分建设遵循统一的</w:t>
      </w:r>
      <w:r>
        <w:rPr>
          <w:rFonts w:hint="eastAsia" w:ascii="宋体" w:hAnsi="宋体" w:cs="宋体"/>
        </w:rPr>
        <w:t>生态环境监测网络</w:t>
      </w:r>
      <w:r>
        <w:rPr>
          <w:rFonts w:ascii="宋体" w:hAnsi="宋体" w:cs="宋体"/>
        </w:rPr>
        <w:t>标准规范</w:t>
      </w:r>
      <w:r>
        <w:rPr>
          <w:rFonts w:hint="eastAsia" w:ascii="宋体" w:hAnsi="宋体" w:cs="宋体"/>
        </w:rPr>
        <w:t>，按照统一标准建设，确保全省生态环境监测网络全面互联互通。</w:t>
      </w:r>
    </w:p>
    <w:p>
      <w:pPr>
        <w:pStyle w:val="5"/>
        <w:rPr>
          <w:rFonts w:ascii="Times New Roman" w:hAnsi="Times New Roman"/>
        </w:rPr>
      </w:pPr>
      <w:r>
        <w:rPr>
          <w:rFonts w:ascii="Times New Roman" w:hAnsi="Times New Roman"/>
        </w:rPr>
        <w:t>1</w:t>
      </w:r>
      <w:r>
        <w:rPr>
          <w:rFonts w:hint="eastAsia" w:ascii="Times New Roman" w:hAnsi="Times New Roman"/>
        </w:rPr>
        <w:t>、本项目应遵循生态环境监测建设项目总体集成管理规范要求，遵循统一的项目管理规范、业务管理规范、应用集成规范和数据管理规范要求，网络运维监管需与运维管控平台对接，支撑生态环境监测网络统一运维管理。</w:t>
      </w:r>
    </w:p>
    <w:p>
      <w:pPr>
        <w:pStyle w:val="5"/>
        <w:rPr>
          <w:rFonts w:ascii="Times New Roman" w:hAnsi="Times New Roman"/>
        </w:rPr>
      </w:pPr>
      <w:r>
        <w:rPr>
          <w:rFonts w:ascii="Times New Roman" w:hAnsi="Times New Roman"/>
        </w:rPr>
        <w:t>2</w:t>
      </w:r>
      <w:r>
        <w:rPr>
          <w:rFonts w:hint="eastAsia" w:ascii="Times New Roman" w:hAnsi="Times New Roman"/>
        </w:rPr>
        <w:t>、本项目应遵循生态环境监测建设项目总体集成管理要求，符合生态环境监测建设项目总体技术方案、项目实施方案要求，遵循总体集成框架与技术要求，符合生态环境监测建设项目总体资金计划与统筹推进计划要求，满足生态环境监测建设项目总体集成测试与验收推进要求。</w:t>
      </w:r>
    </w:p>
    <w:p>
      <w:pPr>
        <w:pStyle w:val="5"/>
        <w:rPr>
          <w:rFonts w:ascii="Times New Roman" w:hAnsi="Times New Roman"/>
        </w:rPr>
      </w:pPr>
      <w:r>
        <w:rPr>
          <w:rFonts w:ascii="Times New Roman" w:hAnsi="Times New Roman"/>
        </w:rPr>
        <w:t>3</w:t>
      </w:r>
      <w:r>
        <w:rPr>
          <w:rFonts w:hint="eastAsia" w:ascii="Times New Roman" w:hAnsi="Times New Roman"/>
        </w:rPr>
        <w:t>、本项目涉及信息网络应根据《信息安全等级保护管理办法》的规定，开展信息网络安全等级保护工作，配合有资质的网络安全测评公司进行测评并报公安厅备案。</w:t>
      </w:r>
    </w:p>
    <w:p>
      <w:pPr>
        <w:pStyle w:val="5"/>
        <w:rPr>
          <w:rFonts w:ascii="Times New Roman" w:hAnsi="Times New Roman"/>
        </w:rPr>
      </w:pPr>
      <w:r>
        <w:rPr>
          <w:rFonts w:ascii="Times New Roman" w:hAnsi="Times New Roman"/>
        </w:rPr>
        <w:t>4</w:t>
      </w:r>
      <w:r>
        <w:rPr>
          <w:rFonts w:hint="eastAsia" w:ascii="Times New Roman" w:hAnsi="Times New Roman"/>
        </w:rPr>
        <w:t>、本项目建设需按照《全省生态环境监测网络互联互通标准化整合项目实施方案（备案稿）》备案内容和《广东省环境监测中心生态环境监测网络建设项目实施管理办法（试行）》、《广东省环境监测中心生态环境监测网络建设项目管理细则》要求开展项目建设工作。</w:t>
      </w:r>
    </w:p>
    <w:p>
      <w:pPr>
        <w:pStyle w:val="5"/>
        <w:rPr>
          <w:rFonts w:ascii="Times New Roman" w:hAnsi="Times New Roman"/>
          <w:kern w:val="2"/>
          <w:szCs w:val="20"/>
        </w:rPr>
      </w:pPr>
      <w:r>
        <w:rPr>
          <w:rFonts w:hint="eastAsia" w:ascii="宋体" w:hAnsi="宋体" w:cs="宋体"/>
        </w:rPr>
        <w:t>5、视频云平台</w:t>
      </w:r>
      <w:r>
        <w:rPr>
          <w:rFonts w:ascii="宋体" w:hAnsi="宋体" w:cs="宋体"/>
        </w:rPr>
        <w:t>应支持</w:t>
      </w:r>
      <w:r>
        <w:rPr>
          <w:rFonts w:hint="eastAsia" w:asciiTheme="majorEastAsia" w:hAnsiTheme="majorEastAsia" w:eastAsiaTheme="majorEastAsia" w:cstheme="minorBidi"/>
          <w:szCs w:val="21"/>
        </w:rPr>
        <w:t>GB/T.28181标准协议，可</w:t>
      </w:r>
      <w:r>
        <w:rPr>
          <w:rFonts w:asciiTheme="majorEastAsia" w:hAnsiTheme="majorEastAsia" w:eastAsiaTheme="majorEastAsia" w:cstheme="minorBidi"/>
          <w:szCs w:val="21"/>
        </w:rPr>
        <w:t>与</w:t>
      </w:r>
      <w:r>
        <w:rPr>
          <w:rFonts w:hint="eastAsia" w:asciiTheme="majorEastAsia" w:hAnsiTheme="majorEastAsia" w:eastAsiaTheme="majorEastAsia" w:cstheme="minorBidi"/>
          <w:szCs w:val="21"/>
        </w:rPr>
        <w:t>用户现网视频监控系统实现</w:t>
      </w:r>
      <w:r>
        <w:rPr>
          <w:rFonts w:asciiTheme="majorEastAsia" w:hAnsiTheme="majorEastAsia" w:eastAsiaTheme="majorEastAsia" w:cstheme="minorBidi"/>
          <w:szCs w:val="21"/>
        </w:rPr>
        <w:t>对接</w:t>
      </w:r>
      <w:r>
        <w:rPr>
          <w:rFonts w:hint="eastAsia" w:asciiTheme="majorEastAsia" w:hAnsiTheme="majorEastAsia" w:eastAsiaTheme="majorEastAsia" w:cstheme="minorBidi"/>
          <w:szCs w:val="21"/>
        </w:rPr>
        <w:t>，实现</w:t>
      </w:r>
      <w:r>
        <w:rPr>
          <w:rFonts w:hint="eastAsia" w:ascii="宋体" w:hAnsi="宋体" w:cs="宋体"/>
        </w:rPr>
        <w:t>对气科、水科等视频监控资源的调阅查看、算力支持和智能应用。</w:t>
      </w:r>
    </w:p>
    <w:p>
      <w:pPr>
        <w:pStyle w:val="5"/>
        <w:rPr>
          <w:rFonts w:ascii="宋体" w:hAnsi="宋体" w:cs="宋体"/>
        </w:rPr>
      </w:pPr>
      <w:r>
        <w:rPr>
          <w:rFonts w:ascii="宋体" w:hAnsi="宋体" w:cs="宋体"/>
        </w:rPr>
        <w:t>6</w:t>
      </w:r>
      <w:r>
        <w:rPr>
          <w:rFonts w:hint="eastAsia" w:ascii="宋体" w:hAnsi="宋体" w:cs="宋体"/>
        </w:rPr>
        <w:t>、视频会商系统应支持S</w:t>
      </w:r>
      <w:r>
        <w:rPr>
          <w:rFonts w:ascii="宋体" w:hAnsi="宋体" w:cs="宋体"/>
        </w:rPr>
        <w:t>IP/H.323标准协议</w:t>
      </w:r>
      <w:r>
        <w:rPr>
          <w:rFonts w:hint="eastAsia" w:ascii="宋体" w:hAnsi="宋体" w:cs="宋体"/>
        </w:rPr>
        <w:t>，</w:t>
      </w:r>
      <w:r>
        <w:rPr>
          <w:rFonts w:ascii="宋体" w:hAnsi="宋体" w:cs="宋体"/>
        </w:rPr>
        <w:t>可与用户现网视频会商系统</w:t>
      </w:r>
      <w:r>
        <w:rPr>
          <w:rFonts w:hint="eastAsia" w:ascii="宋体" w:hAnsi="宋体" w:cs="宋体"/>
        </w:rPr>
        <w:t>、社会化开放主流视频会议系统</w:t>
      </w:r>
      <w:r>
        <w:rPr>
          <w:rFonts w:ascii="宋体" w:hAnsi="宋体" w:cs="宋体"/>
        </w:rPr>
        <w:t>实现对接</w:t>
      </w:r>
      <w:r>
        <w:rPr>
          <w:rFonts w:hint="eastAsia" w:ascii="宋体" w:hAnsi="宋体" w:cs="宋体"/>
        </w:rPr>
        <w:t>，实现在会议中和现网科达、华为视频会议、视频主流开放视频会议系统的互通。</w:t>
      </w:r>
    </w:p>
    <w:p>
      <w:pPr>
        <w:pStyle w:val="5"/>
        <w:rPr>
          <w:rFonts w:ascii="宋体" w:hAnsi="宋体" w:cs="宋体"/>
        </w:rPr>
      </w:pPr>
      <w:r>
        <w:rPr>
          <w:rFonts w:ascii="宋体" w:hAnsi="宋体" w:cs="宋体"/>
        </w:rPr>
        <w:t>7</w:t>
      </w:r>
      <w:r>
        <w:rPr>
          <w:rFonts w:hint="eastAsia" w:ascii="宋体" w:hAnsi="宋体" w:cs="宋体"/>
        </w:rPr>
        <w:t>、分布式KVM管控平台应支持和用户现网的视频监控系统、视频会商系统、中控系统以及省生态环境保护厅K</w:t>
      </w:r>
      <w:r>
        <w:rPr>
          <w:rFonts w:ascii="宋体" w:hAnsi="宋体" w:cs="宋体"/>
        </w:rPr>
        <w:t>VM节点进行</w:t>
      </w:r>
      <w:r>
        <w:rPr>
          <w:rFonts w:hint="eastAsia" w:ascii="宋体" w:hAnsi="宋体" w:cs="宋体"/>
        </w:rPr>
        <w:t>互联，实现对音视频资源的调用，输出到各个坐席上便于工作人员实时查看。</w:t>
      </w:r>
    </w:p>
    <w:p>
      <w:pPr>
        <w:pStyle w:val="5"/>
        <w:rPr>
          <w:rFonts w:ascii="宋体" w:hAnsi="宋体" w:cs="宋体"/>
        </w:rPr>
      </w:pPr>
      <w:r>
        <w:rPr>
          <w:rFonts w:ascii="宋体" w:hAnsi="宋体" w:cs="宋体"/>
        </w:rPr>
        <w:t>8</w:t>
      </w:r>
      <w:r>
        <w:rPr>
          <w:rFonts w:hint="eastAsia" w:ascii="宋体" w:hAnsi="宋体" w:cs="宋体"/>
        </w:rPr>
        <w:t>、网络建设应</w:t>
      </w:r>
      <w:r>
        <w:rPr>
          <w:rFonts w:ascii="宋体" w:hAnsi="宋体" w:cs="宋体"/>
        </w:rPr>
        <w:t>具有较高的可靠性保障，能够满足 7×24 小时的全天候业务运营要求</w:t>
      </w:r>
      <w:r>
        <w:rPr>
          <w:rFonts w:hint="eastAsia" w:ascii="宋体" w:hAnsi="宋体" w:cs="宋体"/>
        </w:rPr>
        <w:t>，</w:t>
      </w:r>
      <w:r>
        <w:rPr>
          <w:rFonts w:ascii="宋体" w:hAnsi="宋体" w:cs="宋体"/>
        </w:rPr>
        <w:t>能够应对各种突发流量、集中业务处理等极限环境的长期、稳定运营；本平台须具有良好的升级扩展能力，最大限度的提供在线升级和扩展功能，满足在业务不间断运营下，进行系统接口、功能扩展的能力。</w:t>
      </w:r>
    </w:p>
    <w:p>
      <w:pPr>
        <w:pStyle w:val="5"/>
        <w:rPr>
          <w:rFonts w:ascii="宋体" w:hAnsi="宋体" w:cs="宋体"/>
        </w:rPr>
      </w:pPr>
      <w:r>
        <w:rPr>
          <w:rFonts w:ascii="宋体" w:hAnsi="宋体" w:cs="宋体"/>
        </w:rPr>
        <w:t>9</w:t>
      </w:r>
      <w:r>
        <w:rPr>
          <w:rFonts w:hint="eastAsia" w:ascii="宋体" w:hAnsi="宋体" w:cs="宋体"/>
        </w:rPr>
        <w:t>、网络系统建设应充分考虑系统兼容性，在广东省环境监测网络已有建设成果基础上，充分利用现有网络基础设施设备，同时具备较高的可扩展性和容错性，确保项目投资效益。</w:t>
      </w:r>
    </w:p>
    <w:p>
      <w:pPr>
        <w:pStyle w:val="5"/>
        <w:rPr>
          <w:rFonts w:ascii="宋体" w:hAnsi="宋体" w:cs="宋体"/>
        </w:rPr>
      </w:pPr>
      <w:r>
        <w:rPr>
          <w:rFonts w:hint="eastAsia" w:ascii="宋体" w:hAnsi="宋体" w:cs="宋体"/>
        </w:rPr>
        <w:t>1</w:t>
      </w:r>
      <w:r>
        <w:rPr>
          <w:rFonts w:ascii="宋体" w:hAnsi="宋体" w:cs="宋体"/>
        </w:rPr>
        <w:t>0</w:t>
      </w:r>
      <w:r>
        <w:rPr>
          <w:rFonts w:hint="eastAsia" w:ascii="宋体" w:hAnsi="宋体" w:cs="宋体"/>
        </w:rPr>
        <w:t>、本项目是属于交钥匙工程，本项目采购货物关联的辅材均需免费提供，包括但不限于采购设备配套线缆、线管、护口，螺丝，线盒，盖板，软管等。</w:t>
      </w:r>
    </w:p>
    <w:p>
      <w:pPr>
        <w:pStyle w:val="131"/>
        <w:numPr>
          <w:ilvl w:val="1"/>
          <w:numId w:val="7"/>
        </w:numPr>
        <w:ind w:left="567"/>
        <w:outlineLvl w:val="2"/>
        <w:rPr>
          <w:rFonts w:ascii="宋体" w:hAnsi="宋体" w:eastAsia="宋体" w:cs="宋体"/>
          <w:sz w:val="24"/>
          <w:szCs w:val="24"/>
        </w:rPr>
      </w:pPr>
      <w:bookmarkStart w:id="113" w:name="_Toc528593570"/>
      <w:bookmarkStart w:id="114" w:name="_Toc46241985"/>
      <w:bookmarkStart w:id="115" w:name="_Toc505732575"/>
      <w:bookmarkStart w:id="116" w:name="_Toc494097368"/>
      <w:r>
        <w:rPr>
          <w:rFonts w:hint="eastAsia" w:ascii="宋体" w:hAnsi="宋体" w:eastAsia="宋体" w:cs="宋体"/>
          <w:sz w:val="24"/>
          <w:szCs w:val="24"/>
        </w:rPr>
        <w:t>项目采购清单</w:t>
      </w:r>
      <w:bookmarkEnd w:id="113"/>
      <w:bookmarkEnd w:id="114"/>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69"/>
    <w:bookmarkEnd w:id="115"/>
    <w:bookmarkEnd w:id="116"/>
    <w:p>
      <w:pPr>
        <w:pStyle w:val="141"/>
        <w:numPr>
          <w:ilvl w:val="2"/>
          <w:numId w:val="7"/>
        </w:numPr>
        <w:tabs>
          <w:tab w:val="clear" w:pos="851"/>
        </w:tabs>
        <w:outlineLvl w:val="3"/>
        <w:rPr>
          <w:rFonts w:ascii="宋体" w:hAnsi="宋体" w:eastAsia="宋体" w:cs="宋体"/>
          <w:color w:val="auto"/>
          <w:sz w:val="24"/>
          <w:szCs w:val="24"/>
        </w:rPr>
      </w:pPr>
      <w:bookmarkStart w:id="117" w:name="_Toc46241986"/>
      <w:bookmarkStart w:id="118" w:name="_Toc387787521"/>
      <w:bookmarkStart w:id="119" w:name="_Toc396997802"/>
      <w:r>
        <w:rPr>
          <w:rFonts w:hint="eastAsia" w:ascii="宋体" w:hAnsi="宋体" w:eastAsia="宋体" w:cs="宋体"/>
          <w:color w:val="auto"/>
          <w:sz w:val="24"/>
          <w:szCs w:val="24"/>
        </w:rPr>
        <w:t>省监测中心配置清单</w:t>
      </w:r>
      <w:bookmarkEnd w:id="117"/>
    </w:p>
    <w:tbl>
      <w:tblPr>
        <w:tblStyle w:val="54"/>
        <w:tblW w:w="9241" w:type="dxa"/>
        <w:tblInd w:w="113" w:type="dxa"/>
        <w:tblLayout w:type="fixed"/>
        <w:tblCellMar>
          <w:top w:w="0" w:type="dxa"/>
          <w:left w:w="108" w:type="dxa"/>
          <w:bottom w:w="0" w:type="dxa"/>
          <w:right w:w="108" w:type="dxa"/>
        </w:tblCellMar>
      </w:tblPr>
      <w:tblGrid>
        <w:gridCol w:w="429"/>
        <w:gridCol w:w="1524"/>
        <w:gridCol w:w="6151"/>
        <w:gridCol w:w="677"/>
        <w:gridCol w:w="460"/>
      </w:tblGrid>
      <w:tr>
        <w:tblPrEx>
          <w:tblLayout w:type="fixed"/>
          <w:tblCellMar>
            <w:top w:w="0" w:type="dxa"/>
            <w:left w:w="108" w:type="dxa"/>
            <w:bottom w:w="0" w:type="dxa"/>
            <w:right w:w="108" w:type="dxa"/>
          </w:tblCellMar>
        </w:tblPrEx>
        <w:trPr>
          <w:trHeight w:val="312" w:hRule="atLeast"/>
        </w:trPr>
        <w:tc>
          <w:tcPr>
            <w:tcW w:w="429" w:type="dxa"/>
            <w:vMerge w:val="restart"/>
            <w:tcBorders>
              <w:top w:val="single" w:color="auto" w:sz="4" w:space="0"/>
              <w:left w:val="single" w:color="auto" w:sz="4" w:space="0"/>
              <w:bottom w:val="single" w:color="auto" w:sz="4" w:space="0"/>
              <w:right w:val="single" w:color="auto" w:sz="4" w:space="0"/>
            </w:tcBorders>
            <w:shd w:val="clear" w:color="000000" w:fill="CCFFFF"/>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序号</w:t>
            </w:r>
          </w:p>
        </w:tc>
        <w:tc>
          <w:tcPr>
            <w:tcW w:w="1524" w:type="dxa"/>
            <w:vMerge w:val="restart"/>
            <w:tcBorders>
              <w:top w:val="single" w:color="auto" w:sz="4" w:space="0"/>
              <w:left w:val="single" w:color="auto" w:sz="4" w:space="0"/>
              <w:bottom w:val="single" w:color="auto" w:sz="4" w:space="0"/>
              <w:right w:val="single" w:color="auto" w:sz="4" w:space="0"/>
            </w:tcBorders>
            <w:shd w:val="clear" w:color="000000" w:fill="CCFFFF"/>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设备名称</w:t>
            </w:r>
          </w:p>
        </w:tc>
        <w:tc>
          <w:tcPr>
            <w:tcW w:w="6151" w:type="dxa"/>
            <w:vMerge w:val="restart"/>
            <w:tcBorders>
              <w:top w:val="single" w:color="auto" w:sz="4" w:space="0"/>
              <w:left w:val="single" w:color="auto" w:sz="4" w:space="0"/>
              <w:bottom w:val="single" w:color="auto" w:sz="4" w:space="0"/>
              <w:right w:val="single" w:color="auto" w:sz="4" w:space="0"/>
            </w:tcBorders>
            <w:shd w:val="clear" w:color="000000" w:fill="CCFFFF"/>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性能和功能要求</w:t>
            </w:r>
          </w:p>
        </w:tc>
        <w:tc>
          <w:tcPr>
            <w:tcW w:w="677" w:type="dxa"/>
            <w:vMerge w:val="restart"/>
            <w:tcBorders>
              <w:top w:val="single" w:color="auto" w:sz="4" w:space="0"/>
              <w:left w:val="single" w:color="auto" w:sz="4" w:space="0"/>
              <w:bottom w:val="single" w:color="auto" w:sz="4" w:space="0"/>
              <w:right w:val="single" w:color="auto" w:sz="4" w:space="0"/>
            </w:tcBorders>
            <w:shd w:val="clear" w:color="000000" w:fill="CCFFFF"/>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单位</w:t>
            </w:r>
          </w:p>
        </w:tc>
        <w:tc>
          <w:tcPr>
            <w:tcW w:w="460" w:type="dxa"/>
            <w:vMerge w:val="restart"/>
            <w:tcBorders>
              <w:top w:val="single" w:color="auto" w:sz="4" w:space="0"/>
              <w:left w:val="single" w:color="auto" w:sz="4" w:space="0"/>
              <w:bottom w:val="single" w:color="auto" w:sz="4" w:space="0"/>
              <w:right w:val="single" w:color="auto" w:sz="4" w:space="0"/>
            </w:tcBorders>
            <w:shd w:val="clear" w:color="000000" w:fill="CCFFFF"/>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数量</w:t>
            </w:r>
          </w:p>
        </w:tc>
      </w:tr>
      <w:tr>
        <w:tblPrEx>
          <w:tblLayout w:type="fixed"/>
          <w:tblCellMar>
            <w:top w:w="0" w:type="dxa"/>
            <w:left w:w="108" w:type="dxa"/>
            <w:bottom w:w="0" w:type="dxa"/>
            <w:right w:w="108" w:type="dxa"/>
          </w:tblCellMar>
        </w:tblPrEx>
        <w:trPr>
          <w:trHeight w:val="312" w:hRule="atLeast"/>
        </w:trPr>
        <w:tc>
          <w:tcPr>
            <w:tcW w:w="42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kern w:val="0"/>
                <w:szCs w:val="21"/>
              </w:rPr>
            </w:pPr>
          </w:p>
        </w:tc>
        <w:tc>
          <w:tcPr>
            <w:tcW w:w="15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kern w:val="0"/>
                <w:szCs w:val="21"/>
              </w:rPr>
            </w:pPr>
          </w:p>
        </w:tc>
        <w:tc>
          <w:tcPr>
            <w:tcW w:w="61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kern w:val="0"/>
                <w:szCs w:val="21"/>
              </w:rPr>
            </w:pPr>
          </w:p>
        </w:tc>
        <w:tc>
          <w:tcPr>
            <w:tcW w:w="6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kern w:val="0"/>
                <w:szCs w:val="21"/>
              </w:rPr>
            </w:pPr>
          </w:p>
        </w:tc>
        <w:tc>
          <w:tcPr>
            <w:tcW w:w="4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kern w:val="0"/>
                <w:szCs w:val="21"/>
              </w:rPr>
            </w:pPr>
          </w:p>
        </w:tc>
      </w:tr>
      <w:tr>
        <w:tblPrEx>
          <w:tblLayout w:type="fixed"/>
          <w:tblCellMar>
            <w:top w:w="0" w:type="dxa"/>
            <w:left w:w="108" w:type="dxa"/>
            <w:bottom w:w="0" w:type="dxa"/>
            <w:right w:w="108" w:type="dxa"/>
          </w:tblCellMar>
        </w:tblPrEx>
        <w:trPr>
          <w:trHeight w:val="311" w:hRule="atLeast"/>
        </w:trPr>
        <w:tc>
          <w:tcPr>
            <w:tcW w:w="1953"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二楼会商室</w:t>
            </w:r>
          </w:p>
        </w:tc>
        <w:tc>
          <w:tcPr>
            <w:tcW w:w="6151" w:type="dxa"/>
            <w:tcBorders>
              <w:top w:val="nil"/>
              <w:left w:val="nil"/>
              <w:bottom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677"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46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Layout w:type="fixed"/>
          <w:tblCellMar>
            <w:top w:w="0" w:type="dxa"/>
            <w:left w:w="108" w:type="dxa"/>
            <w:bottom w:w="0" w:type="dxa"/>
            <w:right w:w="108" w:type="dxa"/>
          </w:tblCellMar>
        </w:tblPrEx>
        <w:trPr>
          <w:trHeight w:val="565" w:hRule="atLeast"/>
        </w:trPr>
        <w:tc>
          <w:tcPr>
            <w:tcW w:w="42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1</w:t>
            </w:r>
          </w:p>
        </w:tc>
        <w:tc>
          <w:tcPr>
            <w:tcW w:w="1524" w:type="dxa"/>
            <w:tcBorders>
              <w:top w:val="nil"/>
              <w:left w:val="nil"/>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分布式4K KVM输入节点</w:t>
            </w:r>
          </w:p>
        </w:tc>
        <w:tc>
          <w:tcPr>
            <w:tcW w:w="6151"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r>
      <w:tr>
        <w:tblPrEx>
          <w:tblLayout w:type="fixed"/>
          <w:tblCellMar>
            <w:top w:w="0" w:type="dxa"/>
            <w:left w:w="108" w:type="dxa"/>
            <w:bottom w:w="0" w:type="dxa"/>
            <w:right w:w="108" w:type="dxa"/>
          </w:tblCellMar>
        </w:tblPrEx>
        <w:trPr>
          <w:trHeight w:val="652" w:hRule="atLeast"/>
        </w:trPr>
        <w:tc>
          <w:tcPr>
            <w:tcW w:w="42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2</w:t>
            </w:r>
          </w:p>
        </w:tc>
        <w:tc>
          <w:tcPr>
            <w:tcW w:w="1524" w:type="dxa"/>
            <w:tcBorders>
              <w:top w:val="nil"/>
              <w:left w:val="nil"/>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分布式4K KVM输出节点</w:t>
            </w:r>
          </w:p>
        </w:tc>
        <w:tc>
          <w:tcPr>
            <w:tcW w:w="6151"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r>
      <w:tr>
        <w:tblPrEx>
          <w:tblLayout w:type="fixed"/>
          <w:tblCellMar>
            <w:top w:w="0" w:type="dxa"/>
            <w:left w:w="108" w:type="dxa"/>
            <w:bottom w:w="0" w:type="dxa"/>
            <w:right w:w="108" w:type="dxa"/>
          </w:tblCellMar>
        </w:tblPrEx>
        <w:trPr>
          <w:trHeight w:val="747" w:hRule="atLeast"/>
        </w:trPr>
        <w:tc>
          <w:tcPr>
            <w:tcW w:w="42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3</w:t>
            </w:r>
          </w:p>
        </w:tc>
        <w:tc>
          <w:tcPr>
            <w:tcW w:w="1524" w:type="dxa"/>
            <w:tcBorders>
              <w:top w:val="nil"/>
              <w:left w:val="nil"/>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分布式高清输入节点</w:t>
            </w:r>
          </w:p>
        </w:tc>
        <w:tc>
          <w:tcPr>
            <w:tcW w:w="6151"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r>
      <w:tr>
        <w:tblPrEx>
          <w:tblLayout w:type="fixed"/>
          <w:tblCellMar>
            <w:top w:w="0" w:type="dxa"/>
            <w:left w:w="108" w:type="dxa"/>
            <w:bottom w:w="0" w:type="dxa"/>
            <w:right w:w="108" w:type="dxa"/>
          </w:tblCellMar>
        </w:tblPrEx>
        <w:trPr>
          <w:trHeight w:val="717" w:hRule="atLeast"/>
        </w:trPr>
        <w:tc>
          <w:tcPr>
            <w:tcW w:w="42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4</w:t>
            </w:r>
          </w:p>
        </w:tc>
        <w:tc>
          <w:tcPr>
            <w:tcW w:w="1524" w:type="dxa"/>
            <w:tcBorders>
              <w:top w:val="nil"/>
              <w:left w:val="nil"/>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分布式节点安装支架</w:t>
            </w:r>
          </w:p>
        </w:tc>
        <w:tc>
          <w:tcPr>
            <w:tcW w:w="6151"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分布式节点安装机架，最大支持10个节点安装上柜。</w:t>
            </w:r>
          </w:p>
        </w:tc>
        <w:tc>
          <w:tcPr>
            <w:tcW w:w="6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81"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指挥终端</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详见系统主要设备参数要求。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r>
      <w:tr>
        <w:tblPrEx>
          <w:tblLayout w:type="fixed"/>
          <w:tblCellMar>
            <w:top w:w="0" w:type="dxa"/>
            <w:left w:w="108" w:type="dxa"/>
            <w:bottom w:w="0" w:type="dxa"/>
            <w:right w:w="108" w:type="dxa"/>
          </w:tblCellMar>
        </w:tblPrEx>
        <w:trPr>
          <w:trHeight w:val="542"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数字调音台</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25个马达推子（24通道+1主控）</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48条输入混音通道（40单声道+2立体声+2返送通道）</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20个AUX（8单声道+6立体声）+立体声+子母线</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8个带有Roll-out的DCA编组</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24个模拟XLR/TRS混合麦克风/线路输入+2个模拟RCA立体声线路输入</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16个模拟XLR输出</w:t>
            </w:r>
          </w:p>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 xml:space="preserve">34×34 USB数字录音/回放 + 2×2 </w:t>
            </w:r>
            <w:r>
              <w:rPr>
                <w:rFonts w:hint="eastAsia" w:cs="宋体" w:asciiTheme="minorEastAsia" w:hAnsiTheme="minorEastAsia" w:eastAsiaTheme="minorEastAsia"/>
                <w:kern w:val="0"/>
                <w:szCs w:val="21"/>
              </w:rPr>
              <w:t>录音</w:t>
            </w:r>
            <w:r>
              <w:rPr>
                <w:rFonts w:cs="宋体" w:asciiTheme="minorEastAsia" w:hAnsiTheme="minorEastAsia" w:eastAsiaTheme="minorEastAsia"/>
                <w:kern w:val="0"/>
                <w:szCs w:val="21"/>
              </w:rPr>
              <w:t>/回放通过USB存储设备</w:t>
            </w:r>
          </w:p>
          <w:p>
            <w:pPr>
              <w:widowControl/>
              <w:jc w:val="left"/>
              <w:rPr>
                <w:rFonts w:cs="宋体" w:asciiTheme="minorEastAsia" w:hAnsiTheme="minorEastAsia" w:eastAsiaTheme="minorEastAsia"/>
                <w:kern w:val="0"/>
                <w:szCs w:val="21"/>
                <w:highlight w:val="yellow"/>
              </w:rPr>
            </w:pPr>
            <w:r>
              <w:rPr>
                <w:rFonts w:cs="宋体" w:asciiTheme="minorEastAsia" w:hAnsiTheme="minorEastAsia" w:eastAsiaTheme="minorEastAsia"/>
                <w:kern w:val="0"/>
                <w:szCs w:val="21"/>
              </w:rPr>
              <w:t>1个支持NY64-D音频介面卡的扩展槽</w:t>
            </w:r>
            <w:r>
              <w:rPr>
                <w:rFonts w:hint="eastAsia" w:cs="宋体" w:asciiTheme="minorEastAsia" w:hAnsiTheme="minorEastAsia" w:eastAsiaTheme="minorEastAsia"/>
                <w:kern w:val="0"/>
                <w:szCs w:val="21"/>
              </w:rPr>
              <w:t xml:space="preserve"> </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70"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数字音频处理器</w:t>
            </w:r>
          </w:p>
        </w:tc>
        <w:tc>
          <w:tcPr>
            <w:tcW w:w="6151" w:type="dxa"/>
            <w:tcBorders>
              <w:top w:val="nil"/>
              <w:left w:val="nil"/>
              <w:bottom w:val="single" w:color="auto" w:sz="4" w:space="0"/>
              <w:right w:val="single" w:color="auto" w:sz="4" w:space="0"/>
            </w:tcBorders>
            <w:shd w:val="clear" w:color="auto" w:fill="auto"/>
            <w:vAlign w:val="center"/>
          </w:tcPr>
          <w:p>
            <w:pPr>
              <w:widowControl/>
              <w:jc w:val="left"/>
            </w:pPr>
            <w:r>
              <w:rPr>
                <w:rFonts w:hint="eastAsia" w:cs="宋体" w:asciiTheme="minorEastAsia" w:hAnsiTheme="minorEastAsia" w:eastAsiaTheme="minorEastAsia"/>
                <w:kern w:val="0"/>
                <w:szCs w:val="21"/>
              </w:rPr>
              <w:t>不少于</w:t>
            </w:r>
            <w:r>
              <w:rPr>
                <w:rFonts w:hint="eastAsia"/>
              </w:rPr>
              <w:t>12 路模拟输入和 8 路模拟输出，并在所有 12 路输入中包含 Sona™ 声学回声消除 (AEC) 技术</w:t>
            </w:r>
          </w:p>
          <w:p>
            <w:pPr>
              <w:widowControl/>
              <w:jc w:val="left"/>
            </w:pPr>
            <w:r>
              <w:rPr>
                <w:rFonts w:hint="eastAsia"/>
              </w:rPr>
              <w:t>32x32 Dante 通道</w:t>
            </w:r>
          </w:p>
          <w:p>
            <w:pPr>
              <w:widowControl/>
              <w:jc w:val="left"/>
            </w:pPr>
            <w:r>
              <w:rPr>
                <w:rFonts w:hint="eastAsia" w:cs="宋体" w:asciiTheme="minorEastAsia" w:hAnsiTheme="minorEastAsia" w:eastAsiaTheme="minorEastAsia"/>
                <w:kern w:val="0"/>
                <w:szCs w:val="21"/>
              </w:rPr>
              <w:t>不少于</w:t>
            </w:r>
            <w:r>
              <w:rPr>
                <w:rFonts w:hint="eastAsia"/>
              </w:rPr>
              <w:t>8 路可配置 USB 音频通道</w:t>
            </w:r>
          </w:p>
          <w:p>
            <w:pPr>
              <w:widowControl/>
              <w:jc w:val="left"/>
            </w:pPr>
            <w:r>
              <w:rPr>
                <w:rFonts w:hint="eastAsia"/>
              </w:rPr>
              <w:t>强大的DSP多功能处理器：反馈抑制、均衡、压限、分频、滤波、矩阵，延时、电平控制器、电平表、讯号产生器等众多功能于一体</w:t>
            </w:r>
          </w:p>
          <w:p>
            <w:pPr>
              <w:widowControl/>
              <w:jc w:val="left"/>
            </w:pPr>
            <w:r>
              <w:rPr>
                <w:rFonts w:hint="eastAsia"/>
              </w:rPr>
              <w:t>RS-232 串行端口</w:t>
            </w:r>
          </w:p>
          <w:p>
            <w:pPr>
              <w:widowControl/>
              <w:jc w:val="left"/>
            </w:pPr>
            <w:r>
              <w:rPr>
                <w:rFonts w:hint="eastAsia"/>
              </w:rPr>
              <w:t>配备电容式触控导航的 OLED 显示</w:t>
            </w:r>
          </w:p>
          <w:p>
            <w:pPr>
              <w:widowControl/>
              <w:jc w:val="left"/>
            </w:pPr>
            <w:r>
              <w:rPr>
                <w:rFonts w:hint="eastAsia"/>
              </w:rPr>
              <w:t>通过以太网进行系统配置和控制</w:t>
            </w:r>
          </w:p>
          <w:p>
            <w:pPr>
              <w:widowControl/>
              <w:jc w:val="left"/>
            </w:pPr>
            <w:r>
              <w:rPr>
                <w:rFonts w:hint="eastAsia"/>
              </w:rPr>
              <w:t xml:space="preserve">频率响应支持： </w:t>
            </w:r>
          </w:p>
          <w:p>
            <w:pPr>
              <w:widowControl/>
              <w:jc w:val="left"/>
            </w:pPr>
            <w:r>
              <w:rPr>
                <w:rFonts w:hint="eastAsia"/>
              </w:rPr>
              <w:t>20Hz  到 20kHz，+4dBu 输出  +0.25dB/-0.5dB</w:t>
            </w:r>
          </w:p>
          <w:p>
            <w:pPr>
              <w:widowControl/>
              <w:jc w:val="left"/>
            </w:pPr>
            <w:r>
              <w:rPr>
                <w:rFonts w:hint="eastAsia"/>
              </w:rPr>
              <w:t>THD+N（22Hz 到 22kHz）：0dB  增益，+4dBu 输入 &lt; 0.006%</w:t>
            </w:r>
          </w:p>
          <w:p>
            <w:pPr>
              <w:widowControl/>
              <w:jc w:val="left"/>
            </w:pPr>
            <w:r>
              <w:rPr>
                <w:rFonts w:hint="eastAsia"/>
              </w:rPr>
              <w:t>THD+N（22Hz 到 22kHz）：54dB  增益，-50dBu 输入 &lt; 0.040%</w:t>
            </w:r>
          </w:p>
          <w:p>
            <w:pPr>
              <w:widowControl/>
              <w:jc w:val="left"/>
            </w:pPr>
            <w:r>
              <w:rPr>
                <w:rFonts w:hint="eastAsia"/>
              </w:rPr>
              <w:t>EIN （非加权，22Hz 到 22kHz）：&lt; -125dBu</w:t>
            </w:r>
          </w:p>
          <w:p>
            <w:pPr>
              <w:widowControl/>
              <w:jc w:val="left"/>
            </w:pPr>
            <w:r>
              <w:rPr>
                <w:rFonts w:hint="eastAsia"/>
              </w:rPr>
              <w:t xml:space="preserve">动态范围（存在信号）：&gt; 108dB（22Hz 到 22kHz，0dB 增益）  </w:t>
            </w:r>
          </w:p>
          <w:p>
            <w:pPr>
              <w:widowControl/>
              <w:jc w:val="left"/>
            </w:pPr>
            <w:r>
              <w:rPr>
                <w:rFonts w:hint="eastAsia"/>
              </w:rPr>
              <w:t>输入增益范围：（6dB 梯层）：0dB  到 66dB</w:t>
            </w:r>
          </w:p>
          <w:p>
            <w:pPr>
              <w:widowControl/>
              <w:jc w:val="left"/>
            </w:pPr>
            <w:r>
              <w:rPr>
                <w:rFonts w:hint="eastAsia"/>
              </w:rPr>
              <w:t>最大输出电平：+24dBu</w:t>
            </w:r>
          </w:p>
          <w:p>
            <w:pPr>
              <w:widowControl/>
              <w:jc w:val="left"/>
            </w:pPr>
            <w:r>
              <w:rPr>
                <w:rFonts w:hint="eastAsia"/>
              </w:rPr>
              <w:t>幻象电源：+48 VDC（7mA/输入）</w:t>
            </w:r>
          </w:p>
          <w:p>
            <w:pPr>
              <w:widowControl/>
              <w:jc w:val="left"/>
            </w:pPr>
            <w:r>
              <w:rPr>
                <w:rFonts w:hint="eastAsia"/>
              </w:rPr>
              <w:t>采样率：48kHz</w:t>
            </w:r>
          </w:p>
          <w:p>
            <w:pPr>
              <w:widowControl/>
              <w:jc w:val="left"/>
            </w:pPr>
            <w:r>
              <w:rPr>
                <w:rFonts w:hint="eastAsia"/>
              </w:rPr>
              <w:t>USB位深：16或24比特</w:t>
            </w:r>
          </w:p>
          <w:p>
            <w:pPr>
              <w:widowControl/>
              <w:jc w:val="left"/>
            </w:pPr>
            <w:r>
              <w:rPr>
                <w:rFonts w:hint="eastAsia"/>
              </w:rPr>
              <w:t>USB采样率：48KHZ</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724"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无线领夹话筒</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可连接无线的领夹话筒、头带话筒和耳挂式话筒等</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射频输出功率：</w:t>
            </w:r>
            <w:r>
              <w:rPr>
                <w:rFonts w:cs="宋体" w:asciiTheme="minorEastAsia" w:hAnsiTheme="minorEastAsia" w:eastAsiaTheme="minorEastAsia"/>
                <w:kern w:val="0"/>
                <w:szCs w:val="21"/>
              </w:rPr>
              <w:t>10 mW</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杂散发射：按照联邦和国家法规</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输入端子：不少于</w:t>
            </w:r>
            <w:r>
              <w:rPr>
                <w:rFonts w:cs="宋体" w:asciiTheme="minorEastAsia" w:hAnsiTheme="minorEastAsia" w:eastAsiaTheme="minorEastAsia"/>
                <w:kern w:val="0"/>
                <w:szCs w:val="21"/>
              </w:rPr>
              <w:t>4针带锁接头</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接点</w:t>
            </w:r>
            <w:r>
              <w:rPr>
                <w:rFonts w:cs="宋体" w:asciiTheme="minorEastAsia" w:hAnsiTheme="minorEastAsia" w:eastAsiaTheme="minorEastAsia"/>
                <w:kern w:val="0"/>
                <w:szCs w:val="21"/>
              </w:rPr>
              <w:t xml:space="preserve">1: </w:t>
            </w:r>
            <w:r>
              <w:rPr>
                <w:rFonts w:hint="eastAsia" w:cs="宋体" w:asciiTheme="minorEastAsia" w:hAnsiTheme="minorEastAsia" w:eastAsiaTheme="minorEastAsia"/>
                <w:kern w:val="0"/>
                <w:szCs w:val="21"/>
              </w:rPr>
              <w:t>地线、接点</w:t>
            </w:r>
            <w:r>
              <w:rPr>
                <w:rFonts w:cs="宋体" w:asciiTheme="minorEastAsia" w:hAnsiTheme="minorEastAsia" w:eastAsiaTheme="minorEastAsia"/>
                <w:kern w:val="0"/>
                <w:szCs w:val="21"/>
              </w:rPr>
              <w:t xml:space="preserve">2: </w:t>
            </w:r>
            <w:r>
              <w:rPr>
                <w:rFonts w:hint="eastAsia" w:cs="宋体" w:asciiTheme="minorEastAsia" w:hAnsiTheme="minorEastAsia" w:eastAsiaTheme="minorEastAsia"/>
                <w:kern w:val="0"/>
                <w:szCs w:val="21"/>
              </w:rPr>
              <w:t>乐器输入、接点</w:t>
            </w:r>
            <w:r>
              <w:rPr>
                <w:rFonts w:cs="宋体" w:asciiTheme="minorEastAsia" w:hAnsiTheme="minorEastAsia" w:eastAsiaTheme="minorEastAsia"/>
                <w:kern w:val="0"/>
                <w:szCs w:val="21"/>
              </w:rPr>
              <w:t xml:space="preserve">3: </w:t>
            </w:r>
            <w:r>
              <w:rPr>
                <w:rFonts w:hint="eastAsia" w:cs="宋体" w:asciiTheme="minorEastAsia" w:hAnsiTheme="minorEastAsia" w:eastAsiaTheme="minorEastAsia"/>
                <w:kern w:val="0"/>
                <w:szCs w:val="21"/>
              </w:rPr>
              <w:t>话筒输入、接点</w:t>
            </w:r>
            <w:r>
              <w:rPr>
                <w:rFonts w:cs="宋体" w:asciiTheme="minorEastAsia" w:hAnsiTheme="minorEastAsia" w:eastAsiaTheme="minorEastAsia"/>
                <w:kern w:val="0"/>
                <w:szCs w:val="21"/>
              </w:rPr>
              <w:t xml:space="preserve">4: </w:t>
            </w:r>
            <w:r>
              <w:rPr>
                <w:rFonts w:hint="eastAsia" w:cs="宋体" w:asciiTheme="minorEastAsia" w:hAnsiTheme="minorEastAsia" w:eastAsiaTheme="minorEastAsia"/>
                <w:kern w:val="0"/>
                <w:szCs w:val="21"/>
              </w:rPr>
              <w:t>供电偏压</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电池耗电</w:t>
            </w:r>
            <w:r>
              <w:rPr>
                <w:rFonts w:cs="宋体" w:asciiTheme="minorEastAsia" w:hAnsiTheme="minorEastAsia" w:eastAsiaTheme="minorEastAsia"/>
                <w:kern w:val="0"/>
                <w:szCs w:val="21"/>
              </w:rPr>
              <w:t xml:space="preserve"> / </w:t>
            </w:r>
            <w:r>
              <w:rPr>
                <w:rFonts w:hint="eastAsia" w:cs="宋体" w:asciiTheme="minorEastAsia" w:hAnsiTheme="minorEastAsia" w:eastAsiaTheme="minorEastAsia"/>
                <w:kern w:val="0"/>
                <w:szCs w:val="21"/>
              </w:rPr>
              <w:t>寿命</w:t>
            </w:r>
            <w:r>
              <w:rPr>
                <w:rFonts w:cs="宋体" w:asciiTheme="minorEastAsia" w:hAnsiTheme="minorEastAsia" w:eastAsiaTheme="minorEastAsia"/>
                <w:kern w:val="0"/>
                <w:szCs w:val="21"/>
              </w:rPr>
              <w:t>&gt;7小时 (视乎电池种类)</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形式：电容式</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指向性：全方向性，小型领夹话筒</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最大输入声压级：</w:t>
            </w:r>
            <w:r>
              <w:rPr>
                <w:rFonts w:cs="宋体" w:asciiTheme="minorEastAsia" w:hAnsiTheme="minorEastAsia" w:eastAsiaTheme="minorEastAsia"/>
                <w:kern w:val="0"/>
                <w:szCs w:val="21"/>
              </w:rPr>
              <w:t>131 dB SPL, 1 kHz at 1% T.H.D.</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讯噪比：</w:t>
            </w:r>
            <w:r>
              <w:rPr>
                <w:rFonts w:cs="宋体" w:asciiTheme="minorEastAsia" w:hAnsiTheme="minorEastAsia" w:eastAsiaTheme="minorEastAsia"/>
                <w:kern w:val="0"/>
                <w:szCs w:val="21"/>
              </w:rPr>
              <w:t>70 dB, 1 kHz at 1 Pa</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频率响应：</w:t>
            </w:r>
            <w:r>
              <w:rPr>
                <w:rFonts w:cs="宋体" w:asciiTheme="minorEastAsia" w:hAnsiTheme="minorEastAsia" w:eastAsiaTheme="minorEastAsia"/>
                <w:kern w:val="0"/>
                <w:szCs w:val="21"/>
              </w:rPr>
              <w:t>30 - 18,000 Hz</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动态范围（典型）：</w:t>
            </w:r>
            <w:r>
              <w:rPr>
                <w:rFonts w:cs="宋体" w:asciiTheme="minorEastAsia" w:hAnsiTheme="minorEastAsia" w:eastAsiaTheme="minorEastAsia"/>
                <w:kern w:val="0"/>
                <w:szCs w:val="21"/>
              </w:rPr>
              <w:t>107 dB, 1 kHz at Max. SPL</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开通灵敏度：</w:t>
            </w:r>
            <w:r>
              <w:rPr>
                <w:rFonts w:cs="宋体" w:asciiTheme="minorEastAsia" w:hAnsiTheme="minorEastAsia" w:eastAsiaTheme="minorEastAsia"/>
                <w:kern w:val="0"/>
                <w:szCs w:val="21"/>
              </w:rPr>
              <w:t>-34 dB (19.9 mV) re 1V at 1 Pa</w:t>
            </w:r>
          </w:p>
          <w:p>
            <w:pPr>
              <w:widowControl/>
              <w:jc w:val="left"/>
              <w:rPr>
                <w:rFonts w:cs="宋体" w:asciiTheme="minorEastAsia" w:hAnsiTheme="minorEastAsia" w:eastAsiaTheme="minorEastAsia"/>
                <w:kern w:val="0"/>
                <w:szCs w:val="21"/>
                <w:highlight w:val="yellow"/>
              </w:rPr>
            </w:pPr>
            <w:r>
              <w:rPr>
                <w:rFonts w:hint="eastAsia" w:cs="宋体" w:asciiTheme="minorEastAsia" w:hAnsiTheme="minorEastAsia" w:eastAsiaTheme="minorEastAsia"/>
                <w:kern w:val="0"/>
                <w:szCs w:val="21"/>
              </w:rPr>
              <w:t>输入阻抗：</w:t>
            </w:r>
            <w:r>
              <w:rPr>
                <w:rFonts w:cs="宋体" w:asciiTheme="minorEastAsia" w:hAnsiTheme="minorEastAsia" w:eastAsiaTheme="minorEastAsia"/>
                <w:kern w:val="0"/>
                <w:szCs w:val="21"/>
              </w:rPr>
              <w:t>200 ohms</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支</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r>
      <w:tr>
        <w:tblPrEx>
          <w:tblLayout w:type="fixed"/>
          <w:tblCellMar>
            <w:top w:w="0" w:type="dxa"/>
            <w:left w:w="108" w:type="dxa"/>
            <w:bottom w:w="0" w:type="dxa"/>
            <w:right w:w="108" w:type="dxa"/>
          </w:tblCellMar>
        </w:tblPrEx>
        <w:trPr>
          <w:trHeight w:val="1001"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9</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无线话筒接收主机</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机架安装系统，采用双接收器底座和远程安装接收装置</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可选用手持式、腰包式、界面式、底座鹅颈式等多种配置</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满足无线鹅颈话筒会议需求</w:t>
            </w:r>
            <w:r>
              <w:rPr>
                <w:rFonts w:cs="宋体" w:asciiTheme="minorEastAsia" w:hAnsiTheme="minorEastAsia" w:eastAsiaTheme="minorEastAsia"/>
                <w:kern w:val="0"/>
                <w:szCs w:val="21"/>
              </w:rPr>
              <w:t xml:space="preserve"> </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最多可使用随附的</w:t>
            </w:r>
            <w:r>
              <w:rPr>
                <w:rFonts w:cs="宋体" w:asciiTheme="minorEastAsia" w:hAnsiTheme="minorEastAsia" w:eastAsiaTheme="minorEastAsia"/>
                <w:kern w:val="0"/>
                <w:szCs w:val="21"/>
              </w:rPr>
              <w:t xml:space="preserve">RJ12 </w:t>
            </w:r>
            <w:r>
              <w:rPr>
                <w:rFonts w:hint="eastAsia" w:cs="宋体" w:asciiTheme="minorEastAsia" w:hAnsiTheme="minorEastAsia" w:eastAsiaTheme="minorEastAsia"/>
                <w:kern w:val="0"/>
                <w:szCs w:val="21"/>
              </w:rPr>
              <w:t>电缆连接五个底座（</w:t>
            </w:r>
            <w:r>
              <w:rPr>
                <w:rFonts w:cs="宋体" w:asciiTheme="minorEastAsia" w:hAnsiTheme="minorEastAsia" w:eastAsiaTheme="minorEastAsia"/>
                <w:kern w:val="0"/>
                <w:szCs w:val="21"/>
              </w:rPr>
              <w:t xml:space="preserve">10 </w:t>
            </w:r>
            <w:r>
              <w:rPr>
                <w:rFonts w:hint="eastAsia" w:cs="宋体" w:asciiTheme="minorEastAsia" w:hAnsiTheme="minorEastAsia" w:eastAsiaTheme="minorEastAsia"/>
                <w:kern w:val="0"/>
                <w:szCs w:val="21"/>
              </w:rPr>
              <w:t>台接收装置</w:t>
            </w:r>
            <w:r>
              <w:rPr>
                <w:rFonts w:cs="宋体" w:asciiTheme="minorEastAsia" w:hAnsiTheme="minorEastAsia" w:eastAsiaTheme="minorEastAsia"/>
                <w:kern w:val="0"/>
                <w:szCs w:val="21"/>
              </w:rPr>
              <w:t>)，提高多通道系统的稳定性。</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工作频率</w:t>
            </w:r>
            <w:r>
              <w:rPr>
                <w:rFonts w:cs="宋体" w:asciiTheme="minorEastAsia" w:hAnsiTheme="minorEastAsia" w:eastAsiaTheme="minorEastAsia"/>
                <w:kern w:val="0"/>
                <w:szCs w:val="21"/>
              </w:rPr>
              <w:t xml:space="preserve">:2.4 GHz ISM </w:t>
            </w:r>
            <w:r>
              <w:rPr>
                <w:rFonts w:hint="eastAsia" w:cs="宋体" w:asciiTheme="minorEastAsia" w:hAnsiTheme="minorEastAsia" w:eastAsiaTheme="minorEastAsia"/>
                <w:kern w:val="0"/>
                <w:szCs w:val="21"/>
              </w:rPr>
              <w:t>频带</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动态范围</w:t>
            </w:r>
            <w:r>
              <w:rPr>
                <w:rFonts w:cs="宋体" w:asciiTheme="minorEastAsia" w:hAnsiTheme="minorEastAsia" w:eastAsiaTheme="minorEastAsia"/>
                <w:kern w:val="0"/>
                <w:szCs w:val="21"/>
              </w:rPr>
              <w:t xml:space="preserve"> (典型值):&gt;109 dB (A-加权)</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总谐波失真</w:t>
            </w:r>
            <w:r>
              <w:rPr>
                <w:rFonts w:cs="宋体" w:asciiTheme="minorEastAsia" w:hAnsiTheme="minorEastAsia" w:eastAsiaTheme="minorEastAsia"/>
                <w:kern w:val="0"/>
                <w:szCs w:val="21"/>
              </w:rPr>
              <w:t>:&lt;0.05%，典型</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有效工作距离：</w:t>
            </w:r>
            <w:r>
              <w:rPr>
                <w:rFonts w:cs="宋体" w:asciiTheme="minorEastAsia" w:hAnsiTheme="minorEastAsia" w:eastAsiaTheme="minorEastAsia"/>
                <w:kern w:val="0"/>
                <w:szCs w:val="21"/>
              </w:rPr>
              <w:t>60米，典型 (开放的频率范围环境，没有干扰信号)</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频率响应：</w:t>
            </w:r>
            <w:r>
              <w:rPr>
                <w:rFonts w:cs="宋体" w:asciiTheme="minorEastAsia" w:hAnsiTheme="minorEastAsia" w:eastAsiaTheme="minorEastAsia"/>
                <w:kern w:val="0"/>
                <w:szCs w:val="21"/>
              </w:rPr>
              <w:t>20 Hz ~ 20 kHz (取决于话筒类型)</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取样频率：</w:t>
            </w:r>
            <w:r>
              <w:rPr>
                <w:rFonts w:cs="宋体" w:asciiTheme="minorEastAsia" w:hAnsiTheme="minorEastAsia" w:eastAsiaTheme="minorEastAsia"/>
                <w:kern w:val="0"/>
                <w:szCs w:val="21"/>
              </w:rPr>
              <w:t xml:space="preserve">24 </w:t>
            </w:r>
            <w:r>
              <w:rPr>
                <w:rFonts w:hint="eastAsia" w:cs="宋体" w:asciiTheme="minorEastAsia" w:hAnsiTheme="minorEastAsia" w:eastAsiaTheme="minorEastAsia"/>
                <w:kern w:val="0"/>
                <w:szCs w:val="21"/>
              </w:rPr>
              <w:t>比特</w:t>
            </w:r>
            <w:r>
              <w:rPr>
                <w:rFonts w:cs="宋体" w:asciiTheme="minorEastAsia" w:hAnsiTheme="minorEastAsia" w:eastAsiaTheme="minorEastAsia"/>
                <w:kern w:val="0"/>
                <w:szCs w:val="21"/>
              </w:rPr>
              <w:t xml:space="preserve"> / 48 kHz</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延迟时间：</w:t>
            </w:r>
            <w:r>
              <w:rPr>
                <w:rFonts w:cs="宋体" w:asciiTheme="minorEastAsia" w:hAnsiTheme="minorEastAsia" w:eastAsiaTheme="minorEastAsia"/>
                <w:kern w:val="0"/>
                <w:szCs w:val="21"/>
              </w:rPr>
              <w:t>3.8 ms</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r>
      <w:tr>
        <w:tblPrEx>
          <w:tblLayout w:type="fixed"/>
          <w:tblCellMar>
            <w:top w:w="0" w:type="dxa"/>
            <w:left w:w="108" w:type="dxa"/>
            <w:bottom w:w="0" w:type="dxa"/>
            <w:right w:w="108" w:type="dxa"/>
          </w:tblCellMar>
        </w:tblPrEx>
        <w:trPr>
          <w:trHeight w:val="41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10</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无线话筒接收天线</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可外置模块化接收器，通过以太网电缆最远安装距离</w:t>
            </w:r>
            <w:r>
              <w:rPr>
                <w:rFonts w:cs="宋体" w:asciiTheme="minorEastAsia" w:hAnsiTheme="minorEastAsia" w:eastAsiaTheme="minorEastAsia"/>
                <w:kern w:val="0"/>
                <w:szCs w:val="21"/>
              </w:rPr>
              <w:t>100米左右</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接收系统</w:t>
            </w:r>
            <w:r>
              <w:rPr>
                <w:rFonts w:cs="宋体" w:asciiTheme="minorEastAsia" w:hAnsiTheme="minorEastAsia" w:eastAsiaTheme="minorEastAsia"/>
                <w:kern w:val="0"/>
                <w:szCs w:val="21"/>
              </w:rPr>
              <w:t>:分集式 (频率/时间/空间)</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远程接收器连接端子</w:t>
            </w:r>
            <w:r>
              <w:rPr>
                <w:rFonts w:cs="宋体" w:asciiTheme="minorEastAsia" w:hAnsiTheme="minorEastAsia" w:eastAsiaTheme="minorEastAsia"/>
                <w:kern w:val="0"/>
                <w:szCs w:val="21"/>
              </w:rPr>
              <w:t>:RJ45</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标配</w:t>
            </w:r>
            <w:r>
              <w:rPr>
                <w:rFonts w:cs="宋体" w:asciiTheme="minorEastAsia" w:hAnsiTheme="minorEastAsia" w:eastAsiaTheme="minorEastAsia"/>
                <w:kern w:val="0"/>
                <w:szCs w:val="21"/>
              </w:rPr>
              <w:t>:天线,</w:t>
            </w:r>
            <w:r>
              <w:rPr>
                <w:rFonts w:hint="eastAsia" w:cs="宋体" w:asciiTheme="minorEastAsia" w:hAnsiTheme="minorEastAsia" w:eastAsiaTheme="minorEastAsia"/>
                <w:kern w:val="0"/>
                <w:szCs w:val="21"/>
              </w:rPr>
              <w:t>支架座</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安装</w:t>
            </w:r>
            <w:r>
              <w:rPr>
                <w:rFonts w:cs="宋体" w:asciiTheme="minorEastAsia" w:hAnsiTheme="minorEastAsia" w:eastAsiaTheme="minorEastAsia"/>
                <w:kern w:val="0"/>
                <w:szCs w:val="21"/>
              </w:rPr>
              <w:t>:1/4\" x 20</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个</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8</w:t>
            </w:r>
          </w:p>
        </w:tc>
      </w:tr>
      <w:tr>
        <w:tblPrEx>
          <w:tblLayout w:type="fixed"/>
          <w:tblCellMar>
            <w:top w:w="0" w:type="dxa"/>
            <w:left w:w="108" w:type="dxa"/>
            <w:bottom w:w="0" w:type="dxa"/>
            <w:right w:w="108" w:type="dxa"/>
          </w:tblCellMar>
        </w:tblPrEx>
        <w:trPr>
          <w:trHeight w:val="805"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11</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鹅颈话筒</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带前置放大器</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换能器类型：电容式（驻极体）</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指向特性：心型</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频率响应：</w:t>
            </w:r>
            <w:r>
              <w:rPr>
                <w:rFonts w:cs="宋体" w:asciiTheme="minorEastAsia" w:hAnsiTheme="minorEastAsia" w:eastAsiaTheme="minorEastAsia"/>
                <w:kern w:val="0"/>
                <w:szCs w:val="21"/>
              </w:rPr>
              <w:t xml:space="preserve">70 </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 xml:space="preserve"> 16,500 Hz</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阻抗</w:t>
            </w:r>
            <w:r>
              <w:rPr>
                <w:rFonts w:cs="宋体" w:asciiTheme="minorEastAsia" w:hAnsiTheme="minorEastAsia" w:eastAsiaTheme="minorEastAsia"/>
                <w:kern w:val="0"/>
                <w:szCs w:val="21"/>
              </w:rPr>
              <w:t xml:space="preserve"> </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 xml:space="preserve">250 </w:t>
            </w:r>
            <w:r>
              <w:rPr>
                <w:rFonts w:hint="eastAsia" w:cs="宋体" w:asciiTheme="minorEastAsia" w:hAnsiTheme="minorEastAsia" w:eastAsiaTheme="minorEastAsia"/>
                <w:kern w:val="0"/>
                <w:szCs w:val="21"/>
              </w:rPr>
              <w:t>Ω</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开路电压：</w:t>
            </w:r>
            <w:r>
              <w:rPr>
                <w:rFonts w:cs="宋体" w:asciiTheme="minorEastAsia" w:hAnsiTheme="minorEastAsia" w:eastAsiaTheme="minorEastAsia"/>
                <w:kern w:val="0"/>
                <w:szCs w:val="21"/>
              </w:rPr>
              <w:t xml:space="preserve">14 mV/Pa = -37.1 dBV ±3 dB </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最大承受声压级：</w:t>
            </w:r>
            <w:r>
              <w:rPr>
                <w:rFonts w:cs="宋体" w:asciiTheme="minorEastAsia" w:hAnsiTheme="minorEastAsia" w:eastAsiaTheme="minorEastAsia"/>
                <w:kern w:val="0"/>
                <w:szCs w:val="21"/>
              </w:rPr>
              <w:t>124 dB</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信噪比：</w:t>
            </w:r>
            <w:r>
              <w:rPr>
                <w:rFonts w:cs="宋体" w:asciiTheme="minorEastAsia" w:hAnsiTheme="minorEastAsia" w:eastAsiaTheme="minorEastAsia"/>
                <w:kern w:val="0"/>
                <w:szCs w:val="21"/>
              </w:rPr>
              <w:t xml:space="preserve">64 dB [A, rms] </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功耗：</w:t>
            </w:r>
            <w:r>
              <w:rPr>
                <w:rFonts w:cs="宋体" w:asciiTheme="minorEastAsia" w:hAnsiTheme="minorEastAsia" w:eastAsiaTheme="minorEastAsia"/>
                <w:kern w:val="0"/>
                <w:szCs w:val="21"/>
              </w:rPr>
              <w:t>2.3mA</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幻象供电：</w:t>
            </w:r>
            <w:r>
              <w:rPr>
                <w:rFonts w:cs="宋体" w:asciiTheme="minorEastAsia" w:hAnsiTheme="minorEastAsia" w:eastAsiaTheme="minorEastAsia"/>
                <w:kern w:val="0"/>
                <w:szCs w:val="21"/>
              </w:rPr>
              <w:t xml:space="preserve">12-48 V </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长度：</w:t>
            </w:r>
            <w:r>
              <w:rPr>
                <w:rFonts w:cs="宋体" w:asciiTheme="minorEastAsia" w:hAnsiTheme="minorEastAsia" w:eastAsiaTheme="minorEastAsia"/>
                <w:kern w:val="0"/>
                <w:szCs w:val="21"/>
              </w:rPr>
              <w:t>500mm</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连接头：</w:t>
            </w:r>
            <w:r>
              <w:rPr>
                <w:rFonts w:cs="宋体" w:asciiTheme="minorEastAsia" w:hAnsiTheme="minorEastAsia" w:eastAsiaTheme="minorEastAsia"/>
                <w:kern w:val="0"/>
                <w:szCs w:val="21"/>
              </w:rPr>
              <w:t>3针卡农公头</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支</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r>
      <w:tr>
        <w:tblPrEx>
          <w:tblLayout w:type="fixed"/>
          <w:tblCellMar>
            <w:top w:w="0" w:type="dxa"/>
            <w:left w:w="108" w:type="dxa"/>
            <w:bottom w:w="0" w:type="dxa"/>
            <w:right w:w="108" w:type="dxa"/>
          </w:tblCellMar>
        </w:tblPrEx>
        <w:trPr>
          <w:trHeight w:val="762"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12</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无线鹅颈话筒底座</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轻触式开关，配有两个</w:t>
            </w:r>
            <w:r>
              <w:rPr>
                <w:rFonts w:cs="宋体" w:asciiTheme="minorEastAsia" w:hAnsiTheme="minorEastAsia" w:eastAsiaTheme="minorEastAsia"/>
                <w:kern w:val="0"/>
                <w:szCs w:val="21"/>
              </w:rPr>
              <w:t>LED指示灯、切换通话/静音的用户切换、增益控制、</w:t>
            </w:r>
            <w:r>
              <w:rPr>
                <w:rFonts w:hint="eastAsia" w:cs="宋体" w:asciiTheme="minorEastAsia" w:hAnsiTheme="minorEastAsia" w:eastAsiaTheme="minorEastAsia"/>
                <w:kern w:val="0"/>
                <w:szCs w:val="21"/>
              </w:rPr>
              <w:t>低切滤波器</w:t>
            </w:r>
            <w:r>
              <w:rPr>
                <w:rFonts w:cs="宋体" w:asciiTheme="minorEastAsia" w:hAnsiTheme="minorEastAsia" w:eastAsiaTheme="minorEastAsia"/>
                <w:kern w:val="0"/>
                <w:szCs w:val="21"/>
              </w:rPr>
              <w:t>;</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射频输出功率：</w:t>
            </w:r>
            <w:r>
              <w:rPr>
                <w:rFonts w:cs="宋体" w:asciiTheme="minorEastAsia" w:hAnsiTheme="minorEastAsia" w:eastAsiaTheme="minorEastAsia"/>
                <w:kern w:val="0"/>
                <w:szCs w:val="21"/>
              </w:rPr>
              <w:t>10mW；</w:t>
            </w:r>
          </w:p>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 xml:space="preserve">3.7V </w:t>
            </w:r>
            <w:r>
              <w:rPr>
                <w:rFonts w:hint="eastAsia" w:cs="宋体" w:asciiTheme="minorEastAsia" w:hAnsiTheme="minorEastAsia" w:eastAsiaTheme="minorEastAsia"/>
                <w:kern w:val="0"/>
                <w:szCs w:val="21"/>
              </w:rPr>
              <w:t>可充电锂离子电池</w:t>
            </w:r>
            <w:r>
              <w:rPr>
                <w:rFonts w:cs="宋体" w:asciiTheme="minorEastAsia" w:hAnsiTheme="minorEastAsia" w:eastAsiaTheme="minorEastAsia"/>
                <w:kern w:val="0"/>
                <w:szCs w:val="21"/>
              </w:rPr>
              <w:t>;充电</w:t>
            </w: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4.5小时，可使用</w:t>
            </w: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9小时；</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带</w:t>
            </w:r>
            <w:r>
              <w:rPr>
                <w:rFonts w:cs="宋体" w:asciiTheme="minorEastAsia" w:hAnsiTheme="minorEastAsia" w:eastAsiaTheme="minorEastAsia"/>
                <w:kern w:val="0"/>
                <w:szCs w:val="21"/>
              </w:rPr>
              <w:t>3种开关模式：通话/静音、按着通话、按着静音；</w:t>
            </w:r>
          </w:p>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带低切滤波，带增益控制</w:t>
            </w:r>
            <w:r>
              <w:rPr>
                <w:rFonts w:cs="宋体" w:asciiTheme="minorEastAsia" w:hAnsiTheme="minorEastAsia" w:eastAsiaTheme="minorEastAsia"/>
                <w:kern w:val="0"/>
                <w:szCs w:val="21"/>
              </w:rPr>
              <w:t>-6、0、+6</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r>
      <w:tr>
        <w:tblPrEx>
          <w:tblLayout w:type="fixed"/>
          <w:tblCellMar>
            <w:top w:w="0" w:type="dxa"/>
            <w:left w:w="108" w:type="dxa"/>
            <w:bottom w:w="0" w:type="dxa"/>
            <w:right w:w="108" w:type="dxa"/>
          </w:tblCellMar>
        </w:tblPrEx>
        <w:trPr>
          <w:trHeight w:val="34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13</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高清视频采集卡</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支持1080P HDMI高清视频采集卡，最高支持1920*1200</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个</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Layout w:type="fixed"/>
          <w:tblCellMar>
            <w:top w:w="0" w:type="dxa"/>
            <w:left w:w="108" w:type="dxa"/>
            <w:bottom w:w="0" w:type="dxa"/>
            <w:right w:w="108" w:type="dxa"/>
          </w:tblCellMar>
        </w:tblPrEx>
        <w:trPr>
          <w:trHeight w:val="34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14</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辅材类</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线缆，线管等</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311" w:hRule="atLeast"/>
        </w:trPr>
        <w:tc>
          <w:tcPr>
            <w:tcW w:w="1953"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实验室会议室</w:t>
            </w:r>
          </w:p>
        </w:tc>
        <w:tc>
          <w:tcPr>
            <w:tcW w:w="6151" w:type="dxa"/>
            <w:tcBorders>
              <w:top w:val="nil"/>
              <w:left w:val="nil"/>
              <w:bottom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677"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46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Layout w:type="fixed"/>
          <w:tblCellMar>
            <w:top w:w="0" w:type="dxa"/>
            <w:left w:w="108" w:type="dxa"/>
            <w:bottom w:w="0" w:type="dxa"/>
            <w:right w:w="108" w:type="dxa"/>
          </w:tblCellMar>
        </w:tblPrEx>
        <w:trPr>
          <w:trHeight w:val="311" w:hRule="atLeast"/>
        </w:trPr>
        <w:tc>
          <w:tcPr>
            <w:tcW w:w="42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15</w:t>
            </w:r>
          </w:p>
        </w:tc>
        <w:tc>
          <w:tcPr>
            <w:tcW w:w="1524" w:type="dxa"/>
            <w:tcBorders>
              <w:top w:val="nil"/>
              <w:left w:val="nil"/>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分布式音视频控制软件</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32" w:hRule="atLeast"/>
        </w:trPr>
        <w:tc>
          <w:tcPr>
            <w:tcW w:w="42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16</w:t>
            </w:r>
          </w:p>
        </w:tc>
        <w:tc>
          <w:tcPr>
            <w:tcW w:w="1524" w:type="dxa"/>
            <w:tcBorders>
              <w:top w:val="nil"/>
              <w:left w:val="nil"/>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分布式4K KVM输出节点</w:t>
            </w:r>
          </w:p>
        </w:tc>
        <w:tc>
          <w:tcPr>
            <w:tcW w:w="6151"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863" w:hRule="atLeast"/>
        </w:trPr>
        <w:tc>
          <w:tcPr>
            <w:tcW w:w="429"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17</w:t>
            </w:r>
          </w:p>
        </w:tc>
        <w:tc>
          <w:tcPr>
            <w:tcW w:w="1524" w:type="dxa"/>
            <w:tcBorders>
              <w:top w:val="nil"/>
              <w:left w:val="nil"/>
              <w:bottom w:val="single" w:color="auto" w:sz="4" w:space="0"/>
              <w:right w:val="single" w:color="auto" w:sz="4" w:space="0"/>
            </w:tcBorders>
            <w:shd w:val="clear" w:color="000000" w:fill="FFFFFF"/>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分布式高清节点</w:t>
            </w:r>
          </w:p>
        </w:tc>
        <w:tc>
          <w:tcPr>
            <w:tcW w:w="6151" w:type="dxa"/>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000000" w:fill="FFFFFF"/>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50"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18</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指挥终端</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r>
      <w:tr>
        <w:tblPrEx>
          <w:tblLayout w:type="fixed"/>
          <w:tblCellMar>
            <w:top w:w="0" w:type="dxa"/>
            <w:left w:w="108" w:type="dxa"/>
            <w:bottom w:w="0" w:type="dxa"/>
            <w:right w:w="108" w:type="dxa"/>
          </w:tblCellMar>
        </w:tblPrEx>
        <w:trPr>
          <w:trHeight w:val="311" w:hRule="atLeast"/>
        </w:trPr>
        <w:tc>
          <w:tcPr>
            <w:tcW w:w="1953" w:type="dxa"/>
            <w:gridSpan w:val="2"/>
            <w:tcBorders>
              <w:top w:val="single" w:color="auto" w:sz="4" w:space="0"/>
              <w:left w:val="single" w:color="auto" w:sz="4" w:space="0"/>
              <w:bottom w:val="single" w:color="auto" w:sz="4" w:space="0"/>
              <w:right w:val="single" w:color="000000" w:sz="4" w:space="0"/>
            </w:tcBorders>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互联互通智能化整合</w:t>
            </w:r>
          </w:p>
        </w:tc>
        <w:tc>
          <w:tcPr>
            <w:tcW w:w="6151" w:type="dxa"/>
            <w:tcBorders>
              <w:top w:val="nil"/>
              <w:left w:val="nil"/>
              <w:bottom w:val="single" w:color="auto" w:sz="4" w:space="0"/>
              <w:right w:val="single" w:color="auto" w:sz="4" w:space="0"/>
            </w:tcBorders>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677"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460" w:type="dxa"/>
            <w:tcBorders>
              <w:top w:val="nil"/>
              <w:left w:val="nil"/>
              <w:bottom w:val="single" w:color="auto" w:sz="4" w:space="0"/>
              <w:right w:val="single" w:color="auto" w:sz="4" w:space="0"/>
            </w:tcBorders>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Layout w:type="fixed"/>
          <w:tblCellMar>
            <w:top w:w="0" w:type="dxa"/>
            <w:left w:w="108" w:type="dxa"/>
            <w:bottom w:w="0" w:type="dxa"/>
            <w:right w:w="108" w:type="dxa"/>
          </w:tblCellMar>
        </w:tblPrEx>
        <w:trPr>
          <w:trHeight w:val="750"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19</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业务管理系统</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788"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统一注册平台</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70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21</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视频联接平台</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93"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22</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省监测中心视频云平台</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93"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23</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协议转换网关</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93"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24</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监控融合平台</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645"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25</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录制平台</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1031"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26</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跨平台调度</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1040"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27</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切换控制一体主机</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内置中控加高清矩阵切换功能，内置</w:t>
            </w:r>
            <w:r>
              <w:rPr>
                <w:rFonts w:cs="宋体" w:asciiTheme="minorEastAsia" w:hAnsiTheme="minorEastAsia" w:eastAsiaTheme="minorEastAsia"/>
                <w:kern w:val="0"/>
                <w:szCs w:val="21"/>
              </w:rPr>
              <w:t xml:space="preserve">HUAWEI视讯终端管控功能、内置会议系统摄像联动模块；矩阵为单卡单路,全无缝切换，支持CVBS、YPbPr、VGA、DVI、HDMI、3G/HD/SD-SDI、HDBaseT等信号输入/输出; </w:t>
            </w:r>
            <w:r>
              <w:rPr>
                <w:rFonts w:hint="eastAsia" w:cs="宋体" w:asciiTheme="minorEastAsia" w:hAnsiTheme="minorEastAsia" w:eastAsiaTheme="minorEastAsia"/>
                <w:kern w:val="0"/>
                <w:szCs w:val="21"/>
              </w:rPr>
              <w:t>信号切换端口：不低于</w:t>
            </w:r>
            <w:r>
              <w:rPr>
                <w:rFonts w:cs="宋体" w:asciiTheme="minorEastAsia" w:hAnsiTheme="minorEastAsia" w:eastAsiaTheme="minorEastAsia"/>
                <w:kern w:val="0"/>
                <w:szCs w:val="21"/>
              </w:rPr>
              <w:t>12路自由输入/输出，不低于4路固定输出，支持热插拔；</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34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28</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出口路由器</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34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29</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接入交换机</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r>
      <w:tr>
        <w:tblPrEx>
          <w:tblLayout w:type="fixed"/>
          <w:tblCellMar>
            <w:top w:w="0" w:type="dxa"/>
            <w:left w:w="108" w:type="dxa"/>
            <w:bottom w:w="0" w:type="dxa"/>
            <w:right w:w="108" w:type="dxa"/>
          </w:tblCellMar>
        </w:tblPrEx>
        <w:trPr>
          <w:trHeight w:val="43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30</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网络管理系统</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46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34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31</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SDN控制器</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46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r>
      <w:tr>
        <w:tblPrEx>
          <w:tblLayout w:type="fixed"/>
          <w:tblCellMar>
            <w:top w:w="0" w:type="dxa"/>
            <w:left w:w="108" w:type="dxa"/>
            <w:bottom w:w="0" w:type="dxa"/>
            <w:right w:w="108" w:type="dxa"/>
          </w:tblCellMar>
        </w:tblPrEx>
        <w:trPr>
          <w:trHeight w:val="346" w:hRule="atLeast"/>
        </w:trPr>
        <w:tc>
          <w:tcPr>
            <w:tcW w:w="4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32</w:t>
            </w:r>
          </w:p>
        </w:tc>
        <w:tc>
          <w:tcPr>
            <w:tcW w:w="1524" w:type="dxa"/>
            <w:tcBorders>
              <w:top w:val="nil"/>
              <w:left w:val="nil"/>
              <w:bottom w:val="single" w:color="auto" w:sz="4" w:space="0"/>
              <w:right w:val="single" w:color="auto" w:sz="4" w:space="0"/>
            </w:tcBorders>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21个地市视频会议、视频监控、大屏等融合集成服务接入整合及实施服务</w:t>
            </w:r>
          </w:p>
        </w:tc>
        <w:tc>
          <w:tcPr>
            <w:tcW w:w="6151"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21个地市视频会议、视频监控、大屏等融合集成服务接入整合及实施服务（含安装调试及辅材），项目售后服务期提供不少于1个1年运维驻场服务。</w:t>
            </w:r>
          </w:p>
        </w:tc>
        <w:tc>
          <w:tcPr>
            <w:tcW w:w="677"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460"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r>
    </w:tbl>
    <w:p>
      <w:pPr>
        <w:pStyle w:val="141"/>
        <w:numPr>
          <w:ilvl w:val="2"/>
          <w:numId w:val="7"/>
        </w:numPr>
        <w:tabs>
          <w:tab w:val="clear" w:pos="851"/>
        </w:tabs>
        <w:outlineLvl w:val="3"/>
        <w:rPr>
          <w:rFonts w:ascii="宋体" w:hAnsi="宋体" w:eastAsia="宋体" w:cs="宋体"/>
          <w:color w:val="auto"/>
          <w:sz w:val="24"/>
          <w:szCs w:val="24"/>
        </w:rPr>
      </w:pPr>
      <w:bookmarkStart w:id="120" w:name="_Toc46241987"/>
      <w:r>
        <w:rPr>
          <w:rFonts w:hint="eastAsia" w:ascii="宋体" w:hAnsi="宋体" w:eastAsia="宋体" w:cs="宋体"/>
          <w:color w:val="auto"/>
          <w:sz w:val="24"/>
          <w:szCs w:val="24"/>
        </w:rPr>
        <w:t>区域预警中心配置清单</w:t>
      </w:r>
      <w:bookmarkEnd w:id="120"/>
    </w:p>
    <w:tbl>
      <w:tblPr>
        <w:tblStyle w:val="54"/>
        <w:tblW w:w="932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2130"/>
        <w:gridCol w:w="4702"/>
        <w:gridCol w:w="506"/>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序号</w:t>
            </w:r>
          </w:p>
        </w:tc>
        <w:tc>
          <w:tcPr>
            <w:tcW w:w="2130"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设备名称</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性能和功能要求</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单位</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7986" w:type="dxa"/>
            <w:gridSpan w:val="3"/>
            <w:shd w:val="clear" w:color="auto" w:fill="auto"/>
            <w:noWrap/>
            <w:vAlign w:val="center"/>
          </w:tcPr>
          <w:p>
            <w:pPr>
              <w:widowControl/>
              <w:jc w:val="left"/>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5大区域预警中心站（广州、深圳、韶关、汕头、湛江）　</w:t>
            </w:r>
          </w:p>
        </w:tc>
        <w:tc>
          <w:tcPr>
            <w:tcW w:w="506"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广州站</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监控指挥中心</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网络接入调整服务</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根据《广东省生态环境监测站点业务保障体系总体设计》要求，规划网络设备</w:t>
            </w:r>
            <w:r>
              <w:rPr>
                <w:rFonts w:cs="宋体" w:asciiTheme="minorEastAsia" w:hAnsiTheme="minorEastAsia" w:eastAsiaTheme="minorEastAsia"/>
                <w:kern w:val="0"/>
                <w:szCs w:val="21"/>
              </w:rPr>
              <w:t>IP地址，软硬件设备的安装调试、线材</w:t>
            </w:r>
            <w:r>
              <w:rPr>
                <w:rFonts w:hint="eastAsia" w:cs="宋体" w:asciiTheme="minorEastAsia" w:hAnsiTheme="minorEastAsia" w:eastAsiaTheme="minorEastAsia"/>
                <w:kern w:val="0"/>
                <w:szCs w:val="21"/>
              </w:rPr>
              <w:t>拉设部署及技术服务（含辅料），响应广东省环境监测垂改内容。</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可视化交互协同管理</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跨平台调度</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收发器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最高分辨率不低于</w:t>
            </w:r>
            <w:r>
              <w:rPr>
                <w:rFonts w:cs="宋体" w:asciiTheme="minorEastAsia" w:hAnsiTheme="minorEastAsia" w:eastAsiaTheme="minorEastAsia"/>
                <w:kern w:val="0"/>
                <w:szCs w:val="21"/>
              </w:rPr>
              <w:t>4Kx2k/60Hz，符合HDCP2.2标准，支持远程单向供电（PoE）功能，高带宽</w:t>
            </w: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10Gbps</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指挥终端</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KVM输入节点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6</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KVM输出节点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7</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分布式网络控制节点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8</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区域中心分布式管理平台</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小计</w:t>
            </w:r>
          </w:p>
        </w:tc>
        <w:tc>
          <w:tcPr>
            <w:tcW w:w="2130"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深圳站</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监控指挥中心</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网络接入调整服务</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根据《广东省生态环境监测站点业务保障体系总体设计》要求，规划网络设备</w:t>
            </w:r>
            <w:r>
              <w:rPr>
                <w:rFonts w:cs="宋体" w:asciiTheme="minorEastAsia" w:hAnsiTheme="minorEastAsia" w:eastAsiaTheme="minorEastAsia"/>
                <w:kern w:val="0"/>
                <w:szCs w:val="21"/>
              </w:rPr>
              <w:t>IP地址，软硬件设备的安装调试、线材</w:t>
            </w:r>
            <w:r>
              <w:rPr>
                <w:rFonts w:hint="eastAsia" w:cs="宋体" w:asciiTheme="minorEastAsia" w:hAnsiTheme="minorEastAsia" w:eastAsiaTheme="minorEastAsia"/>
                <w:kern w:val="0"/>
                <w:szCs w:val="21"/>
              </w:rPr>
              <w:t>拉设部署及技术服务（含辅料），响应广东省环境监测垂改内容。</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可视化交互协同管理</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跨平台调度</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收发器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最高分辨率可达</w:t>
            </w:r>
            <w:r>
              <w:rPr>
                <w:rFonts w:cs="宋体" w:asciiTheme="minorEastAsia" w:hAnsiTheme="minorEastAsia" w:eastAsiaTheme="minorEastAsia"/>
                <w:kern w:val="0"/>
                <w:szCs w:val="21"/>
              </w:rPr>
              <w:t>4Kx2k/60Hz，符合HDCP2.2标准，支持远程单向供电（PoE）功能，高带宽</w:t>
            </w: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10Gbps</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指挥终端</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KVM输入节点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6</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KVM输出节点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7</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分布式网络控制节点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8</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区域中心分布式管理平台</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小计</w:t>
            </w:r>
          </w:p>
        </w:tc>
        <w:tc>
          <w:tcPr>
            <w:tcW w:w="2130"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4702"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韶关站</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监控指挥中心</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防火墙</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安全一体机网关</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24口POE交换机</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w:t>
            </w:r>
            <w:r>
              <w:rPr>
                <w:rFonts w:cs="宋体" w:asciiTheme="minorEastAsia" w:hAnsiTheme="minorEastAsia" w:eastAsiaTheme="minorEastAsia"/>
                <w:kern w:val="0"/>
                <w:szCs w:val="21"/>
              </w:rPr>
              <w:t>WIFI设备</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个</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网络接入调整服务</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根据《广东省生态环境监测站点业务保障体系总体设计》要求，规划网络设备</w:t>
            </w:r>
            <w:r>
              <w:rPr>
                <w:rFonts w:cs="宋体" w:asciiTheme="minorEastAsia" w:hAnsiTheme="minorEastAsia" w:eastAsiaTheme="minorEastAsia"/>
                <w:kern w:val="0"/>
                <w:szCs w:val="21"/>
              </w:rPr>
              <w:t>IP地址，软硬件设备的安装调试、线材</w:t>
            </w:r>
            <w:r>
              <w:rPr>
                <w:rFonts w:hint="eastAsia" w:cs="宋体" w:asciiTheme="minorEastAsia" w:hAnsiTheme="minorEastAsia" w:eastAsiaTheme="minorEastAsia"/>
                <w:kern w:val="0"/>
                <w:szCs w:val="21"/>
              </w:rPr>
              <w:t>拉设部署及技术服务（含辅料），响应广东省环境监测垂改内容。</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6</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核心交换机</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7</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路由器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可视化交互协同管理</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8</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跨平台调度</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9</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收发器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最高分辨率可达</w:t>
            </w:r>
            <w:r>
              <w:rPr>
                <w:rFonts w:cs="宋体" w:asciiTheme="minorEastAsia" w:hAnsiTheme="minorEastAsia" w:eastAsiaTheme="minorEastAsia"/>
                <w:kern w:val="0"/>
                <w:szCs w:val="21"/>
              </w:rPr>
              <w:t>4Kx2k/60Hz，符合HDCP2.2标准，支持远程单向供电（PoE）功能，高带宽：</w:t>
            </w: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10Gbps</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10</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指挥终端</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视频解码器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LED显示主屏</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r>
              <w:rPr>
                <w:rFonts w:cs="宋体" w:asciiTheme="minorEastAsia" w:hAnsiTheme="minorEastAsia" w:eastAsiaTheme="minorEastAsia"/>
                <w:kern w:val="0"/>
                <w:szCs w:val="21"/>
              </w:rPr>
              <w:t xml:space="preserve">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Calibri" w:asciiTheme="minorEastAsia" w:hAnsiTheme="minorEastAsia" w:eastAsiaTheme="minorEastAsia"/>
                <w:kern w:val="0"/>
                <w:szCs w:val="21"/>
              </w:rPr>
              <w:t>²</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13</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LED控制器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14</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控制工作站</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i7</w:t>
            </w:r>
            <w:r>
              <w:rPr>
                <w:rFonts w:hint="eastAsia" w:cs="宋体" w:asciiTheme="minorEastAsia" w:hAnsiTheme="minorEastAsia" w:eastAsiaTheme="minorEastAsia"/>
                <w:kern w:val="0"/>
                <w:szCs w:val="21"/>
              </w:rPr>
              <w:t>系列C</w:t>
            </w:r>
            <w:r>
              <w:rPr>
                <w:rFonts w:cs="宋体" w:asciiTheme="minorEastAsia" w:hAnsiTheme="minorEastAsia" w:eastAsiaTheme="minorEastAsia"/>
                <w:kern w:val="0"/>
                <w:szCs w:val="21"/>
              </w:rPr>
              <w:t>PU/</w:t>
            </w:r>
            <w:r>
              <w:rPr>
                <w:rFonts w:hint="eastAsia" w:cs="宋体" w:asciiTheme="minorEastAsia" w:hAnsiTheme="minorEastAsia" w:eastAsiaTheme="minorEastAsia"/>
                <w:kern w:val="0"/>
                <w:szCs w:val="21"/>
              </w:rPr>
              <w:t>内存不低于</w:t>
            </w:r>
            <w:r>
              <w:rPr>
                <w:rFonts w:cs="宋体" w:asciiTheme="minorEastAsia" w:hAnsiTheme="minorEastAsia" w:eastAsiaTheme="minorEastAsia"/>
                <w:kern w:val="0"/>
                <w:szCs w:val="21"/>
              </w:rPr>
              <w:t>8G/</w:t>
            </w:r>
            <w:r>
              <w:rPr>
                <w:rFonts w:hint="eastAsia" w:cs="宋体" w:asciiTheme="minorEastAsia" w:hAnsiTheme="minorEastAsia" w:eastAsiaTheme="minorEastAsia"/>
                <w:kern w:val="0"/>
                <w:szCs w:val="21"/>
              </w:rPr>
              <w:t>硬盘不低于</w:t>
            </w:r>
            <w:r>
              <w:rPr>
                <w:rFonts w:cs="宋体" w:asciiTheme="minorEastAsia" w:hAnsiTheme="minorEastAsia" w:eastAsiaTheme="minorEastAsia"/>
                <w:kern w:val="0"/>
                <w:szCs w:val="21"/>
              </w:rPr>
              <w:t>1T/</w:t>
            </w:r>
            <w:r>
              <w:rPr>
                <w:rFonts w:hint="eastAsia" w:cs="宋体" w:asciiTheme="minorEastAsia" w:hAnsiTheme="minorEastAsia" w:eastAsiaTheme="minorEastAsia"/>
                <w:kern w:val="0"/>
                <w:szCs w:val="21"/>
              </w:rPr>
              <w:t>独立显卡，显卡内存不低于</w:t>
            </w:r>
            <w:r>
              <w:rPr>
                <w:rFonts w:cs="宋体" w:asciiTheme="minorEastAsia" w:hAnsiTheme="minorEastAsia" w:eastAsiaTheme="minorEastAsia"/>
                <w:kern w:val="0"/>
                <w:szCs w:val="21"/>
              </w:rPr>
              <w:t xml:space="preserve">2G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配电柜</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 xml:space="preserve">15KW </w:t>
            </w:r>
            <w:r>
              <w:rPr>
                <w:rFonts w:hint="eastAsia" w:cs="宋体" w:asciiTheme="minorEastAsia" w:hAnsiTheme="minorEastAsia" w:eastAsiaTheme="minorEastAsia"/>
                <w:kern w:val="0"/>
                <w:szCs w:val="21"/>
              </w:rPr>
              <w:t>含</w:t>
            </w:r>
            <w:r>
              <w:rPr>
                <w:rFonts w:cs="宋体" w:asciiTheme="minorEastAsia" w:hAnsiTheme="minorEastAsia" w:eastAsiaTheme="minorEastAsia"/>
                <w:kern w:val="0"/>
                <w:szCs w:val="21"/>
              </w:rPr>
              <w:t>PLC控制系统</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16</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钢结构铝型材支架及屏下装饰包边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定制结构，根据实际现场工勘定制</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Calibri" w:asciiTheme="minorEastAsia" w:hAnsiTheme="minorEastAsia" w:eastAsiaTheme="minorEastAsia"/>
                <w:kern w:val="0"/>
                <w:szCs w:val="21"/>
              </w:rPr>
              <w:t>²</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17</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备品</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至少</w:t>
            </w:r>
            <w:r>
              <w:rPr>
                <w:rFonts w:cs="宋体" w:asciiTheme="minorEastAsia" w:hAnsiTheme="minorEastAsia" w:eastAsiaTheme="minorEastAsia"/>
                <w:kern w:val="0"/>
                <w:szCs w:val="21"/>
              </w:rPr>
              <w:t>4个模组、4个电源备品备件</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18</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KVM输入节点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19</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KVM输出节点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20</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分布式网络控制节点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区域中心分布式管理平台</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小计</w:t>
            </w:r>
          </w:p>
        </w:tc>
        <w:tc>
          <w:tcPr>
            <w:tcW w:w="2130"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44.92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汕头站</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监控指挥中心</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防火墙</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安全一体机网关</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24口POE交换机</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w:t>
            </w:r>
            <w:r>
              <w:rPr>
                <w:rFonts w:cs="宋体" w:asciiTheme="minorEastAsia" w:hAnsiTheme="minorEastAsia" w:eastAsiaTheme="minorEastAsia"/>
                <w:kern w:val="0"/>
                <w:szCs w:val="21"/>
              </w:rPr>
              <w:t>WIFI设备</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个</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网络接入调整服务</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根据《广东省生态环境监测站点业务保障体系总体设计》要求，规划网络设备</w:t>
            </w:r>
            <w:r>
              <w:rPr>
                <w:rFonts w:cs="宋体" w:asciiTheme="minorEastAsia" w:hAnsiTheme="minorEastAsia" w:eastAsiaTheme="minorEastAsia"/>
                <w:kern w:val="0"/>
                <w:szCs w:val="21"/>
              </w:rPr>
              <w:t>IP地址，软硬件设备的安装调试、线材</w:t>
            </w:r>
            <w:r>
              <w:rPr>
                <w:rFonts w:hint="eastAsia" w:cs="宋体" w:asciiTheme="minorEastAsia" w:hAnsiTheme="minorEastAsia" w:eastAsiaTheme="minorEastAsia"/>
                <w:kern w:val="0"/>
                <w:szCs w:val="21"/>
              </w:rPr>
              <w:t>拉设部署及技术服务（含辅料），响应广东省环境监测垂改内容。</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6</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核心交换机</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7</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路由器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可视化交互协同管理</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8</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跨平台调度</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9</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收发器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最高分辨率可达</w:t>
            </w:r>
            <w:r>
              <w:rPr>
                <w:rFonts w:cs="宋体" w:asciiTheme="minorEastAsia" w:hAnsiTheme="minorEastAsia" w:eastAsiaTheme="minorEastAsia"/>
                <w:kern w:val="0"/>
                <w:szCs w:val="21"/>
              </w:rPr>
              <w:t>4Kx2k/60Hz，符合HDCP2.2标准，支持远程单向供电（PoE）功能，高带宽</w:t>
            </w: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10 Gbps</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10</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指挥终端</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11</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视频解码器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12</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LED显示主屏</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r>
              <w:rPr>
                <w:rFonts w:cs="宋体" w:asciiTheme="minorEastAsia" w:hAnsiTheme="minorEastAsia" w:eastAsiaTheme="minorEastAsia"/>
                <w:kern w:val="0"/>
                <w:szCs w:val="21"/>
              </w:rPr>
              <w:t xml:space="preserve">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Calibri" w:asciiTheme="minorEastAsia" w:hAnsiTheme="minorEastAsia" w:eastAsiaTheme="minorEastAsia"/>
                <w:kern w:val="0"/>
                <w:szCs w:val="21"/>
              </w:rPr>
              <w:t>²</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13</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LED控制器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14</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控制工作站</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i7</w:t>
            </w:r>
            <w:r>
              <w:rPr>
                <w:rFonts w:hint="eastAsia" w:cs="宋体" w:asciiTheme="minorEastAsia" w:hAnsiTheme="minorEastAsia" w:eastAsiaTheme="minorEastAsia"/>
                <w:kern w:val="0"/>
                <w:szCs w:val="21"/>
              </w:rPr>
              <w:t>系列C</w:t>
            </w:r>
            <w:r>
              <w:rPr>
                <w:rFonts w:cs="宋体" w:asciiTheme="minorEastAsia" w:hAnsiTheme="minorEastAsia" w:eastAsiaTheme="minorEastAsia"/>
                <w:kern w:val="0"/>
                <w:szCs w:val="21"/>
              </w:rPr>
              <w:t>PU/</w:t>
            </w:r>
            <w:r>
              <w:rPr>
                <w:rFonts w:hint="eastAsia" w:cs="宋体" w:asciiTheme="minorEastAsia" w:hAnsiTheme="minorEastAsia" w:eastAsiaTheme="minorEastAsia"/>
                <w:kern w:val="0"/>
                <w:szCs w:val="21"/>
              </w:rPr>
              <w:t>内存不低于</w:t>
            </w:r>
            <w:r>
              <w:rPr>
                <w:rFonts w:cs="宋体" w:asciiTheme="minorEastAsia" w:hAnsiTheme="minorEastAsia" w:eastAsiaTheme="minorEastAsia"/>
                <w:kern w:val="0"/>
                <w:szCs w:val="21"/>
              </w:rPr>
              <w:t>8G/</w:t>
            </w:r>
            <w:r>
              <w:rPr>
                <w:rFonts w:hint="eastAsia" w:cs="宋体" w:asciiTheme="minorEastAsia" w:hAnsiTheme="minorEastAsia" w:eastAsiaTheme="minorEastAsia"/>
                <w:kern w:val="0"/>
                <w:szCs w:val="21"/>
              </w:rPr>
              <w:t>硬盘不低于</w:t>
            </w:r>
            <w:r>
              <w:rPr>
                <w:rFonts w:cs="宋体" w:asciiTheme="minorEastAsia" w:hAnsiTheme="minorEastAsia" w:eastAsiaTheme="minorEastAsia"/>
                <w:kern w:val="0"/>
                <w:szCs w:val="21"/>
              </w:rPr>
              <w:t>1T/</w:t>
            </w:r>
            <w:r>
              <w:rPr>
                <w:rFonts w:hint="eastAsia" w:cs="宋体" w:asciiTheme="minorEastAsia" w:hAnsiTheme="minorEastAsia" w:eastAsiaTheme="minorEastAsia"/>
                <w:kern w:val="0"/>
                <w:szCs w:val="21"/>
              </w:rPr>
              <w:t>独立显卡，显卡内存不低于</w:t>
            </w:r>
            <w:r>
              <w:rPr>
                <w:rFonts w:cs="宋体" w:asciiTheme="minorEastAsia" w:hAnsiTheme="minorEastAsia" w:eastAsiaTheme="minorEastAsia"/>
                <w:kern w:val="0"/>
                <w:szCs w:val="21"/>
              </w:rPr>
              <w:t>2G</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配电柜</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 xml:space="preserve">15KW </w:t>
            </w:r>
            <w:r>
              <w:rPr>
                <w:rFonts w:hint="eastAsia" w:cs="宋体" w:asciiTheme="minorEastAsia" w:hAnsiTheme="minorEastAsia" w:eastAsiaTheme="minorEastAsia"/>
                <w:kern w:val="0"/>
                <w:szCs w:val="21"/>
              </w:rPr>
              <w:t>含</w:t>
            </w:r>
            <w:r>
              <w:rPr>
                <w:rFonts w:cs="宋体" w:asciiTheme="minorEastAsia" w:hAnsiTheme="minorEastAsia" w:eastAsiaTheme="minorEastAsia"/>
                <w:kern w:val="0"/>
                <w:szCs w:val="21"/>
              </w:rPr>
              <w:t>PLC控制系统</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16</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钢结构铝型材支架及屏下装饰包边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定制结构，根据实际现场工勘定制</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Calibri" w:asciiTheme="minorEastAsia" w:hAnsiTheme="minorEastAsia" w:eastAsiaTheme="minorEastAsia"/>
                <w:kern w:val="0"/>
                <w:szCs w:val="21"/>
              </w:rPr>
              <w:t>²</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cs="宋体" w:asciiTheme="minorEastAsia" w:hAnsiTheme="minorEastAsia" w:eastAsiaTheme="minorEastAsia"/>
                <w:b/>
                <w:bCs/>
                <w:kern w:val="0"/>
                <w:szCs w:val="21"/>
              </w:rPr>
              <w:t>17</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备品</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4个模组、4个电源备品备件</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18</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KVM输入节点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19</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KVM输出节点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20</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分布式网络控制节点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区域中心分布式管理平台</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r>
              <w:rPr>
                <w:rFonts w:cs="宋体" w:asciiTheme="minorEastAsia" w:hAnsiTheme="minorEastAsia" w:eastAsiaTheme="minorEastAsia"/>
                <w:kern w:val="0"/>
                <w:szCs w:val="21"/>
              </w:rPr>
              <w:t xml:space="preserve">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154"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小计</w:t>
            </w:r>
          </w:p>
        </w:tc>
        <w:tc>
          <w:tcPr>
            <w:tcW w:w="2130"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ascii="Times New Roman" w:hAnsi="Times New Roman"/>
                <w:b/>
                <w:bCs/>
                <w:color w:val="000000"/>
                <w:kern w:val="0"/>
                <w:sz w:val="24"/>
                <w:szCs w:val="24"/>
              </w:rPr>
            </w:pPr>
            <w:r>
              <w:rPr>
                <w:rFonts w:ascii="Times New Roman" w:hAnsi="Times New Roman"/>
                <w:b/>
                <w:bCs/>
                <w:color w:val="000000"/>
              </w:rPr>
              <w:t>44.92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湛江站</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监控指挥中心</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防火墙</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安全一体机网关</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24口POE交换机</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无线</w:t>
            </w:r>
            <w:r>
              <w:rPr>
                <w:rFonts w:cs="宋体" w:asciiTheme="minorEastAsia" w:hAnsiTheme="minorEastAsia" w:eastAsiaTheme="minorEastAsia"/>
                <w:kern w:val="0"/>
                <w:szCs w:val="21"/>
              </w:rPr>
              <w:t>WIFI设备</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个</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网络接入调整服务</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根据《广东省生态环境监测站点业务保障体系总体设计》要求，规划网络设备</w:t>
            </w:r>
            <w:r>
              <w:rPr>
                <w:rFonts w:cs="宋体" w:asciiTheme="minorEastAsia" w:hAnsiTheme="minorEastAsia" w:eastAsiaTheme="minorEastAsia"/>
                <w:kern w:val="0"/>
                <w:szCs w:val="21"/>
              </w:rPr>
              <w:t>IP地址，软硬件设备的安装调试、线材</w:t>
            </w:r>
            <w:r>
              <w:rPr>
                <w:rFonts w:hint="eastAsia" w:cs="宋体" w:asciiTheme="minorEastAsia" w:hAnsiTheme="minorEastAsia" w:eastAsiaTheme="minorEastAsia"/>
                <w:kern w:val="0"/>
                <w:szCs w:val="21"/>
              </w:rPr>
              <w:t>拉设部署及技术服务（含辅料），响应广东省环境监测垂改内容。</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6</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核心交换机</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7</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路由器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可视化交互协同管理</w:t>
            </w:r>
          </w:p>
        </w:tc>
        <w:tc>
          <w:tcPr>
            <w:tcW w:w="2130" w:type="dxa"/>
            <w:shd w:val="clear" w:color="auto" w:fill="auto"/>
            <w:noWrap/>
            <w:vAlign w:val="center"/>
          </w:tcPr>
          <w:p>
            <w:pPr>
              <w:widowControl/>
              <w:jc w:val="left"/>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　</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8</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跨平台调度</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9</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收发器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最高分辨率可达</w:t>
            </w:r>
            <w:r>
              <w:rPr>
                <w:rFonts w:cs="宋体" w:asciiTheme="minorEastAsia" w:hAnsiTheme="minorEastAsia" w:eastAsiaTheme="minorEastAsia"/>
                <w:kern w:val="0"/>
                <w:szCs w:val="21"/>
              </w:rPr>
              <w:t>4Kx2k/60Hz，符合HDCP2.2标准，支持远程单向供电（PoE）功能，高带宽</w:t>
            </w: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10Gbps</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10</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指挥终端</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11</w:t>
            </w:r>
          </w:p>
        </w:tc>
        <w:tc>
          <w:tcPr>
            <w:tcW w:w="2130"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视频解码器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LED显示主屏</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r>
              <w:rPr>
                <w:rFonts w:cs="宋体" w:asciiTheme="minorEastAsia" w:hAnsiTheme="minorEastAsia" w:eastAsiaTheme="minorEastAsia"/>
                <w:kern w:val="0"/>
                <w:szCs w:val="21"/>
              </w:rPr>
              <w:t xml:space="preserve">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Calibri" w:asciiTheme="minorEastAsia" w:hAnsiTheme="minorEastAsia" w:eastAsiaTheme="minorEastAsia"/>
                <w:kern w:val="0"/>
                <w:szCs w:val="21"/>
              </w:rPr>
              <w:t>²</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13</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LED控制器</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14</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控制工作站</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i7</w:t>
            </w:r>
            <w:r>
              <w:rPr>
                <w:rFonts w:hint="eastAsia" w:cs="宋体" w:asciiTheme="minorEastAsia" w:hAnsiTheme="minorEastAsia" w:eastAsiaTheme="minorEastAsia"/>
                <w:kern w:val="0"/>
                <w:szCs w:val="21"/>
              </w:rPr>
              <w:t>系列C</w:t>
            </w:r>
            <w:r>
              <w:rPr>
                <w:rFonts w:cs="宋体" w:asciiTheme="minorEastAsia" w:hAnsiTheme="minorEastAsia" w:eastAsiaTheme="minorEastAsia"/>
                <w:kern w:val="0"/>
                <w:szCs w:val="21"/>
              </w:rPr>
              <w:t>PU/</w:t>
            </w:r>
            <w:r>
              <w:rPr>
                <w:rFonts w:hint="eastAsia" w:cs="宋体" w:asciiTheme="minorEastAsia" w:hAnsiTheme="minorEastAsia" w:eastAsiaTheme="minorEastAsia"/>
                <w:kern w:val="0"/>
                <w:szCs w:val="21"/>
              </w:rPr>
              <w:t>内存不低于</w:t>
            </w:r>
            <w:r>
              <w:rPr>
                <w:rFonts w:cs="宋体" w:asciiTheme="minorEastAsia" w:hAnsiTheme="minorEastAsia" w:eastAsiaTheme="minorEastAsia"/>
                <w:kern w:val="0"/>
                <w:szCs w:val="21"/>
              </w:rPr>
              <w:t>8G/</w:t>
            </w:r>
            <w:r>
              <w:rPr>
                <w:rFonts w:hint="eastAsia" w:cs="宋体" w:asciiTheme="minorEastAsia" w:hAnsiTheme="minorEastAsia" w:eastAsiaTheme="minorEastAsia"/>
                <w:kern w:val="0"/>
                <w:szCs w:val="21"/>
              </w:rPr>
              <w:t>硬盘不低于</w:t>
            </w:r>
            <w:r>
              <w:rPr>
                <w:rFonts w:cs="宋体" w:asciiTheme="minorEastAsia" w:hAnsiTheme="minorEastAsia" w:eastAsiaTheme="minorEastAsia"/>
                <w:kern w:val="0"/>
                <w:szCs w:val="21"/>
              </w:rPr>
              <w:t>1T/</w:t>
            </w:r>
            <w:r>
              <w:rPr>
                <w:rFonts w:hint="eastAsia" w:cs="宋体" w:asciiTheme="minorEastAsia" w:hAnsiTheme="minorEastAsia" w:eastAsiaTheme="minorEastAsia"/>
                <w:kern w:val="0"/>
                <w:szCs w:val="21"/>
              </w:rPr>
              <w:t>独立显卡，显卡内存不低于</w:t>
            </w:r>
            <w:r>
              <w:rPr>
                <w:rFonts w:cs="宋体" w:asciiTheme="minorEastAsia" w:hAnsiTheme="minorEastAsia" w:eastAsiaTheme="minorEastAsia"/>
                <w:kern w:val="0"/>
                <w:szCs w:val="21"/>
              </w:rPr>
              <w:t xml:space="preserve">2G  </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15</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配电柜</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不低于</w:t>
            </w:r>
            <w:r>
              <w:rPr>
                <w:rFonts w:cs="宋体" w:asciiTheme="minorEastAsia" w:hAnsiTheme="minorEastAsia" w:eastAsiaTheme="minorEastAsia"/>
                <w:kern w:val="0"/>
                <w:szCs w:val="21"/>
              </w:rPr>
              <w:t xml:space="preserve">15KW </w:t>
            </w:r>
            <w:r>
              <w:rPr>
                <w:rFonts w:hint="eastAsia" w:cs="宋体" w:asciiTheme="minorEastAsia" w:hAnsiTheme="minorEastAsia" w:eastAsiaTheme="minorEastAsia"/>
                <w:kern w:val="0"/>
                <w:szCs w:val="21"/>
              </w:rPr>
              <w:t>含</w:t>
            </w:r>
            <w:r>
              <w:rPr>
                <w:rFonts w:cs="宋体" w:asciiTheme="minorEastAsia" w:hAnsiTheme="minorEastAsia" w:eastAsiaTheme="minorEastAsia"/>
                <w:kern w:val="0"/>
                <w:szCs w:val="21"/>
              </w:rPr>
              <w:t>PLC控制系统</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16</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钢结构铝型材支架及屏下装饰包边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定制结构，根据实际现场工勘定制</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w:t>
            </w:r>
            <w:r>
              <w:rPr>
                <w:rFonts w:cs="Calibri" w:asciiTheme="minorEastAsia" w:hAnsiTheme="minorEastAsia" w:eastAsiaTheme="minorEastAsia"/>
                <w:kern w:val="0"/>
                <w:szCs w:val="21"/>
              </w:rPr>
              <w:t>²</w:t>
            </w:r>
          </w:p>
        </w:tc>
        <w:tc>
          <w:tcPr>
            <w:tcW w:w="837" w:type="dxa"/>
            <w:shd w:val="clear" w:color="auto" w:fill="auto"/>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17</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备品</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不少于</w:t>
            </w:r>
            <w:r>
              <w:rPr>
                <w:rFonts w:cs="宋体" w:asciiTheme="minorEastAsia" w:hAnsiTheme="minorEastAsia" w:eastAsiaTheme="minorEastAsia"/>
                <w:kern w:val="0"/>
                <w:szCs w:val="21"/>
              </w:rPr>
              <w:t>4个模组、4个电源备品备件</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18</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KVM输入节点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19</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w:t>
            </w:r>
            <w:r>
              <w:rPr>
                <w:rFonts w:cs="宋体" w:asciiTheme="minorEastAsia" w:hAnsiTheme="minorEastAsia" w:eastAsiaTheme="minorEastAsia"/>
                <w:kern w:val="0"/>
                <w:szCs w:val="21"/>
              </w:rPr>
              <w:t>4K KVM输出节点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20</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分布式网络控制节点</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154"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21</w:t>
            </w:r>
          </w:p>
        </w:tc>
        <w:tc>
          <w:tcPr>
            <w:tcW w:w="2130" w:type="dxa"/>
            <w:shd w:val="clear" w:color="auto" w:fill="auto"/>
            <w:noWrap/>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区域中心分布式管理平台</w:t>
            </w:r>
          </w:p>
        </w:tc>
        <w:tc>
          <w:tcPr>
            <w:tcW w:w="4702" w:type="dxa"/>
            <w:shd w:val="clear" w:color="auto" w:fill="auto"/>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详见主要设备参数要求。</w:t>
            </w:r>
          </w:p>
        </w:tc>
        <w:tc>
          <w:tcPr>
            <w:tcW w:w="506" w:type="dxa"/>
            <w:shd w:val="clear" w:color="auto" w:fill="auto"/>
            <w:noWrap/>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837" w:type="dxa"/>
            <w:shd w:val="clear" w:color="auto" w:fill="auto"/>
            <w:noWrap/>
            <w:vAlign w:val="center"/>
          </w:tcPr>
          <w:p>
            <w:pPr>
              <w:widowControl/>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r>
    </w:tbl>
    <w:p>
      <w:pPr>
        <w:pStyle w:val="141"/>
        <w:numPr>
          <w:ilvl w:val="2"/>
          <w:numId w:val="7"/>
        </w:numPr>
        <w:tabs>
          <w:tab w:val="clear" w:pos="851"/>
        </w:tabs>
        <w:outlineLvl w:val="3"/>
        <w:rPr>
          <w:rFonts w:ascii="宋体" w:hAnsi="宋体" w:eastAsia="宋体" w:cs="宋体"/>
          <w:color w:val="auto"/>
          <w:sz w:val="24"/>
          <w:szCs w:val="24"/>
        </w:rPr>
      </w:pPr>
      <w:bookmarkStart w:id="121" w:name="_Toc46241988"/>
      <w:r>
        <w:rPr>
          <w:rFonts w:hint="eastAsia" w:ascii="宋体" w:hAnsi="宋体" w:eastAsia="宋体" w:cs="宋体"/>
          <w:color w:val="auto"/>
          <w:sz w:val="24"/>
          <w:szCs w:val="24"/>
        </w:rPr>
        <w:t>地市监测站网络智能化升级改造清单</w:t>
      </w:r>
      <w:bookmarkEnd w:id="121"/>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1896"/>
        <w:gridCol w:w="4116"/>
        <w:gridCol w:w="638"/>
        <w:gridCol w:w="638"/>
      </w:tblGrid>
      <w:tr>
        <w:tblPrEx>
          <w:tblLayout w:type="fixed"/>
          <w:tblCellMar>
            <w:top w:w="0" w:type="dxa"/>
            <w:left w:w="108" w:type="dxa"/>
            <w:bottom w:w="0" w:type="dxa"/>
            <w:right w:w="108" w:type="dxa"/>
          </w:tblCellMar>
        </w:tblPrEx>
        <w:trPr>
          <w:trHeight w:val="310" w:hRule="atLeast"/>
        </w:trPr>
        <w:tc>
          <w:tcPr>
            <w:tcW w:w="2114" w:type="dxa"/>
            <w:shd w:val="clear" w:color="000000" w:fill="CCFFFF"/>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序号</w:t>
            </w:r>
          </w:p>
        </w:tc>
        <w:tc>
          <w:tcPr>
            <w:tcW w:w="1896" w:type="dxa"/>
            <w:shd w:val="clear" w:color="000000" w:fill="CCFFFF"/>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设备名称</w:t>
            </w:r>
          </w:p>
        </w:tc>
        <w:tc>
          <w:tcPr>
            <w:tcW w:w="4116" w:type="dxa"/>
            <w:shd w:val="clear" w:color="000000" w:fill="CCFFFF"/>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性能和功能要求</w:t>
            </w:r>
          </w:p>
        </w:tc>
        <w:tc>
          <w:tcPr>
            <w:tcW w:w="638" w:type="dxa"/>
            <w:shd w:val="clear" w:color="000000" w:fill="CCFFFF"/>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单位</w:t>
            </w:r>
          </w:p>
        </w:tc>
        <w:tc>
          <w:tcPr>
            <w:tcW w:w="638" w:type="dxa"/>
            <w:shd w:val="clear" w:color="000000" w:fill="CCFFFF"/>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江门站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　</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2114" w:type="dxa"/>
            <w:shd w:val="clear" w:color="000000" w:fill="FFFFFF"/>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000000" w:fill="FFFFFF"/>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000000" w:fill="FFFFFF"/>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000000" w:fill="FFFFFF"/>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000000" w:fill="FFFFFF"/>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2114" w:type="dxa"/>
            <w:shd w:val="clear" w:color="000000" w:fill="FFFFFF"/>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000000" w:fill="FFFFFF"/>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核心交换机</w:t>
            </w:r>
          </w:p>
        </w:tc>
        <w:tc>
          <w:tcPr>
            <w:tcW w:w="4116" w:type="dxa"/>
            <w:shd w:val="clear" w:color="000000" w:fill="FFFFFF"/>
            <w:vAlign w:val="center"/>
          </w:tcPr>
          <w:p>
            <w:pPr>
              <w:widowControl/>
              <w:jc w:val="left"/>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详见主要设备参数要求。</w:t>
            </w:r>
          </w:p>
        </w:tc>
        <w:tc>
          <w:tcPr>
            <w:tcW w:w="638" w:type="dxa"/>
            <w:shd w:val="clear" w:color="000000" w:fill="FFFFFF"/>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000000" w:fill="FFFFFF"/>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xml:space="preserve"> </w:t>
            </w:r>
            <w:r>
              <w:rPr>
                <w:rFonts w:hint="eastAsia" w:cs="宋体" w:asciiTheme="minorEastAsia" w:hAnsiTheme="minorEastAsia" w:eastAsiaTheme="minorEastAsia"/>
                <w:kern w:val="0"/>
                <w:sz w:val="20"/>
                <w:szCs w:val="20"/>
              </w:rPr>
              <w:t>详见主要设备参数要求。</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9</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清远站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　</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东莞站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　</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珠海站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　</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佛山站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详见系统主要设备参数要求。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河源站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梅州站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4010" w:type="dxa"/>
            <w:gridSpan w:val="2"/>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Layout w:type="fixed"/>
          <w:tblCellMar>
            <w:top w:w="0" w:type="dxa"/>
            <w:left w:w="108" w:type="dxa"/>
            <w:bottom w:w="0" w:type="dxa"/>
            <w:right w:w="108" w:type="dxa"/>
          </w:tblCellMar>
        </w:tblPrEx>
        <w:trPr>
          <w:trHeight w:val="28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惠州站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汕尾站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中山站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xml:space="preserve"> </w:t>
            </w: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阳江站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茂名站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肇庆站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详见系统主要设备参数要求。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Layout w:type="fixed"/>
          <w:tblCellMar>
            <w:top w:w="0" w:type="dxa"/>
            <w:left w:w="108" w:type="dxa"/>
            <w:bottom w:w="0" w:type="dxa"/>
            <w:right w:w="108" w:type="dxa"/>
          </w:tblCellMar>
        </w:tblPrEx>
        <w:trPr>
          <w:trHeight w:val="70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潮州站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4010" w:type="dxa"/>
            <w:gridSpan w:val="2"/>
            <w:shd w:val="clear" w:color="auto" w:fill="auto"/>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xml:space="preserve"> </w:t>
            </w: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揭阳站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4010" w:type="dxa"/>
            <w:gridSpan w:val="2"/>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xml:space="preserve"> </w:t>
            </w:r>
            <w:r>
              <w:rPr>
                <w:rFonts w:hint="eastAsia" w:cs="宋体" w:asciiTheme="minorEastAsia" w:hAnsiTheme="minorEastAsia" w:eastAsiaTheme="minorEastAsia"/>
                <w:kern w:val="0"/>
                <w:sz w:val="20"/>
                <w:szCs w:val="20"/>
              </w:rPr>
              <w:t>详见主要设备参数要求。</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小计</w:t>
            </w:r>
          </w:p>
        </w:tc>
        <w:tc>
          <w:tcPr>
            <w:tcW w:w="1896"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shd w:val="clear" w:color="000000" w:fill="FCE4D6"/>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shd w:val="clear" w:color="000000" w:fill="FCE4D6"/>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云浮站</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2114"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监控指挥中心</w:t>
            </w:r>
          </w:p>
        </w:tc>
        <w:tc>
          <w:tcPr>
            <w:tcW w:w="1896" w:type="dxa"/>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4116" w:type="dxa"/>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c>
          <w:tcPr>
            <w:tcW w:w="638" w:type="dxa"/>
            <w:noWrap/>
            <w:vAlign w:val="center"/>
          </w:tcPr>
          <w:p>
            <w:pPr>
              <w:widowControl/>
              <w:jc w:val="center"/>
              <w:rPr>
                <w:rFonts w:cs="宋体" w:asciiTheme="minorEastAsia" w:hAnsiTheme="minorEastAsia" w:eastAsiaTheme="minorEastAsia"/>
                <w:b/>
                <w:bCs/>
                <w:kern w:val="0"/>
              </w:rPr>
            </w:pPr>
            <w:r>
              <w:rPr>
                <w:rFonts w:hint="eastAsia" w:cs="宋体" w:asciiTheme="minorEastAsia" w:hAnsiTheme="minorEastAsia" w:eastAsiaTheme="minorEastAsia"/>
                <w:b/>
                <w:bCs/>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防火墙</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2</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安全一体机网关</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台</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3</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24口接入交换机</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4</w:t>
            </w:r>
          </w:p>
        </w:tc>
        <w:tc>
          <w:tcPr>
            <w:tcW w:w="189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路由器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5</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网络接入调整服务</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根据《广东省生态环境监测站点业务保障体系总体设计》要求，规划网络设备IP地址，软硬件设备的安装调试、线材拉设部署及技术服务（含辅料），响应广东省环境监测垂改内容。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项</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4010" w:type="dxa"/>
            <w:gridSpan w:val="2"/>
            <w:noWrap/>
            <w:vAlign w:val="center"/>
          </w:tcPr>
          <w:p>
            <w:pPr>
              <w:widowControl/>
              <w:jc w:val="left"/>
              <w:rPr>
                <w:rFonts w:cs="宋体" w:asciiTheme="minorEastAsia" w:hAnsiTheme="minorEastAsia" w:eastAsiaTheme="minorEastAsia"/>
                <w:b/>
                <w:bCs/>
                <w:kern w:val="0"/>
              </w:rPr>
            </w:pPr>
            <w:r>
              <w:rPr>
                <w:rFonts w:hint="eastAsia" w:cs="宋体" w:asciiTheme="minorEastAsia" w:hAnsiTheme="minorEastAsia" w:eastAsiaTheme="minorEastAsia"/>
                <w:b/>
                <w:bCs/>
                <w:kern w:val="0"/>
              </w:rPr>
              <w:t>可视化交互协同管理</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114"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6</w:t>
            </w:r>
          </w:p>
        </w:tc>
        <w:tc>
          <w:tcPr>
            <w:tcW w:w="1896" w:type="dxa"/>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交互式指挥大屏</w:t>
            </w:r>
          </w:p>
        </w:tc>
        <w:tc>
          <w:tcPr>
            <w:tcW w:w="4116" w:type="dxa"/>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 xml:space="preserve"> </w:t>
            </w:r>
            <w:r>
              <w:rPr>
                <w:rFonts w:hint="eastAsia" w:cs="宋体" w:asciiTheme="minorEastAsia" w:hAnsiTheme="minorEastAsia" w:eastAsiaTheme="minorEastAsia"/>
                <w:kern w:val="0"/>
                <w:sz w:val="20"/>
                <w:szCs w:val="20"/>
              </w:rPr>
              <w:t>详见主要设备参数要求。</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收发器</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最高分辨率可达4Kx2k/60Hz，符合HDCP2.2标准，支持远程单向供电（PoE）功能，高带宽：不低于10Gbps</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对</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114"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896" w:type="dxa"/>
            <w:shd w:val="clear" w:color="auto" w:fill="auto"/>
            <w:noWrap/>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rPr>
              <w:t>指挥终端</w:t>
            </w:r>
          </w:p>
        </w:tc>
        <w:tc>
          <w:tcPr>
            <w:tcW w:w="4116" w:type="dxa"/>
            <w:shd w:val="clear" w:color="auto" w:fill="auto"/>
            <w:vAlign w:val="center"/>
          </w:tcPr>
          <w:p>
            <w:pPr>
              <w:widowControl/>
              <w:jc w:val="left"/>
              <w:rPr>
                <w:rFonts w:cs="宋体" w:asciiTheme="minorEastAsia" w:hAnsiTheme="minorEastAsia" w:eastAsiaTheme="minorEastAsia"/>
                <w:kern w:val="0"/>
              </w:rPr>
            </w:pPr>
            <w:r>
              <w:rPr>
                <w:rFonts w:hint="eastAsia" w:cs="宋体" w:asciiTheme="minorEastAsia" w:hAnsiTheme="minorEastAsia" w:eastAsiaTheme="minorEastAsia"/>
                <w:kern w:val="0"/>
                <w:sz w:val="20"/>
                <w:szCs w:val="20"/>
              </w:rPr>
              <w:t>详见主要设备参数要求。</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套</w:t>
            </w:r>
          </w:p>
        </w:tc>
        <w:tc>
          <w:tcPr>
            <w:tcW w:w="638" w:type="dxa"/>
            <w:shd w:val="clear" w:color="auto" w:fill="auto"/>
            <w:noWrap/>
            <w:vAlign w:val="center"/>
          </w:tcPr>
          <w:p>
            <w:pPr>
              <w:widowControl/>
              <w:jc w:val="center"/>
              <w:rPr>
                <w:rFonts w:cs="宋体" w:asciiTheme="minorEastAsia" w:hAnsiTheme="minorEastAsia" w:eastAsiaTheme="minorEastAsia"/>
                <w:kern w:val="0"/>
              </w:rPr>
            </w:pPr>
            <w:r>
              <w:rPr>
                <w:rFonts w:hint="eastAsia" w:cs="宋体" w:asciiTheme="minorEastAsia" w:hAnsiTheme="minorEastAsia" w:eastAsiaTheme="minorEastAsia"/>
                <w:kern w:val="0"/>
              </w:rPr>
              <w:t>1</w:t>
            </w:r>
          </w:p>
        </w:tc>
      </w:tr>
    </w:tbl>
    <w:p>
      <w:pPr>
        <w:pStyle w:val="141"/>
        <w:numPr>
          <w:ilvl w:val="2"/>
          <w:numId w:val="7"/>
        </w:numPr>
        <w:tabs>
          <w:tab w:val="clear" w:pos="851"/>
        </w:tabs>
        <w:outlineLvl w:val="3"/>
        <w:rPr>
          <w:rFonts w:ascii="宋体" w:hAnsi="宋体" w:eastAsia="宋体" w:cs="宋体"/>
          <w:color w:val="auto"/>
          <w:sz w:val="24"/>
          <w:szCs w:val="24"/>
        </w:rPr>
      </w:pPr>
      <w:bookmarkStart w:id="122" w:name="_Toc46241989"/>
      <w:bookmarkStart w:id="123" w:name="_Toc528593594"/>
      <w:r>
        <w:rPr>
          <w:rFonts w:hint="eastAsia" w:ascii="宋体" w:hAnsi="宋体" w:eastAsia="宋体" w:cs="宋体"/>
          <w:color w:val="auto"/>
          <w:sz w:val="24"/>
          <w:szCs w:val="24"/>
        </w:rPr>
        <w:t>主要设备参数要求</w:t>
      </w:r>
      <w:bookmarkEnd w:id="122"/>
    </w:p>
    <w:p>
      <w:pPr>
        <w:pStyle w:val="141"/>
        <w:numPr>
          <w:ilvl w:val="3"/>
          <w:numId w:val="7"/>
        </w:numPr>
        <w:tabs>
          <w:tab w:val="clear" w:pos="851"/>
        </w:tabs>
        <w:outlineLvl w:val="4"/>
        <w:rPr>
          <w:rFonts w:ascii="宋体" w:hAnsi="宋体" w:eastAsia="宋体" w:cs="宋体"/>
          <w:color w:val="auto"/>
          <w:sz w:val="24"/>
          <w:szCs w:val="24"/>
        </w:rPr>
      </w:pPr>
      <w:bookmarkStart w:id="124" w:name="_Toc46241990"/>
      <w:r>
        <w:rPr>
          <w:rFonts w:hint="eastAsia" w:ascii="宋体" w:hAnsi="宋体" w:eastAsia="宋体" w:cs="宋体"/>
          <w:color w:val="auto"/>
          <w:sz w:val="24"/>
          <w:szCs w:val="24"/>
        </w:rPr>
        <w:t>业务管理系统</w:t>
      </w:r>
      <w:bookmarkEnd w:id="124"/>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50" w:type="dxa"/>
            <w:vMerge w:val="restart"/>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总体要求</w:t>
            </w: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须与视频联接平台（MCU）同一品牌，采用</w:t>
            </w:r>
            <w:r>
              <w:rPr>
                <w:rFonts w:ascii="宋体" w:hAnsi="宋体" w:cs="Arial"/>
                <w:kern w:val="0"/>
                <w:sz w:val="20"/>
                <w:szCs w:val="20"/>
              </w:rPr>
              <w:t>B/S</w:t>
            </w:r>
            <w:r>
              <w:rPr>
                <w:rFonts w:hint="eastAsia" w:ascii="宋体" w:hAnsi="宋体" w:cs="Arial"/>
                <w:kern w:val="0"/>
                <w:sz w:val="20"/>
                <w:szCs w:val="20"/>
              </w:rPr>
              <w:t>构架、独立硬件部署，非</w:t>
            </w:r>
            <w:r>
              <w:rPr>
                <w:rFonts w:ascii="宋体" w:hAnsi="宋体" w:cs="Arial"/>
                <w:kern w:val="0"/>
                <w:sz w:val="20"/>
                <w:szCs w:val="20"/>
              </w:rPr>
              <w:t>MCU</w:t>
            </w:r>
            <w:r>
              <w:rPr>
                <w:rFonts w:hint="eastAsia" w:ascii="宋体" w:hAnsi="宋体" w:cs="Arial"/>
                <w:kern w:val="0"/>
                <w:sz w:val="20"/>
                <w:szCs w:val="20"/>
              </w:rPr>
              <w:t>内置模块，支持设备管理、会议管理、会议控制等功能。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continue"/>
            <w:vAlign w:val="center"/>
          </w:tcPr>
          <w:p>
            <w:pPr>
              <w:widowControl/>
              <w:jc w:val="left"/>
              <w:rPr>
                <w:rFonts w:ascii="宋体" w:hAnsi="宋体" w:cs="Arial"/>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支持群集备份功能，当集群中的会管平台出现异常时，会管业务可自动切换到备份服务器上。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50" w:type="dxa"/>
            <w:vMerge w:val="continue"/>
            <w:vAlign w:val="center"/>
          </w:tcPr>
          <w:p>
            <w:pPr>
              <w:widowControl/>
              <w:jc w:val="left"/>
              <w:rPr>
                <w:rFonts w:ascii="宋体" w:hAnsi="宋体" w:cs="Arial"/>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5000</w:t>
            </w:r>
            <w:r>
              <w:rPr>
                <w:rFonts w:hint="eastAsia" w:ascii="宋体" w:hAnsi="宋体" w:cs="Arial"/>
                <w:kern w:val="0"/>
                <w:sz w:val="20"/>
                <w:szCs w:val="20"/>
              </w:rPr>
              <w:t>台设备管理能力；本次配置不少于</w:t>
            </w:r>
            <w:r>
              <w:rPr>
                <w:rFonts w:ascii="宋体" w:hAnsi="宋体" w:cs="Arial"/>
                <w:kern w:val="0"/>
                <w:sz w:val="20"/>
                <w:szCs w:val="20"/>
              </w:rPr>
              <w:t>100</w:t>
            </w:r>
            <w:r>
              <w:rPr>
                <w:rFonts w:hint="eastAsia" w:ascii="宋体" w:hAnsi="宋体" w:cs="Arial"/>
                <w:kern w:val="0"/>
                <w:sz w:val="20"/>
                <w:szCs w:val="20"/>
              </w:rPr>
              <w:t>台设备管理能力。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50" w:type="dxa"/>
            <w:vMerge w:val="continue"/>
            <w:vAlign w:val="center"/>
          </w:tcPr>
          <w:p>
            <w:pPr>
              <w:widowControl/>
              <w:jc w:val="left"/>
              <w:rPr>
                <w:rFonts w:ascii="宋体" w:hAnsi="宋体" w:cs="Arial"/>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支持会场备份功能，会议中主用终端故障时，自动切换到备用终端，不会额外占用</w:t>
            </w:r>
            <w:r>
              <w:rPr>
                <w:rFonts w:ascii="宋体" w:hAnsi="宋体" w:cs="Arial"/>
                <w:kern w:val="0"/>
                <w:sz w:val="20"/>
                <w:szCs w:val="20"/>
              </w:rPr>
              <w:t>MCU</w:t>
            </w:r>
            <w:r>
              <w:rPr>
                <w:rFonts w:hint="eastAsia" w:ascii="宋体" w:hAnsi="宋体" w:cs="Arial"/>
                <w:kern w:val="0"/>
                <w:sz w:val="20"/>
                <w:szCs w:val="20"/>
              </w:rPr>
              <w:t>端口资源。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1450" w:type="dxa"/>
            <w:vMerge w:val="restart"/>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呼叫控制要求</w:t>
            </w: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H.323 Gatekeeper</w:t>
            </w:r>
            <w:r>
              <w:rPr>
                <w:rFonts w:hint="eastAsia" w:ascii="宋体" w:hAnsi="宋体" w:cs="Arial"/>
                <w:kern w:val="0"/>
                <w:sz w:val="20"/>
                <w:szCs w:val="20"/>
              </w:rPr>
              <w:t>、</w:t>
            </w:r>
            <w:r>
              <w:rPr>
                <w:rFonts w:ascii="宋体" w:hAnsi="宋体" w:cs="Arial"/>
                <w:kern w:val="0"/>
                <w:sz w:val="20"/>
                <w:szCs w:val="20"/>
              </w:rPr>
              <w:t>Sip Server</w:t>
            </w:r>
            <w:r>
              <w:rPr>
                <w:rFonts w:hint="eastAsia" w:ascii="宋体" w:hAnsi="宋体" w:cs="Arial"/>
                <w:kern w:val="0"/>
                <w:sz w:val="20"/>
                <w:szCs w:val="20"/>
              </w:rPr>
              <w:t>、</w:t>
            </w:r>
            <w:r>
              <w:rPr>
                <w:rFonts w:ascii="宋体" w:hAnsi="宋体" w:cs="Arial"/>
                <w:kern w:val="0"/>
                <w:sz w:val="20"/>
                <w:szCs w:val="20"/>
              </w:rPr>
              <w:t>SIP Proxy</w:t>
            </w:r>
            <w:r>
              <w:rPr>
                <w:rFonts w:hint="eastAsia" w:ascii="宋体" w:hAnsi="宋体" w:cs="Arial"/>
                <w:kern w:val="0"/>
                <w:sz w:val="20"/>
                <w:szCs w:val="20"/>
              </w:rPr>
              <w:t>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支持且配置</w:t>
            </w:r>
            <w:r>
              <w:rPr>
                <w:rFonts w:ascii="Times New Roman" w:hAnsi="Times New Roman"/>
                <w:kern w:val="0"/>
                <w:sz w:val="20"/>
                <w:szCs w:val="20"/>
              </w:rPr>
              <w:t>H.323/ SIP</w:t>
            </w:r>
            <w:r>
              <w:rPr>
                <w:rFonts w:hint="eastAsia" w:ascii="宋体" w:hAnsi="宋体" w:cs="Arial"/>
                <w:kern w:val="0"/>
                <w:sz w:val="20"/>
                <w:szCs w:val="20"/>
              </w:rPr>
              <w:t>注册服务器双机热备部署，满足业务无缝备份切换，</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1000</w:t>
            </w:r>
            <w:r>
              <w:rPr>
                <w:rFonts w:hint="eastAsia" w:ascii="宋体" w:hAnsi="宋体" w:cs="Arial"/>
                <w:kern w:val="0"/>
                <w:sz w:val="20"/>
                <w:szCs w:val="20"/>
              </w:rPr>
              <w:t>路设备注册和并发呼叫；本次配置不少于</w:t>
            </w:r>
            <w:r>
              <w:rPr>
                <w:rFonts w:ascii="Times New Roman" w:hAnsi="Times New Roman"/>
                <w:kern w:val="0"/>
                <w:sz w:val="20"/>
                <w:szCs w:val="20"/>
              </w:rPr>
              <w:t>100</w:t>
            </w:r>
            <w:r>
              <w:rPr>
                <w:rFonts w:hint="eastAsia" w:ascii="宋体" w:hAnsi="宋体" w:cs="Arial"/>
                <w:kern w:val="0"/>
                <w:sz w:val="20"/>
                <w:szCs w:val="20"/>
              </w:rPr>
              <w:t>路设备注册和并发呼叫和50路软终端注册和并发呼叫。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支持呼叫路由控制、号码变换，支持通过前缀匹配、后缀匹配、精确匹配等查找规则识别呼叫区域。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H.460</w:t>
            </w:r>
            <w:r>
              <w:rPr>
                <w:rFonts w:hint="eastAsia" w:ascii="宋体" w:hAnsi="宋体" w:cs="Arial"/>
                <w:kern w:val="0"/>
                <w:sz w:val="20"/>
                <w:szCs w:val="20"/>
              </w:rPr>
              <w:t>、</w:t>
            </w:r>
            <w:r>
              <w:rPr>
                <w:rFonts w:ascii="Times New Roman" w:hAnsi="Times New Roman"/>
                <w:kern w:val="0"/>
                <w:sz w:val="20"/>
                <w:szCs w:val="20"/>
              </w:rPr>
              <w:t>ICE</w:t>
            </w:r>
            <w:r>
              <w:rPr>
                <w:rFonts w:hint="eastAsia" w:ascii="宋体" w:hAnsi="宋体" w:cs="Arial"/>
                <w:kern w:val="0"/>
                <w:sz w:val="20"/>
                <w:szCs w:val="20"/>
              </w:rPr>
              <w:t>、</w:t>
            </w:r>
            <w:r>
              <w:rPr>
                <w:rFonts w:ascii="Times New Roman" w:hAnsi="Times New Roman"/>
                <w:kern w:val="0"/>
                <w:sz w:val="20"/>
                <w:szCs w:val="20"/>
              </w:rPr>
              <w:t>STUN</w:t>
            </w:r>
            <w:r>
              <w:rPr>
                <w:rFonts w:hint="eastAsia" w:ascii="宋体" w:hAnsi="宋体" w:cs="Arial"/>
                <w:kern w:val="0"/>
                <w:sz w:val="20"/>
                <w:szCs w:val="20"/>
              </w:rPr>
              <w:t>、</w:t>
            </w:r>
            <w:r>
              <w:rPr>
                <w:rFonts w:ascii="Times New Roman" w:hAnsi="Times New Roman"/>
                <w:kern w:val="0"/>
                <w:sz w:val="20"/>
                <w:szCs w:val="20"/>
              </w:rPr>
              <w:t>TURN</w:t>
            </w:r>
            <w:r>
              <w:rPr>
                <w:rFonts w:hint="eastAsia" w:ascii="宋体" w:hAnsi="宋体" w:cs="Arial"/>
                <w:kern w:val="0"/>
                <w:sz w:val="20"/>
                <w:szCs w:val="20"/>
              </w:rPr>
              <w:t>等标准的</w:t>
            </w:r>
            <w:r>
              <w:rPr>
                <w:rFonts w:ascii="Times New Roman" w:hAnsi="Times New Roman"/>
                <w:kern w:val="0"/>
                <w:sz w:val="20"/>
                <w:szCs w:val="20"/>
              </w:rPr>
              <w:t>H.323/SIP</w:t>
            </w:r>
            <w:r>
              <w:rPr>
                <w:rFonts w:hint="eastAsia" w:ascii="宋体" w:hAnsi="宋体" w:cs="Arial"/>
                <w:kern w:val="0"/>
                <w:sz w:val="20"/>
                <w:szCs w:val="20"/>
              </w:rPr>
              <w:t>穿越协议，</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450"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资源池功能要求</w:t>
            </w:r>
          </w:p>
        </w:tc>
        <w:tc>
          <w:tcPr>
            <w:tcW w:w="7952" w:type="dxa"/>
            <w:shd w:val="clear" w:color="auto" w:fill="auto"/>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▲支持</w:t>
            </w:r>
            <w:r>
              <w:rPr>
                <w:rFonts w:ascii="Times New Roman" w:hAnsi="Times New Roman"/>
                <w:kern w:val="0"/>
                <w:sz w:val="20"/>
                <w:szCs w:val="20"/>
              </w:rPr>
              <w:t>MCU</w:t>
            </w:r>
            <w:r>
              <w:rPr>
                <w:rFonts w:hint="eastAsia" w:ascii="宋体" w:hAnsi="宋体" w:cs="Arial"/>
                <w:kern w:val="0"/>
                <w:sz w:val="20"/>
                <w:szCs w:val="20"/>
              </w:rPr>
              <w:t>资源池备份功能，当某台</w:t>
            </w:r>
            <w:r>
              <w:rPr>
                <w:rFonts w:ascii="Times New Roman" w:hAnsi="Times New Roman"/>
                <w:kern w:val="0"/>
                <w:sz w:val="20"/>
                <w:szCs w:val="20"/>
              </w:rPr>
              <w:t>MCU</w:t>
            </w:r>
            <w:r>
              <w:rPr>
                <w:rFonts w:hint="eastAsia" w:ascii="宋体" w:hAnsi="宋体" w:cs="Arial"/>
                <w:kern w:val="0"/>
                <w:sz w:val="20"/>
                <w:szCs w:val="20"/>
              </w:rPr>
              <w:t>发生故障时，管理平台自动将会议调度在其他</w:t>
            </w:r>
            <w:r>
              <w:rPr>
                <w:rFonts w:ascii="Times New Roman" w:hAnsi="Times New Roman"/>
                <w:kern w:val="0"/>
                <w:sz w:val="20"/>
                <w:szCs w:val="20"/>
              </w:rPr>
              <w:t>MCU</w:t>
            </w:r>
            <w:r>
              <w:rPr>
                <w:rFonts w:hint="eastAsia" w:ascii="宋体" w:hAnsi="宋体" w:cs="Arial"/>
                <w:kern w:val="0"/>
                <w:sz w:val="20"/>
                <w:szCs w:val="20"/>
              </w:rPr>
              <w:t>，无需断会及手动更改配置，业务恢复时间小于</w:t>
            </w:r>
            <w:r>
              <w:rPr>
                <w:rFonts w:ascii="Times New Roman" w:hAnsi="Times New Roman"/>
                <w:kern w:val="0"/>
                <w:sz w:val="20"/>
                <w:szCs w:val="20"/>
              </w:rPr>
              <w:t>10S</w:t>
            </w:r>
            <w:r>
              <w:rPr>
                <w:rFonts w:hint="eastAsia" w:ascii="宋体" w:hAnsi="宋体" w:cs="Arial"/>
                <w:kern w:val="0"/>
                <w:sz w:val="20"/>
                <w:szCs w:val="20"/>
              </w:rPr>
              <w:t>，</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MCU</w:t>
            </w:r>
            <w:r>
              <w:rPr>
                <w:rFonts w:hint="eastAsia" w:ascii="宋体" w:hAnsi="宋体" w:cs="Arial"/>
                <w:kern w:val="0"/>
                <w:sz w:val="20"/>
                <w:szCs w:val="20"/>
              </w:rPr>
              <w:t>资源池负载均衡功能，当会议接入终端超出单个</w:t>
            </w:r>
            <w:r>
              <w:rPr>
                <w:rFonts w:ascii="Times New Roman" w:hAnsi="Times New Roman"/>
                <w:kern w:val="0"/>
                <w:sz w:val="20"/>
                <w:szCs w:val="20"/>
              </w:rPr>
              <w:t>MCU</w:t>
            </w:r>
            <w:r>
              <w:rPr>
                <w:rFonts w:hint="eastAsia" w:ascii="宋体" w:hAnsi="宋体" w:cs="Arial"/>
                <w:kern w:val="0"/>
                <w:sz w:val="20"/>
                <w:szCs w:val="20"/>
              </w:rPr>
              <w:t>容量时，系统自动将会议分布到多台</w:t>
            </w:r>
            <w:r>
              <w:rPr>
                <w:rFonts w:ascii="Times New Roman" w:hAnsi="Times New Roman"/>
                <w:kern w:val="0"/>
                <w:sz w:val="20"/>
                <w:szCs w:val="20"/>
              </w:rPr>
              <w:t>MCU</w:t>
            </w:r>
            <w:r>
              <w:rPr>
                <w:rFonts w:hint="eastAsia" w:ascii="宋体" w:hAnsi="宋体" w:cs="Arial"/>
                <w:kern w:val="0"/>
                <w:sz w:val="20"/>
                <w:szCs w:val="20"/>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restart"/>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会议控制要求</w:t>
            </w: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支持会议模板预置多画面、字幕、横幅、广播、主席轮询等参数。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continue"/>
            <w:vAlign w:val="center"/>
          </w:tcPr>
          <w:p>
            <w:pPr>
              <w:widowControl/>
              <w:jc w:val="left"/>
              <w:rPr>
                <w:rFonts w:ascii="宋体" w:hAnsi="宋体" w:cs="Arial"/>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支持会议锁定功能，管理员锁定会议后不允许其他终端加入会议，保障会议私密性。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450" w:type="dxa"/>
            <w:vMerge w:val="continue"/>
            <w:vAlign w:val="center"/>
          </w:tcPr>
          <w:p>
            <w:pPr>
              <w:widowControl/>
              <w:jc w:val="left"/>
              <w:rPr>
                <w:rFonts w:ascii="宋体" w:hAnsi="宋体" w:cs="Arial"/>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支持设置主席、一键静闭音、广播</w:t>
            </w:r>
            <w:r>
              <w:rPr>
                <w:rFonts w:ascii="宋体" w:hAnsi="宋体" w:cs="Arial"/>
                <w:kern w:val="0"/>
                <w:sz w:val="20"/>
                <w:szCs w:val="20"/>
              </w:rPr>
              <w:t>/</w:t>
            </w:r>
            <w:r>
              <w:rPr>
                <w:rFonts w:hint="eastAsia" w:ascii="宋体" w:hAnsi="宋体" w:cs="Arial"/>
                <w:kern w:val="0"/>
                <w:sz w:val="20"/>
                <w:szCs w:val="20"/>
              </w:rPr>
              <w:t>选看会场、设置多画面、多画面轮询、摄像机</w:t>
            </w:r>
            <w:r>
              <w:rPr>
                <w:rFonts w:ascii="宋体" w:hAnsi="宋体" w:cs="Arial"/>
                <w:kern w:val="0"/>
                <w:sz w:val="20"/>
                <w:szCs w:val="20"/>
              </w:rPr>
              <w:t>PTZ</w:t>
            </w:r>
            <w:r>
              <w:rPr>
                <w:rFonts w:hint="eastAsia" w:ascii="宋体" w:hAnsi="宋体" w:cs="Arial"/>
                <w:kern w:val="0"/>
                <w:sz w:val="20"/>
                <w:szCs w:val="20"/>
              </w:rPr>
              <w:t>控制、锁定会议演示、指定会场发送辅流、声控切换、点名等功能，须提供</w:t>
            </w:r>
            <w:r>
              <w:rPr>
                <w:rFonts w:ascii="宋体" w:hAnsi="宋体" w:cs="Arial"/>
                <w:kern w:val="0"/>
                <w:sz w:val="20"/>
                <w:szCs w:val="20"/>
              </w:rPr>
              <w:t>CNAS</w:t>
            </w:r>
            <w:r>
              <w:rPr>
                <w:rFonts w:hint="eastAsia" w:ascii="宋体" w:hAnsi="宋体" w:cs="Arial"/>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支持在会管平台上显示会场终端的本地麦克风开关状态。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支持会议合并、会议拆分功能。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支持将会场强行从一个会议移动至另一个会议中，移动过程中会场呼叫不会中断。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管理维护要求</w:t>
            </w: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支持在系统管理界面上，以图表等直观方式实时显示设备、会议、系统、资源利用率等监控状态。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▲支持以网络趋势图方式，实时显示会场视音频及辅流的网络丢包、抖动、延时等状态信息，当超出告警阈值时，系统可自动上报告警，</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支持网络拓扑管理，可根据设备的物理位置在图层上进行标示，实时显示设备忙闲状态、告警、参数配置等信息。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支持网络地址本功能，实现地址本条目查询、下载、自动更新等功能，支持</w:t>
            </w:r>
            <w:r>
              <w:rPr>
                <w:rFonts w:ascii="Times New Roman" w:hAnsi="Times New Roman"/>
                <w:kern w:val="0"/>
                <w:sz w:val="20"/>
                <w:szCs w:val="20"/>
              </w:rPr>
              <w:t>LDAP</w:t>
            </w:r>
            <w:r>
              <w:rPr>
                <w:rFonts w:hint="eastAsia" w:ascii="宋体" w:hAnsi="宋体" w:cs="Arial"/>
                <w:kern w:val="0"/>
                <w:sz w:val="20"/>
                <w:szCs w:val="20"/>
              </w:rPr>
              <w:t>访问认证及加密。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MCU</w:t>
            </w:r>
            <w:r>
              <w:rPr>
                <w:rFonts w:hint="eastAsia" w:ascii="宋体" w:hAnsi="宋体" w:cs="Arial"/>
                <w:kern w:val="0"/>
                <w:sz w:val="20"/>
                <w:szCs w:val="20"/>
              </w:rPr>
              <w:t>及终端设备状态查看、自动发现、参数批量配置和修改、配置锁定和恢复、故障告警等功能。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支持设备软件版本批量升级功能，升级时间可自定义，无须通过其他工具对设备逐一升级操作。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支持对用户账号所属的用户类型和组织，进行分级分权管理。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left"/>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ascii="宋体" w:hAnsi="宋体" w:cs="Arial"/>
                <w:kern w:val="0"/>
                <w:sz w:val="20"/>
                <w:szCs w:val="20"/>
              </w:rPr>
              <w:t>提供</w:t>
            </w:r>
            <w:r>
              <w:rPr>
                <w:rFonts w:ascii="Times New Roman" w:hAnsi="Times New Roman"/>
                <w:kern w:val="0"/>
                <w:sz w:val="20"/>
                <w:szCs w:val="20"/>
              </w:rPr>
              <w:t>API</w:t>
            </w:r>
            <w:r>
              <w:rPr>
                <w:rFonts w:hint="eastAsia" w:ascii="宋体" w:hAnsi="宋体" w:cs="Arial"/>
                <w:kern w:val="0"/>
                <w:sz w:val="20"/>
                <w:szCs w:val="20"/>
              </w:rPr>
              <w:t>二次开发接口</w:t>
            </w:r>
            <w:r>
              <w:rPr>
                <w:rFonts w:ascii="Times New Roman" w:hAnsi="Times New Roman"/>
                <w:kern w:val="0"/>
                <w:sz w:val="20"/>
                <w:szCs w:val="20"/>
              </w:rPr>
              <w:t>,</w:t>
            </w:r>
            <w:r>
              <w:rPr>
                <w:rFonts w:hint="eastAsia" w:ascii="宋体" w:hAnsi="宋体" w:cs="Arial"/>
                <w:kern w:val="0"/>
                <w:sz w:val="20"/>
                <w:szCs w:val="20"/>
              </w:rPr>
              <w:t>实现与第三方系统集成。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承载硬件要求</w:t>
            </w:r>
          </w:p>
        </w:tc>
        <w:tc>
          <w:tcPr>
            <w:tcW w:w="7952" w:type="dxa"/>
            <w:shd w:val="clear" w:color="auto" w:fill="auto"/>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配置≥</w:t>
            </w:r>
            <w:r>
              <w:rPr>
                <w:rFonts w:ascii="Times New Roman" w:hAnsi="Times New Roman"/>
                <w:kern w:val="0"/>
                <w:sz w:val="20"/>
                <w:szCs w:val="20"/>
              </w:rPr>
              <w:t>2</w:t>
            </w:r>
            <w:r>
              <w:rPr>
                <w:rFonts w:hint="eastAsia" w:ascii="宋体" w:hAnsi="宋体" w:cs="Arial"/>
                <w:kern w:val="0"/>
                <w:sz w:val="20"/>
                <w:szCs w:val="20"/>
              </w:rPr>
              <w:t>个</w:t>
            </w:r>
            <w:r>
              <w:rPr>
                <w:rFonts w:ascii="Times New Roman" w:hAnsi="Times New Roman"/>
                <w:kern w:val="0"/>
                <w:sz w:val="20"/>
                <w:szCs w:val="20"/>
              </w:rPr>
              <w:t>6</w:t>
            </w:r>
            <w:r>
              <w:rPr>
                <w:rFonts w:hint="eastAsia" w:ascii="宋体" w:hAnsi="宋体" w:cs="Arial"/>
                <w:kern w:val="0"/>
                <w:sz w:val="20"/>
                <w:szCs w:val="20"/>
              </w:rPr>
              <w:t>核</w:t>
            </w:r>
            <w:r>
              <w:rPr>
                <w:rFonts w:ascii="Times New Roman" w:hAnsi="Times New Roman"/>
                <w:kern w:val="0"/>
                <w:sz w:val="20"/>
                <w:szCs w:val="20"/>
              </w:rPr>
              <w:t xml:space="preserve">Xeon </w:t>
            </w:r>
            <w:r>
              <w:rPr>
                <w:rFonts w:hint="eastAsia" w:ascii="宋体" w:hAnsi="宋体" w:cs="Arial"/>
                <w:kern w:val="0"/>
                <w:sz w:val="20"/>
                <w:szCs w:val="20"/>
              </w:rPr>
              <w:t>处理器，单核主频≥</w:t>
            </w:r>
            <w:r>
              <w:rPr>
                <w:rFonts w:ascii="Times New Roman" w:hAnsi="Times New Roman"/>
                <w:kern w:val="0"/>
                <w:sz w:val="20"/>
                <w:szCs w:val="20"/>
              </w:rPr>
              <w:t>1.6GHz</w:t>
            </w:r>
            <w:r>
              <w:rPr>
                <w:rFonts w:hint="eastAsia" w:ascii="宋体" w:hAnsi="宋体" w:cs="Arial"/>
                <w:kern w:val="0"/>
                <w:sz w:val="20"/>
                <w:szCs w:val="20"/>
              </w:rPr>
              <w:t>，内存≥</w:t>
            </w:r>
            <w:r>
              <w:rPr>
                <w:rFonts w:ascii="Times New Roman" w:hAnsi="Times New Roman"/>
                <w:kern w:val="0"/>
                <w:sz w:val="20"/>
                <w:szCs w:val="20"/>
              </w:rPr>
              <w:t>2</w:t>
            </w:r>
            <w:r>
              <w:rPr>
                <w:rFonts w:hint="eastAsia" w:ascii="宋体" w:hAnsi="宋体" w:cs="Arial"/>
                <w:kern w:val="0"/>
                <w:sz w:val="20"/>
                <w:szCs w:val="20"/>
              </w:rPr>
              <w:t>×</w:t>
            </w:r>
            <w:r>
              <w:rPr>
                <w:rFonts w:ascii="Times New Roman" w:hAnsi="Times New Roman"/>
                <w:kern w:val="0"/>
                <w:sz w:val="20"/>
                <w:szCs w:val="20"/>
              </w:rPr>
              <w:t>16GB</w:t>
            </w:r>
            <w:r>
              <w:rPr>
                <w:rFonts w:hint="eastAsia" w:ascii="宋体" w:hAnsi="宋体" w:cs="Arial"/>
                <w:kern w:val="0"/>
                <w:sz w:val="20"/>
                <w:szCs w:val="20"/>
              </w:rPr>
              <w:t>，硬盘≥</w:t>
            </w:r>
            <w:r>
              <w:rPr>
                <w:rFonts w:ascii="Times New Roman" w:hAnsi="Times New Roman"/>
                <w:kern w:val="0"/>
                <w:sz w:val="20"/>
                <w:szCs w:val="20"/>
              </w:rPr>
              <w:t>2</w:t>
            </w:r>
            <w:r>
              <w:rPr>
                <w:rFonts w:hint="eastAsia" w:ascii="宋体" w:hAnsi="宋体" w:cs="Arial"/>
                <w:kern w:val="0"/>
                <w:sz w:val="20"/>
                <w:szCs w:val="20"/>
              </w:rPr>
              <w:t>×</w:t>
            </w:r>
            <w:r>
              <w:rPr>
                <w:rFonts w:ascii="Times New Roman" w:hAnsi="Times New Roman"/>
                <w:kern w:val="0"/>
                <w:sz w:val="20"/>
                <w:szCs w:val="20"/>
              </w:rPr>
              <w:t>600GB SAS</w:t>
            </w:r>
            <w:r>
              <w:rPr>
                <w:rFonts w:hint="eastAsia" w:ascii="宋体" w:hAnsi="宋体" w:cs="Arial"/>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认证指标</w:t>
            </w: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须提供所投设备的软件著作权登记证书。</w:t>
            </w:r>
          </w:p>
        </w:tc>
      </w:tr>
    </w:tbl>
    <w:p/>
    <w:p>
      <w:pPr>
        <w:pStyle w:val="141"/>
        <w:numPr>
          <w:ilvl w:val="3"/>
          <w:numId w:val="7"/>
        </w:numPr>
        <w:tabs>
          <w:tab w:val="clear" w:pos="851"/>
        </w:tabs>
        <w:outlineLvl w:val="4"/>
        <w:rPr>
          <w:rFonts w:ascii="宋体" w:hAnsi="宋体" w:eastAsia="宋体" w:cs="宋体"/>
          <w:color w:val="auto"/>
          <w:sz w:val="24"/>
          <w:szCs w:val="24"/>
        </w:rPr>
      </w:pPr>
      <w:bookmarkStart w:id="125" w:name="_Toc46241991"/>
      <w:r>
        <w:rPr>
          <w:rFonts w:hint="eastAsia" w:ascii="宋体" w:hAnsi="宋体" w:eastAsia="宋体" w:cs="宋体"/>
          <w:color w:val="auto"/>
          <w:sz w:val="24"/>
          <w:szCs w:val="24"/>
        </w:rPr>
        <w:t>统一注册平台</w:t>
      </w:r>
      <w:bookmarkEnd w:id="125"/>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2"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tc>
        <w:tc>
          <w:tcPr>
            <w:tcW w:w="7952" w:type="dxa"/>
            <w:shd w:val="clear" w:color="auto" w:fill="auto"/>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须与视频联接平台（MCU）同一品牌，采用独立硬件部署，非</w:t>
            </w:r>
            <w:r>
              <w:rPr>
                <w:rFonts w:ascii="Times New Roman" w:hAnsi="Times New Roman"/>
                <w:kern w:val="0"/>
                <w:sz w:val="20"/>
                <w:szCs w:val="20"/>
              </w:rPr>
              <w:t>MCU</w:t>
            </w:r>
            <w:r>
              <w:rPr>
                <w:rFonts w:hint="eastAsia" w:ascii="宋体" w:hAnsi="宋体" w:cs="Arial"/>
                <w:kern w:val="0"/>
                <w:sz w:val="20"/>
                <w:szCs w:val="20"/>
              </w:rPr>
              <w:t>内置模块。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center"/>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H.323 Gatekeeper</w:t>
            </w:r>
            <w:r>
              <w:rPr>
                <w:rFonts w:hint="eastAsia" w:ascii="宋体" w:hAnsi="宋体" w:cs="Arial"/>
                <w:kern w:val="0"/>
                <w:sz w:val="20"/>
                <w:szCs w:val="20"/>
              </w:rPr>
              <w:t>、</w:t>
            </w:r>
            <w:r>
              <w:rPr>
                <w:rFonts w:ascii="Times New Roman" w:hAnsi="Times New Roman"/>
                <w:kern w:val="0"/>
                <w:sz w:val="20"/>
                <w:szCs w:val="20"/>
              </w:rPr>
              <w:t>Sip Server</w:t>
            </w:r>
            <w:r>
              <w:rPr>
                <w:rFonts w:hint="eastAsia" w:ascii="宋体" w:hAnsi="宋体" w:cs="Arial"/>
                <w:kern w:val="0"/>
                <w:sz w:val="20"/>
                <w:szCs w:val="20"/>
              </w:rPr>
              <w:t>、</w:t>
            </w:r>
            <w:r>
              <w:rPr>
                <w:rFonts w:ascii="Times New Roman" w:hAnsi="Times New Roman"/>
                <w:kern w:val="0"/>
                <w:sz w:val="20"/>
                <w:szCs w:val="20"/>
              </w:rPr>
              <w:t>SIP Proxy</w:t>
            </w:r>
            <w:r>
              <w:rPr>
                <w:rFonts w:hint="eastAsia" w:ascii="宋体" w:hAnsi="宋体" w:cs="Arial"/>
                <w:kern w:val="0"/>
                <w:sz w:val="20"/>
                <w:szCs w:val="20"/>
              </w:rPr>
              <w:t>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center"/>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支持呼叫带宽配置与管理，控制区域呼叫流量，避免网络拥塞。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continue"/>
            <w:vAlign w:val="center"/>
          </w:tcPr>
          <w:p>
            <w:pPr>
              <w:widowControl/>
              <w:jc w:val="center"/>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支持呼叫路由控制、号码变换，支持通过前缀匹配、后缀匹配、精确匹配等查找规则识别呼叫区域。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center"/>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支持呼叫时携带会议号和鉴权密码信息，实现与异构</w:t>
            </w:r>
            <w:r>
              <w:rPr>
                <w:rFonts w:ascii="Times New Roman" w:hAnsi="Times New Roman"/>
                <w:kern w:val="0"/>
                <w:sz w:val="20"/>
                <w:szCs w:val="20"/>
              </w:rPr>
              <w:t>MCU</w:t>
            </w:r>
            <w:r>
              <w:rPr>
                <w:rFonts w:hint="eastAsia" w:ascii="宋体" w:hAnsi="宋体" w:cs="Arial"/>
                <w:kern w:val="0"/>
                <w:sz w:val="20"/>
                <w:szCs w:val="20"/>
              </w:rPr>
              <w:t>的鉴权会议级联。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center"/>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SIP/H.323</w:t>
            </w:r>
            <w:r>
              <w:rPr>
                <w:rFonts w:hint="eastAsia" w:ascii="宋体" w:hAnsi="宋体" w:cs="Arial"/>
                <w:kern w:val="0"/>
                <w:sz w:val="20"/>
                <w:szCs w:val="20"/>
              </w:rPr>
              <w:t>注册服务器双机热备部署，满足业务无缝备份切换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50" w:type="dxa"/>
            <w:vMerge w:val="restart"/>
            <w:shd w:val="clear" w:color="auto" w:fill="auto"/>
            <w:vAlign w:val="center"/>
          </w:tcPr>
          <w:p>
            <w:pPr>
              <w:widowControl/>
              <w:jc w:val="center"/>
              <w:rPr>
                <w:rFonts w:ascii="宋体" w:hAnsi="宋体" w:cs="Arial"/>
                <w:bCs/>
                <w:kern w:val="0"/>
                <w:sz w:val="20"/>
                <w:szCs w:val="20"/>
              </w:rPr>
            </w:pPr>
            <w:r>
              <w:rPr>
                <w:bCs/>
                <w:kern w:val="0"/>
                <w:sz w:val="20"/>
                <w:szCs w:val="20"/>
              </w:rPr>
              <w:t>性能要求</w:t>
            </w: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400Mbps</w:t>
            </w:r>
            <w:r>
              <w:rPr>
                <w:rFonts w:hint="eastAsia" w:ascii="宋体" w:hAnsi="宋体" w:cs="Arial"/>
                <w:kern w:val="0"/>
                <w:sz w:val="20"/>
                <w:szCs w:val="20"/>
              </w:rPr>
              <w:t>穿越代理能力；本次配置不少于</w:t>
            </w:r>
            <w:r>
              <w:rPr>
                <w:rFonts w:ascii="Times New Roman" w:hAnsi="Times New Roman"/>
                <w:kern w:val="0"/>
                <w:sz w:val="20"/>
                <w:szCs w:val="20"/>
              </w:rPr>
              <w:t>100Mbps</w:t>
            </w:r>
            <w:r>
              <w:rPr>
                <w:rFonts w:hint="eastAsia" w:ascii="宋体" w:hAnsi="宋体" w:cs="Arial"/>
                <w:kern w:val="0"/>
                <w:sz w:val="20"/>
                <w:szCs w:val="20"/>
              </w:rPr>
              <w:t>穿越代理能力。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vMerge w:val="continue"/>
            <w:vAlign w:val="center"/>
          </w:tcPr>
          <w:p>
            <w:pPr>
              <w:widowControl/>
              <w:jc w:val="center"/>
              <w:rPr>
                <w:rFonts w:ascii="宋体" w:hAnsi="宋体" w:cs="Arial"/>
                <w:bCs/>
                <w:kern w:val="0"/>
                <w:sz w:val="20"/>
                <w:szCs w:val="20"/>
              </w:rPr>
            </w:pPr>
          </w:p>
        </w:tc>
        <w:tc>
          <w:tcPr>
            <w:tcW w:w="7952"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H.460</w:t>
            </w:r>
            <w:r>
              <w:rPr>
                <w:rFonts w:hint="eastAsia" w:ascii="宋体" w:hAnsi="宋体" w:cs="Arial"/>
                <w:kern w:val="0"/>
                <w:sz w:val="20"/>
                <w:szCs w:val="20"/>
              </w:rPr>
              <w:t>、</w:t>
            </w:r>
            <w:r>
              <w:rPr>
                <w:rFonts w:ascii="Times New Roman" w:hAnsi="Times New Roman"/>
                <w:kern w:val="0"/>
                <w:sz w:val="20"/>
                <w:szCs w:val="20"/>
              </w:rPr>
              <w:t>ICE</w:t>
            </w:r>
            <w:r>
              <w:rPr>
                <w:rFonts w:hint="eastAsia" w:ascii="宋体" w:hAnsi="宋体" w:cs="Arial"/>
                <w:kern w:val="0"/>
                <w:sz w:val="20"/>
                <w:szCs w:val="20"/>
              </w:rPr>
              <w:t>、</w:t>
            </w:r>
            <w:r>
              <w:rPr>
                <w:rFonts w:ascii="Times New Roman" w:hAnsi="Times New Roman"/>
                <w:kern w:val="0"/>
                <w:sz w:val="20"/>
                <w:szCs w:val="20"/>
              </w:rPr>
              <w:t>STUN</w:t>
            </w:r>
            <w:r>
              <w:rPr>
                <w:rFonts w:hint="eastAsia" w:ascii="宋体" w:hAnsi="宋体" w:cs="Arial"/>
                <w:kern w:val="0"/>
                <w:sz w:val="20"/>
                <w:szCs w:val="20"/>
              </w:rPr>
              <w:t>、</w:t>
            </w:r>
            <w:r>
              <w:rPr>
                <w:rFonts w:ascii="Times New Roman" w:hAnsi="Times New Roman"/>
                <w:kern w:val="0"/>
                <w:sz w:val="20"/>
                <w:szCs w:val="20"/>
              </w:rPr>
              <w:t>TURN</w:t>
            </w:r>
            <w:r>
              <w:rPr>
                <w:rFonts w:hint="eastAsia" w:ascii="宋体" w:hAnsi="宋体" w:cs="Arial"/>
                <w:kern w:val="0"/>
                <w:sz w:val="20"/>
                <w:szCs w:val="20"/>
              </w:rPr>
              <w:t>等标准的</w:t>
            </w:r>
            <w:r>
              <w:rPr>
                <w:rFonts w:ascii="Times New Roman" w:hAnsi="Times New Roman"/>
                <w:kern w:val="0"/>
                <w:sz w:val="20"/>
                <w:szCs w:val="20"/>
              </w:rPr>
              <w:t>H.323/SIP</w:t>
            </w:r>
            <w:r>
              <w:rPr>
                <w:rFonts w:hint="eastAsia" w:ascii="宋体" w:hAnsi="宋体" w:cs="Arial"/>
                <w:kern w:val="0"/>
                <w:sz w:val="20"/>
                <w:szCs w:val="20"/>
              </w:rPr>
              <w:t>穿越协议。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承载硬件要求</w:t>
            </w:r>
          </w:p>
        </w:tc>
        <w:tc>
          <w:tcPr>
            <w:tcW w:w="7952" w:type="dxa"/>
            <w:shd w:val="clear" w:color="auto" w:fill="auto"/>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配置≥</w:t>
            </w:r>
            <w:r>
              <w:rPr>
                <w:rFonts w:ascii="Times New Roman" w:hAnsi="Times New Roman"/>
                <w:kern w:val="0"/>
                <w:sz w:val="20"/>
                <w:szCs w:val="20"/>
              </w:rPr>
              <w:t>2</w:t>
            </w:r>
            <w:r>
              <w:rPr>
                <w:rFonts w:hint="eastAsia" w:ascii="宋体" w:hAnsi="宋体" w:cs="Arial"/>
                <w:kern w:val="0"/>
                <w:sz w:val="20"/>
                <w:szCs w:val="20"/>
              </w:rPr>
              <w:t>个</w:t>
            </w:r>
            <w:r>
              <w:rPr>
                <w:rFonts w:ascii="Times New Roman" w:hAnsi="Times New Roman"/>
                <w:kern w:val="0"/>
                <w:sz w:val="20"/>
                <w:szCs w:val="20"/>
              </w:rPr>
              <w:t>6</w:t>
            </w:r>
            <w:r>
              <w:rPr>
                <w:rFonts w:hint="eastAsia" w:ascii="宋体" w:hAnsi="宋体" w:cs="Arial"/>
                <w:kern w:val="0"/>
                <w:sz w:val="20"/>
                <w:szCs w:val="20"/>
              </w:rPr>
              <w:t>核</w:t>
            </w:r>
            <w:r>
              <w:rPr>
                <w:rFonts w:ascii="Times New Roman" w:hAnsi="Times New Roman"/>
                <w:kern w:val="0"/>
                <w:sz w:val="20"/>
                <w:szCs w:val="20"/>
              </w:rPr>
              <w:t xml:space="preserve">Xeon </w:t>
            </w:r>
            <w:r>
              <w:rPr>
                <w:rFonts w:hint="eastAsia" w:ascii="宋体" w:hAnsi="宋体" w:cs="Arial"/>
                <w:kern w:val="0"/>
                <w:sz w:val="20"/>
                <w:szCs w:val="20"/>
              </w:rPr>
              <w:t>处理器，单核主频≥</w:t>
            </w:r>
            <w:r>
              <w:rPr>
                <w:rFonts w:ascii="Times New Roman" w:hAnsi="Times New Roman"/>
                <w:kern w:val="0"/>
                <w:sz w:val="20"/>
                <w:szCs w:val="20"/>
              </w:rPr>
              <w:t>1.6GHz</w:t>
            </w:r>
            <w:r>
              <w:rPr>
                <w:rFonts w:hint="eastAsia" w:ascii="宋体" w:hAnsi="宋体" w:cs="Arial"/>
                <w:kern w:val="0"/>
                <w:sz w:val="20"/>
                <w:szCs w:val="20"/>
              </w:rPr>
              <w:t>，内存≥</w:t>
            </w:r>
            <w:r>
              <w:rPr>
                <w:rFonts w:ascii="Times New Roman" w:hAnsi="Times New Roman"/>
                <w:kern w:val="0"/>
                <w:sz w:val="20"/>
                <w:szCs w:val="20"/>
              </w:rPr>
              <w:t>2</w:t>
            </w:r>
            <w:r>
              <w:rPr>
                <w:rFonts w:hint="eastAsia" w:ascii="宋体" w:hAnsi="宋体" w:cs="Arial"/>
                <w:kern w:val="0"/>
                <w:sz w:val="20"/>
                <w:szCs w:val="20"/>
              </w:rPr>
              <w:t>×</w:t>
            </w:r>
            <w:r>
              <w:rPr>
                <w:rFonts w:ascii="Times New Roman" w:hAnsi="Times New Roman"/>
                <w:kern w:val="0"/>
                <w:sz w:val="20"/>
                <w:szCs w:val="20"/>
              </w:rPr>
              <w:t>16GB</w:t>
            </w:r>
            <w:r>
              <w:rPr>
                <w:rFonts w:hint="eastAsia" w:ascii="宋体" w:hAnsi="宋体" w:cs="Arial"/>
                <w:kern w:val="0"/>
                <w:sz w:val="20"/>
                <w:szCs w:val="20"/>
              </w:rPr>
              <w:t>，硬盘≥</w:t>
            </w:r>
            <w:r>
              <w:rPr>
                <w:rFonts w:ascii="Times New Roman" w:hAnsi="Times New Roman"/>
                <w:kern w:val="0"/>
                <w:sz w:val="20"/>
                <w:szCs w:val="20"/>
              </w:rPr>
              <w:t>2</w:t>
            </w:r>
            <w:r>
              <w:rPr>
                <w:rFonts w:hint="eastAsia" w:ascii="宋体" w:hAnsi="宋体" w:cs="Arial"/>
                <w:kern w:val="0"/>
                <w:sz w:val="20"/>
                <w:szCs w:val="20"/>
              </w:rPr>
              <w:t>×</w:t>
            </w:r>
            <w:r>
              <w:rPr>
                <w:rFonts w:ascii="Times New Roman" w:hAnsi="Times New Roman"/>
                <w:kern w:val="0"/>
                <w:sz w:val="20"/>
                <w:szCs w:val="20"/>
              </w:rPr>
              <w:t>600GB SAS</w:t>
            </w:r>
            <w:r>
              <w:rPr>
                <w:rFonts w:hint="eastAsia" w:ascii="宋体" w:hAnsi="宋体" w:cs="Arial"/>
                <w:kern w:val="0"/>
                <w:sz w:val="20"/>
                <w:szCs w:val="20"/>
              </w:rPr>
              <w:t>。</w:t>
            </w:r>
          </w:p>
        </w:tc>
      </w:tr>
    </w:tbl>
    <w:p/>
    <w:p/>
    <w:p>
      <w:pPr>
        <w:pStyle w:val="141"/>
        <w:numPr>
          <w:ilvl w:val="3"/>
          <w:numId w:val="7"/>
        </w:numPr>
        <w:tabs>
          <w:tab w:val="clear" w:pos="851"/>
        </w:tabs>
        <w:outlineLvl w:val="4"/>
        <w:rPr>
          <w:rFonts w:ascii="宋体" w:hAnsi="宋体" w:eastAsia="宋体" w:cs="宋体"/>
          <w:color w:val="auto"/>
          <w:sz w:val="24"/>
          <w:szCs w:val="24"/>
        </w:rPr>
      </w:pPr>
      <w:bookmarkStart w:id="126" w:name="_Toc46241992"/>
      <w:r>
        <w:rPr>
          <w:rFonts w:hint="eastAsia" w:ascii="宋体" w:hAnsi="宋体" w:eastAsia="宋体" w:cs="宋体"/>
          <w:color w:val="auto"/>
          <w:sz w:val="24"/>
          <w:szCs w:val="24"/>
        </w:rPr>
        <w:t>视频联接平台</w:t>
      </w:r>
      <w:bookmarkEnd w:id="126"/>
    </w:p>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44"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8"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444" w:type="dxa"/>
            <w:vMerge w:val="restart"/>
            <w:shd w:val="clear" w:color="000000" w:fill="FFFFFF"/>
            <w:vAlign w:val="center"/>
          </w:tcPr>
          <w:p>
            <w:pPr>
              <w:widowControl/>
              <w:jc w:val="left"/>
              <w:rPr>
                <w:rFonts w:ascii="宋体" w:hAnsi="宋体" w:cs="Arial"/>
                <w:bCs/>
                <w:kern w:val="0"/>
                <w:sz w:val="20"/>
                <w:szCs w:val="20"/>
              </w:rPr>
            </w:pPr>
            <w:r>
              <w:rPr>
                <w:rFonts w:hint="eastAsia" w:ascii="宋体" w:hAnsi="宋体" w:cs="Arial"/>
                <w:bCs/>
                <w:kern w:val="0"/>
                <w:sz w:val="20"/>
                <w:szCs w:val="20"/>
              </w:rPr>
              <w:t>总体要求</w:t>
            </w:r>
          </w:p>
        </w:tc>
        <w:tc>
          <w:tcPr>
            <w:tcW w:w="7958" w:type="dxa"/>
            <w:shd w:val="clear" w:color="000000" w:fill="FFFFFF"/>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采用电信级、插卡式结构设计，支持板卡扩容满足系统容量平滑升级。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trPr>
        <w:tc>
          <w:tcPr>
            <w:tcW w:w="1444" w:type="dxa"/>
            <w:vMerge w:val="continue"/>
            <w:shd w:val="clear" w:color="000000" w:fill="FFFFFF"/>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支持ITU-T H.323、IETF SIP协议，满足H.323、SIP协议终端接入，具备良好的兼容性，须提供</w:t>
            </w:r>
            <w:r>
              <w:rPr>
                <w:rFonts w:ascii="宋体" w:hAnsi="宋体" w:cs="Arial"/>
                <w:kern w:val="0"/>
                <w:sz w:val="20"/>
                <w:szCs w:val="20"/>
              </w:rPr>
              <w:t>CNAS</w:t>
            </w:r>
            <w:r>
              <w:rPr>
                <w:rFonts w:hint="eastAsia" w:ascii="宋体" w:hAnsi="宋体" w:cs="Arial"/>
                <w:kern w:val="0"/>
                <w:sz w:val="20"/>
                <w:szCs w:val="20"/>
              </w:rPr>
              <w:t>认可的检测机构出具的测试报告证明。</w:t>
            </w:r>
          </w:p>
          <w:p>
            <w:pPr>
              <w:jc w:val="left"/>
              <w:rPr>
                <w:rFonts w:ascii="宋体" w:hAnsi="宋体" w:cs="Arial"/>
                <w:kern w:val="0"/>
                <w:sz w:val="20"/>
                <w:szCs w:val="20"/>
              </w:rPr>
            </w:pPr>
            <w:r>
              <w:rPr>
                <w:rFonts w:hint="eastAsia" w:ascii="宋体" w:hAnsi="宋体" w:cs="Arial"/>
                <w:kern w:val="0"/>
                <w:sz w:val="20"/>
                <w:szCs w:val="20"/>
              </w:rPr>
              <w:t>可与用户现网视频会商系统对接，实现在会议中和现网科达、华为视频会议系统的互通（提供承诺函，格式自定）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444" w:type="dxa"/>
            <w:vMerge w:val="continue"/>
            <w:shd w:val="clear" w:color="000000" w:fill="FFFFFF"/>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投标人提供视频联接平台的标准和接口协议，必须通过第三方测评单位接口开放测评，确保视频联接平台满足生态环境监测网络视频会议设备接入、平台整合、统一运维要求；第三方接口开放测评费用由投标供应商支付。（提供承诺函，格式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支持</w:t>
            </w:r>
            <w:r>
              <w:rPr>
                <w:rFonts w:ascii="Times New Roman" w:hAnsi="Times New Roman"/>
                <w:kern w:val="0"/>
                <w:sz w:val="20"/>
                <w:szCs w:val="20"/>
              </w:rPr>
              <w:t>64Kbps-8Mbps</w:t>
            </w:r>
            <w:r>
              <w:rPr>
                <w:rFonts w:hint="eastAsia" w:ascii="宋体" w:hAnsi="宋体" w:cs="Arial"/>
                <w:kern w:val="0"/>
                <w:sz w:val="20"/>
                <w:szCs w:val="20"/>
              </w:rPr>
              <w:t>呼叫带宽。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1080p30/60fps</w:t>
            </w:r>
            <w:r>
              <w:rPr>
                <w:rFonts w:hint="eastAsia" w:ascii="宋体" w:hAnsi="宋体" w:cs="Arial"/>
                <w:kern w:val="0"/>
                <w:sz w:val="20"/>
                <w:szCs w:val="20"/>
              </w:rPr>
              <w:t>、</w:t>
            </w:r>
            <w:r>
              <w:rPr>
                <w:rFonts w:ascii="Times New Roman" w:hAnsi="Times New Roman"/>
                <w:kern w:val="0"/>
                <w:sz w:val="20"/>
                <w:szCs w:val="20"/>
              </w:rPr>
              <w:t>720p30/60fps</w:t>
            </w:r>
            <w:r>
              <w:rPr>
                <w:rFonts w:hint="eastAsia" w:ascii="宋体" w:hAnsi="宋体" w:cs="Arial"/>
                <w:kern w:val="0"/>
                <w:sz w:val="20"/>
                <w:szCs w:val="20"/>
              </w:rPr>
              <w:t>、</w:t>
            </w:r>
            <w:r>
              <w:rPr>
                <w:rFonts w:ascii="Times New Roman" w:hAnsi="Times New Roman"/>
                <w:kern w:val="0"/>
                <w:sz w:val="20"/>
                <w:szCs w:val="20"/>
              </w:rPr>
              <w:t>4CIF</w:t>
            </w:r>
            <w:r>
              <w:rPr>
                <w:rFonts w:hint="eastAsia" w:ascii="宋体" w:hAnsi="宋体" w:cs="Arial"/>
                <w:kern w:val="0"/>
                <w:sz w:val="20"/>
                <w:szCs w:val="20"/>
              </w:rPr>
              <w:t>、</w:t>
            </w:r>
            <w:r>
              <w:rPr>
                <w:rFonts w:ascii="Times New Roman" w:hAnsi="Times New Roman"/>
                <w:kern w:val="0"/>
                <w:sz w:val="20"/>
                <w:szCs w:val="20"/>
              </w:rPr>
              <w:t>CIF</w:t>
            </w:r>
            <w:r>
              <w:rPr>
                <w:rFonts w:hint="eastAsia" w:ascii="宋体" w:hAnsi="宋体" w:cs="Arial"/>
                <w:kern w:val="0"/>
                <w:sz w:val="20"/>
                <w:szCs w:val="20"/>
              </w:rPr>
              <w:t>、</w:t>
            </w:r>
            <w:r>
              <w:rPr>
                <w:rFonts w:ascii="Times New Roman" w:hAnsi="Times New Roman"/>
                <w:kern w:val="0"/>
                <w:sz w:val="20"/>
                <w:szCs w:val="20"/>
              </w:rPr>
              <w:t>QCIF</w:t>
            </w:r>
            <w:r>
              <w:rPr>
                <w:rFonts w:hint="eastAsia" w:ascii="宋体" w:hAnsi="宋体" w:cs="Arial"/>
                <w:kern w:val="0"/>
                <w:sz w:val="20"/>
                <w:szCs w:val="20"/>
              </w:rPr>
              <w:t>分辨率的活动视频。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1"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444"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容量及性能要求</w:t>
            </w: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支持全编全解技术，确保每个接入的会场均能以任意不同的协议、带宽、格式、帧率参加同一组会议，会议中任何一个参会终端出现丢包仅影响该会场，不会影响整个会议效果。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本次需配置不低于两台</w:t>
            </w:r>
            <w:r>
              <w:rPr>
                <w:rFonts w:ascii="Times New Roman" w:hAnsi="Times New Roman"/>
                <w:kern w:val="0"/>
                <w:sz w:val="20"/>
                <w:szCs w:val="20"/>
              </w:rPr>
              <w:t>MCU</w:t>
            </w:r>
            <w:r>
              <w:rPr>
                <w:rFonts w:hint="eastAsia" w:ascii="宋体" w:hAnsi="宋体" w:cs="Arial"/>
                <w:kern w:val="0"/>
                <w:sz w:val="20"/>
                <w:szCs w:val="20"/>
              </w:rPr>
              <w:t>组成资源池，实现</w:t>
            </w:r>
            <w:r>
              <w:rPr>
                <w:rFonts w:ascii="Times New Roman" w:hAnsi="Times New Roman"/>
                <w:kern w:val="0"/>
                <w:sz w:val="20"/>
                <w:szCs w:val="20"/>
              </w:rPr>
              <w:t>MCU</w:t>
            </w:r>
            <w:r>
              <w:rPr>
                <w:rFonts w:hint="eastAsia" w:ascii="宋体" w:hAnsi="宋体" w:cs="Arial"/>
                <w:kern w:val="0"/>
                <w:sz w:val="20"/>
                <w:szCs w:val="20"/>
              </w:rPr>
              <w:t>资源统一管理，资源池容量配置不少于</w:t>
            </w:r>
            <w:r>
              <w:rPr>
                <w:rFonts w:ascii="宋体" w:hAnsi="宋体" w:cs="Arial"/>
                <w:kern w:val="0"/>
                <w:sz w:val="20"/>
                <w:szCs w:val="20"/>
              </w:rPr>
              <w:t>100</w:t>
            </w:r>
            <w:r>
              <w:rPr>
                <w:rFonts w:hint="eastAsia" w:ascii="宋体" w:hAnsi="宋体" w:cs="Arial"/>
                <w:kern w:val="0"/>
                <w:sz w:val="20"/>
                <w:szCs w:val="20"/>
              </w:rPr>
              <w:t>路</w:t>
            </w:r>
            <w:r>
              <w:rPr>
                <w:rFonts w:ascii="Times New Roman" w:hAnsi="Times New Roman"/>
                <w:kern w:val="0"/>
                <w:sz w:val="20"/>
                <w:szCs w:val="20"/>
              </w:rPr>
              <w:t>1080P30fps</w:t>
            </w:r>
            <w:r>
              <w:rPr>
                <w:rFonts w:hint="eastAsia" w:ascii="宋体" w:hAnsi="宋体" w:cs="Arial"/>
                <w:kern w:val="0"/>
                <w:sz w:val="20"/>
                <w:szCs w:val="20"/>
              </w:rPr>
              <w:t>全编全解端口。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支持将</w:t>
            </w:r>
            <w:r>
              <w:rPr>
                <w:rFonts w:ascii="宋体" w:hAnsi="宋体" w:cs="Arial"/>
                <w:kern w:val="0"/>
                <w:sz w:val="20"/>
                <w:szCs w:val="20"/>
              </w:rPr>
              <w:t xml:space="preserve">1 </w:t>
            </w:r>
            <w:r>
              <w:rPr>
                <w:rFonts w:hint="eastAsia" w:ascii="宋体" w:hAnsi="宋体" w:cs="Arial"/>
                <w:kern w:val="0"/>
                <w:sz w:val="20"/>
                <w:szCs w:val="20"/>
              </w:rPr>
              <w:t>个</w:t>
            </w:r>
            <w:r>
              <w:rPr>
                <w:rFonts w:ascii="宋体" w:hAnsi="宋体" w:cs="Arial"/>
                <w:kern w:val="0"/>
                <w:sz w:val="20"/>
                <w:szCs w:val="20"/>
              </w:rPr>
              <w:t xml:space="preserve">1080P60fps </w:t>
            </w:r>
            <w:r>
              <w:rPr>
                <w:rFonts w:hint="eastAsia" w:ascii="宋体" w:hAnsi="宋体" w:cs="Arial"/>
                <w:kern w:val="0"/>
                <w:sz w:val="20"/>
                <w:szCs w:val="20"/>
              </w:rPr>
              <w:t>端口可拆分为</w:t>
            </w:r>
            <w:r>
              <w:rPr>
                <w:rFonts w:ascii="宋体" w:hAnsi="宋体" w:cs="Arial"/>
                <w:kern w:val="0"/>
                <w:sz w:val="20"/>
                <w:szCs w:val="20"/>
              </w:rPr>
              <w:t xml:space="preserve"> 2 </w:t>
            </w:r>
            <w:r>
              <w:rPr>
                <w:rFonts w:hint="eastAsia" w:ascii="宋体" w:hAnsi="宋体" w:cs="Arial"/>
                <w:kern w:val="0"/>
                <w:sz w:val="20"/>
                <w:szCs w:val="20"/>
              </w:rPr>
              <w:t>个</w:t>
            </w:r>
            <w:r>
              <w:rPr>
                <w:rFonts w:ascii="宋体" w:hAnsi="宋体" w:cs="Arial"/>
                <w:kern w:val="0"/>
                <w:sz w:val="20"/>
                <w:szCs w:val="20"/>
              </w:rPr>
              <w:t xml:space="preserve">1080P30fps </w:t>
            </w:r>
            <w:r>
              <w:rPr>
                <w:rFonts w:hint="eastAsia" w:ascii="宋体" w:hAnsi="宋体" w:cs="Arial"/>
                <w:kern w:val="0"/>
                <w:sz w:val="20"/>
                <w:szCs w:val="20"/>
              </w:rPr>
              <w:t>端口、或者</w:t>
            </w:r>
            <w:r>
              <w:rPr>
                <w:rFonts w:ascii="宋体" w:hAnsi="宋体" w:cs="Arial"/>
                <w:kern w:val="0"/>
                <w:sz w:val="20"/>
                <w:szCs w:val="20"/>
              </w:rPr>
              <w:t xml:space="preserve"> 4 </w:t>
            </w:r>
            <w:r>
              <w:rPr>
                <w:rFonts w:hint="eastAsia" w:ascii="宋体" w:hAnsi="宋体" w:cs="Arial"/>
                <w:kern w:val="0"/>
                <w:sz w:val="20"/>
                <w:szCs w:val="20"/>
              </w:rPr>
              <w:t>个</w:t>
            </w:r>
            <w:r>
              <w:rPr>
                <w:rFonts w:ascii="宋体" w:hAnsi="宋体" w:cs="Arial"/>
                <w:kern w:val="0"/>
                <w:sz w:val="20"/>
                <w:szCs w:val="20"/>
              </w:rPr>
              <w:t>720P30fps</w:t>
            </w:r>
            <w:r>
              <w:rPr>
                <w:rFonts w:hint="eastAsia" w:ascii="宋体" w:hAnsi="宋体" w:cs="Arial"/>
                <w:kern w:val="0"/>
                <w:sz w:val="20"/>
                <w:szCs w:val="20"/>
              </w:rPr>
              <w:t>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5" w:hRule="atLeast"/>
        </w:trPr>
        <w:tc>
          <w:tcPr>
            <w:tcW w:w="1444"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视音频指标</w:t>
            </w:r>
          </w:p>
        </w:tc>
        <w:tc>
          <w:tcPr>
            <w:tcW w:w="7958" w:type="dxa"/>
            <w:vMerge w:val="restart"/>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▲支持ITU-T H.263、H.264BP、H.264HP、H.264SVC、H.265 视频协议；须提供</w:t>
            </w:r>
            <w:r>
              <w:rPr>
                <w:rFonts w:ascii="宋体" w:hAnsi="宋体" w:cs="Arial"/>
                <w:kern w:val="0"/>
                <w:sz w:val="20"/>
                <w:szCs w:val="20"/>
              </w:rPr>
              <w:t>CNAS</w:t>
            </w:r>
            <w:r>
              <w:rPr>
                <w:rFonts w:hint="eastAsia" w:ascii="宋体" w:hAnsi="宋体" w:cs="Arial"/>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44" w:type="dxa"/>
            <w:vMerge w:val="continue"/>
            <w:vAlign w:val="center"/>
          </w:tcPr>
          <w:p>
            <w:pPr>
              <w:widowControl/>
              <w:jc w:val="left"/>
              <w:rPr>
                <w:rFonts w:ascii="宋体" w:hAnsi="宋体" w:cs="Arial"/>
                <w:bCs/>
                <w:kern w:val="0"/>
                <w:sz w:val="20"/>
                <w:szCs w:val="20"/>
              </w:rPr>
            </w:pPr>
          </w:p>
        </w:tc>
        <w:tc>
          <w:tcPr>
            <w:tcW w:w="7958" w:type="dxa"/>
            <w:vMerge w:val="continue"/>
            <w:vAlign w:val="center"/>
          </w:tcPr>
          <w:p>
            <w:pPr>
              <w:widowControl/>
              <w:jc w:val="left"/>
              <w:rPr>
                <w:rFonts w:ascii="宋体" w:hAnsi="宋体" w:cs="Arial"/>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AVC/SVC</w:t>
            </w:r>
            <w:r>
              <w:rPr>
                <w:rFonts w:hint="eastAsia" w:ascii="宋体" w:hAnsi="宋体" w:cs="Arial"/>
                <w:kern w:val="0"/>
                <w:sz w:val="20"/>
                <w:szCs w:val="20"/>
              </w:rPr>
              <w:t>混合会议，以适应不同线路带宽、不同设备能力、不同网络环境下的组网要求，</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G711</w:t>
            </w:r>
            <w:r>
              <w:rPr>
                <w:rFonts w:hint="eastAsia" w:ascii="宋体" w:hAnsi="宋体" w:cs="Arial"/>
                <w:kern w:val="0"/>
                <w:sz w:val="20"/>
                <w:szCs w:val="20"/>
              </w:rPr>
              <w:t>、</w:t>
            </w:r>
            <w:r>
              <w:rPr>
                <w:rFonts w:ascii="Times New Roman" w:hAnsi="Times New Roman"/>
                <w:kern w:val="0"/>
                <w:sz w:val="20"/>
                <w:szCs w:val="20"/>
              </w:rPr>
              <w:t>G722</w:t>
            </w:r>
            <w:r>
              <w:rPr>
                <w:rFonts w:hint="eastAsia" w:ascii="宋体" w:hAnsi="宋体" w:cs="Arial"/>
                <w:kern w:val="0"/>
                <w:sz w:val="20"/>
                <w:szCs w:val="20"/>
              </w:rPr>
              <w:t>、</w:t>
            </w:r>
            <w:r>
              <w:rPr>
                <w:rFonts w:ascii="Times New Roman" w:hAnsi="Times New Roman"/>
                <w:kern w:val="0"/>
                <w:sz w:val="20"/>
                <w:szCs w:val="20"/>
              </w:rPr>
              <w:t>G722.1C</w:t>
            </w:r>
            <w:r>
              <w:rPr>
                <w:rFonts w:hint="eastAsia" w:ascii="宋体" w:hAnsi="宋体" w:cs="Arial"/>
                <w:kern w:val="0"/>
                <w:sz w:val="20"/>
                <w:szCs w:val="20"/>
              </w:rPr>
              <w:t>、</w:t>
            </w:r>
            <w:r>
              <w:rPr>
                <w:rFonts w:ascii="Times New Roman" w:hAnsi="Times New Roman"/>
                <w:kern w:val="0"/>
                <w:sz w:val="20"/>
                <w:szCs w:val="20"/>
              </w:rPr>
              <w:t>G729</w:t>
            </w:r>
            <w:r>
              <w:rPr>
                <w:rFonts w:hint="eastAsia" w:ascii="宋体" w:hAnsi="宋体" w:cs="Arial"/>
                <w:kern w:val="0"/>
                <w:sz w:val="20"/>
                <w:szCs w:val="20"/>
              </w:rPr>
              <w:t>、</w:t>
            </w:r>
            <w:r>
              <w:rPr>
                <w:rFonts w:ascii="Times New Roman" w:hAnsi="Times New Roman"/>
                <w:kern w:val="0"/>
                <w:sz w:val="20"/>
                <w:szCs w:val="20"/>
              </w:rPr>
              <w:t>AAC-LD</w:t>
            </w:r>
            <w:r>
              <w:rPr>
                <w:rFonts w:hint="eastAsia" w:ascii="宋体" w:hAnsi="宋体" w:cs="Arial"/>
                <w:kern w:val="0"/>
                <w:sz w:val="20"/>
                <w:szCs w:val="20"/>
              </w:rPr>
              <w:t>、</w:t>
            </w:r>
            <w:r>
              <w:rPr>
                <w:rFonts w:ascii="Times New Roman" w:hAnsi="Times New Roman"/>
                <w:kern w:val="0"/>
                <w:sz w:val="20"/>
                <w:szCs w:val="20"/>
              </w:rPr>
              <w:t>Opus</w:t>
            </w:r>
            <w:r>
              <w:rPr>
                <w:rFonts w:hint="eastAsia" w:ascii="宋体" w:hAnsi="宋体" w:cs="Arial"/>
                <w:kern w:val="0"/>
                <w:sz w:val="20"/>
                <w:szCs w:val="20"/>
              </w:rPr>
              <w:t>音频协议。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44"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双流指标</w:t>
            </w: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ITU-T H.239</w:t>
            </w:r>
            <w:r>
              <w:rPr>
                <w:rFonts w:hint="eastAsia" w:ascii="宋体" w:hAnsi="宋体" w:cs="Arial"/>
                <w:kern w:val="0"/>
                <w:sz w:val="20"/>
                <w:szCs w:val="20"/>
              </w:rPr>
              <w:t>、</w:t>
            </w:r>
            <w:r>
              <w:rPr>
                <w:rFonts w:ascii="Times New Roman" w:hAnsi="Times New Roman"/>
                <w:kern w:val="0"/>
                <w:sz w:val="20"/>
                <w:szCs w:val="20"/>
              </w:rPr>
              <w:t>IETF BFCP</w:t>
            </w:r>
            <w:r>
              <w:rPr>
                <w:rFonts w:hint="eastAsia" w:ascii="宋体" w:hAnsi="宋体" w:cs="Arial"/>
                <w:kern w:val="0"/>
                <w:sz w:val="20"/>
                <w:szCs w:val="20"/>
              </w:rPr>
              <w:t>双流协议</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支持主视频</w:t>
            </w:r>
            <w:r>
              <w:rPr>
                <w:rFonts w:ascii="Times New Roman" w:hAnsi="Times New Roman"/>
                <w:kern w:val="0"/>
                <w:sz w:val="20"/>
                <w:szCs w:val="20"/>
              </w:rPr>
              <w:t>1080p60fps</w:t>
            </w:r>
            <w:r>
              <w:rPr>
                <w:rFonts w:hint="eastAsia" w:ascii="宋体" w:hAnsi="宋体" w:cs="Arial"/>
                <w:kern w:val="0"/>
                <w:sz w:val="20"/>
                <w:szCs w:val="20"/>
              </w:rPr>
              <w:t>时，辅视频同时实现</w:t>
            </w:r>
            <w:r>
              <w:rPr>
                <w:rFonts w:ascii="Times New Roman" w:hAnsi="Times New Roman"/>
                <w:kern w:val="0"/>
                <w:sz w:val="20"/>
                <w:szCs w:val="20"/>
              </w:rPr>
              <w:t>1080P60fps</w:t>
            </w:r>
            <w:r>
              <w:rPr>
                <w:rFonts w:hint="eastAsia" w:ascii="宋体" w:hAnsi="宋体" w:cs="Arial"/>
                <w:kern w:val="0"/>
                <w:sz w:val="20"/>
                <w:szCs w:val="20"/>
              </w:rPr>
              <w:t>高清效果</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444"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多画面功能要求</w:t>
            </w: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支持1/2/3/4/5/6/7/8/9/10/13/16/20/24/25等多画面类型，多画面分屏模式不少于52种。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444"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可靠性要求</w:t>
            </w:r>
          </w:p>
        </w:tc>
        <w:tc>
          <w:tcPr>
            <w:tcW w:w="7958" w:type="dxa"/>
            <w:shd w:val="clear" w:color="000000" w:fill="FFFFFF"/>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支持多台</w:t>
            </w:r>
            <w:r>
              <w:rPr>
                <w:rFonts w:ascii="Times New Roman" w:hAnsi="Times New Roman"/>
                <w:kern w:val="0"/>
                <w:sz w:val="20"/>
                <w:szCs w:val="20"/>
              </w:rPr>
              <w:t>MCU</w:t>
            </w:r>
            <w:r>
              <w:rPr>
                <w:rFonts w:hint="eastAsia" w:ascii="宋体" w:hAnsi="宋体" w:cs="Arial"/>
                <w:kern w:val="0"/>
                <w:sz w:val="20"/>
                <w:szCs w:val="20"/>
              </w:rPr>
              <w:t>组成资源池，实现</w:t>
            </w:r>
            <w:r>
              <w:rPr>
                <w:rFonts w:ascii="Times New Roman" w:hAnsi="Times New Roman"/>
                <w:kern w:val="0"/>
                <w:sz w:val="20"/>
                <w:szCs w:val="20"/>
              </w:rPr>
              <w:t>MCU</w:t>
            </w:r>
            <w:r>
              <w:rPr>
                <w:rFonts w:hint="eastAsia" w:ascii="宋体" w:hAnsi="宋体" w:cs="Arial"/>
                <w:kern w:val="0"/>
                <w:sz w:val="20"/>
                <w:szCs w:val="20"/>
              </w:rPr>
              <w:t>资源统一管理，根据</w:t>
            </w:r>
            <w:r>
              <w:rPr>
                <w:rFonts w:ascii="Times New Roman" w:hAnsi="Times New Roman"/>
                <w:kern w:val="0"/>
                <w:sz w:val="20"/>
                <w:szCs w:val="20"/>
              </w:rPr>
              <w:t>MCU</w:t>
            </w:r>
            <w:r>
              <w:rPr>
                <w:rFonts w:hint="eastAsia" w:ascii="宋体" w:hAnsi="宋体" w:cs="Arial"/>
                <w:kern w:val="0"/>
                <w:sz w:val="20"/>
                <w:szCs w:val="20"/>
              </w:rPr>
              <w:t>资源使用情况</w:t>
            </w:r>
            <w:r>
              <w:rPr>
                <w:rFonts w:ascii="Times New Roman" w:hAnsi="Times New Roman"/>
                <w:kern w:val="0"/>
                <w:sz w:val="20"/>
                <w:szCs w:val="20"/>
              </w:rPr>
              <w:t>,</w:t>
            </w:r>
            <w:r>
              <w:rPr>
                <w:rFonts w:hint="eastAsia" w:ascii="宋体" w:hAnsi="宋体" w:cs="Arial"/>
                <w:kern w:val="0"/>
                <w:sz w:val="20"/>
                <w:szCs w:val="20"/>
              </w:rPr>
              <w:t>动态分配</w:t>
            </w:r>
            <w:r>
              <w:rPr>
                <w:rFonts w:ascii="Times New Roman" w:hAnsi="Times New Roman"/>
                <w:kern w:val="0"/>
                <w:sz w:val="20"/>
                <w:szCs w:val="20"/>
              </w:rPr>
              <w:t>MCU</w:t>
            </w:r>
            <w:r>
              <w:rPr>
                <w:rFonts w:hint="eastAsia" w:ascii="宋体" w:hAnsi="宋体" w:cs="Arial"/>
                <w:kern w:val="0"/>
                <w:sz w:val="20"/>
                <w:szCs w:val="20"/>
              </w:rPr>
              <w:t>资源，以实现</w:t>
            </w:r>
            <w:r>
              <w:rPr>
                <w:rFonts w:ascii="Times New Roman" w:hAnsi="Times New Roman"/>
                <w:kern w:val="0"/>
                <w:sz w:val="20"/>
                <w:szCs w:val="20"/>
              </w:rPr>
              <w:t>MCU</w:t>
            </w:r>
            <w:r>
              <w:rPr>
                <w:rFonts w:hint="eastAsia" w:ascii="宋体" w:hAnsi="宋体" w:cs="Arial"/>
                <w:kern w:val="0"/>
                <w:sz w:val="20"/>
                <w:szCs w:val="20"/>
              </w:rPr>
              <w:t>资源负载均衡。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MCU</w:t>
            </w:r>
            <w:r>
              <w:rPr>
                <w:rFonts w:hint="eastAsia" w:ascii="宋体" w:hAnsi="宋体" w:cs="Arial"/>
                <w:kern w:val="0"/>
                <w:sz w:val="20"/>
                <w:szCs w:val="20"/>
              </w:rPr>
              <w:t>资源池备份功能</w:t>
            </w:r>
            <w:r>
              <w:rPr>
                <w:rFonts w:ascii="Times New Roman" w:hAnsi="Times New Roman"/>
                <w:kern w:val="0"/>
                <w:sz w:val="20"/>
                <w:szCs w:val="20"/>
              </w:rPr>
              <w:t>,</w:t>
            </w:r>
            <w:r>
              <w:rPr>
                <w:rFonts w:hint="eastAsia" w:ascii="宋体" w:hAnsi="宋体" w:cs="Arial"/>
                <w:kern w:val="0"/>
                <w:sz w:val="20"/>
                <w:szCs w:val="20"/>
              </w:rPr>
              <w:t>当某台</w:t>
            </w:r>
            <w:r>
              <w:rPr>
                <w:rFonts w:ascii="Times New Roman" w:hAnsi="Times New Roman"/>
                <w:kern w:val="0"/>
                <w:sz w:val="20"/>
                <w:szCs w:val="20"/>
              </w:rPr>
              <w:t>MCU</w:t>
            </w:r>
            <w:r>
              <w:rPr>
                <w:rFonts w:hint="eastAsia" w:ascii="宋体" w:hAnsi="宋体" w:cs="Arial"/>
                <w:kern w:val="0"/>
                <w:sz w:val="20"/>
                <w:szCs w:val="20"/>
              </w:rPr>
              <w:t>发生故障时，管理平台自动将会议调度在其他</w:t>
            </w:r>
            <w:r>
              <w:rPr>
                <w:rFonts w:ascii="Times New Roman" w:hAnsi="Times New Roman"/>
                <w:kern w:val="0"/>
                <w:sz w:val="20"/>
                <w:szCs w:val="20"/>
              </w:rPr>
              <w:t>MCU</w:t>
            </w:r>
            <w:r>
              <w:rPr>
                <w:rFonts w:hint="eastAsia" w:ascii="宋体" w:hAnsi="宋体" w:cs="Arial"/>
                <w:kern w:val="0"/>
                <w:sz w:val="20"/>
                <w:szCs w:val="20"/>
              </w:rPr>
              <w:t>，无须手动配置，会议切换时间</w:t>
            </w:r>
            <w:r>
              <w:rPr>
                <w:rFonts w:ascii="Times New Roman" w:hAnsi="Times New Roman"/>
                <w:kern w:val="0"/>
                <w:sz w:val="20"/>
                <w:szCs w:val="20"/>
              </w:rPr>
              <w:t>&lt;10S</w:t>
            </w:r>
            <w:r>
              <w:rPr>
                <w:rFonts w:hint="eastAsia" w:ascii="宋体" w:hAnsi="宋体" w:cs="Arial"/>
                <w:kern w:val="0"/>
                <w:sz w:val="20"/>
                <w:szCs w:val="20"/>
              </w:rPr>
              <w:t>，</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r>
              <w:rPr>
                <w:rFonts w:ascii="Times New Roman" w:hAnsi="Times New Roman"/>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444" w:type="dxa"/>
            <w:vMerge w:val="continue"/>
            <w:vAlign w:val="center"/>
          </w:tcPr>
          <w:p>
            <w:pPr>
              <w:widowControl/>
              <w:jc w:val="left"/>
              <w:rPr>
                <w:rFonts w:ascii="宋体" w:hAnsi="宋体" w:cs="Arial"/>
                <w:bCs/>
                <w:kern w:val="0"/>
                <w:sz w:val="20"/>
                <w:szCs w:val="20"/>
              </w:rPr>
            </w:pPr>
          </w:p>
        </w:tc>
        <w:tc>
          <w:tcPr>
            <w:tcW w:w="7958" w:type="dxa"/>
            <w:vMerge w:val="restart"/>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支持IP备份（光口备份、电口备份、光电口备份），备份切换不影响正在召开的会议，须提供CNAS认可的检测机构出具的测试报告证明。</w:t>
            </w:r>
          </w:p>
        </w:tc>
      </w:tr>
      <w:tr>
        <w:tblPrEx>
          <w:tblLayout w:type="fixed"/>
          <w:tblCellMar>
            <w:top w:w="0" w:type="dxa"/>
            <w:left w:w="108" w:type="dxa"/>
            <w:bottom w:w="0" w:type="dxa"/>
            <w:right w:w="108" w:type="dxa"/>
          </w:tblCellMar>
        </w:tblPrEx>
        <w:trPr>
          <w:trHeight w:val="312" w:hRule="atLeast"/>
        </w:trPr>
        <w:tc>
          <w:tcPr>
            <w:tcW w:w="1444" w:type="dxa"/>
            <w:vMerge w:val="continue"/>
            <w:vAlign w:val="center"/>
          </w:tcPr>
          <w:p>
            <w:pPr>
              <w:widowControl/>
              <w:jc w:val="left"/>
              <w:rPr>
                <w:rFonts w:ascii="宋体" w:hAnsi="宋体" w:cs="Arial"/>
                <w:bCs/>
                <w:kern w:val="0"/>
                <w:sz w:val="20"/>
                <w:szCs w:val="20"/>
              </w:rPr>
            </w:pPr>
          </w:p>
        </w:tc>
        <w:tc>
          <w:tcPr>
            <w:tcW w:w="7958" w:type="dxa"/>
            <w:vMerge w:val="continue"/>
            <w:vAlign w:val="center"/>
          </w:tcPr>
          <w:p>
            <w:pPr>
              <w:widowControl/>
              <w:jc w:val="left"/>
              <w:rPr>
                <w:rFonts w:ascii="宋体" w:hAnsi="宋体" w:cs="Arial"/>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支持至少</w:t>
            </w:r>
            <w:r>
              <w:rPr>
                <w:rFonts w:ascii="Times New Roman" w:hAnsi="Times New Roman"/>
                <w:kern w:val="0"/>
                <w:sz w:val="20"/>
                <w:szCs w:val="20"/>
              </w:rPr>
              <w:t>7</w:t>
            </w:r>
            <w:r>
              <w:rPr>
                <w:rFonts w:hint="eastAsia" w:ascii="宋体" w:hAnsi="宋体" w:cs="Arial"/>
                <w:kern w:val="0"/>
                <w:sz w:val="20"/>
                <w:szCs w:val="20"/>
              </w:rPr>
              <w:t>×</w:t>
            </w:r>
            <w:r>
              <w:rPr>
                <w:rFonts w:ascii="Times New Roman" w:hAnsi="Times New Roman"/>
                <w:kern w:val="0"/>
                <w:sz w:val="20"/>
                <w:szCs w:val="20"/>
              </w:rPr>
              <w:t>24</w:t>
            </w:r>
            <w:r>
              <w:rPr>
                <w:rFonts w:hint="eastAsia" w:ascii="宋体" w:hAnsi="宋体" w:cs="Arial"/>
                <w:kern w:val="0"/>
                <w:sz w:val="20"/>
                <w:szCs w:val="20"/>
              </w:rPr>
              <w:t>小时连续正常工作。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444"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会议功能要求</w:t>
            </w:r>
          </w:p>
        </w:tc>
        <w:tc>
          <w:tcPr>
            <w:tcW w:w="7958" w:type="dxa"/>
            <w:shd w:val="clear" w:color="000000" w:fill="FFFFFF"/>
            <w:vAlign w:val="center"/>
          </w:tcPr>
          <w:p>
            <w:pPr>
              <w:jc w:val="left"/>
              <w:rPr>
                <w:rFonts w:ascii="宋体" w:hAnsi="宋体" w:cs="Arial"/>
                <w:kern w:val="0"/>
                <w:sz w:val="20"/>
                <w:szCs w:val="20"/>
              </w:rPr>
            </w:pPr>
            <w:r>
              <w:rPr>
                <w:rFonts w:hint="eastAsia" w:ascii="宋体" w:hAnsi="宋体" w:cs="Arial"/>
                <w:kern w:val="0"/>
                <w:sz w:val="20"/>
                <w:szCs w:val="20"/>
              </w:rPr>
              <w:t>支持主叫呼集功能，实现从会场终端上发起多方会议，须提供CNAS认可的检测机构出具的测试报告证明。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支持虚拟会议室功能，系统可为个人用户独立分配虚拟会议室，无须平台预定即可召集多方会议；虚拟会议室没有会场加入时，不占用</w:t>
            </w:r>
            <w:r>
              <w:rPr>
                <w:rFonts w:ascii="Times New Roman" w:hAnsi="Times New Roman"/>
                <w:kern w:val="0"/>
                <w:sz w:val="20"/>
                <w:szCs w:val="20"/>
              </w:rPr>
              <w:t>MCU</w:t>
            </w:r>
            <w:r>
              <w:rPr>
                <w:rFonts w:hint="eastAsia" w:ascii="宋体" w:hAnsi="宋体" w:cs="Arial"/>
                <w:kern w:val="0"/>
                <w:sz w:val="20"/>
                <w:szCs w:val="20"/>
              </w:rPr>
              <w:t xml:space="preserve">端口资源。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支持单通道、多通道混合级联会议，最大支持不少于</w:t>
            </w:r>
            <w:r>
              <w:rPr>
                <w:rFonts w:ascii="Times New Roman" w:hAnsi="Times New Roman"/>
                <w:kern w:val="0"/>
                <w:sz w:val="20"/>
                <w:szCs w:val="20"/>
              </w:rPr>
              <w:t>5</w:t>
            </w:r>
            <w:r>
              <w:rPr>
                <w:rFonts w:hint="eastAsia" w:ascii="宋体" w:hAnsi="宋体" w:cs="Arial"/>
                <w:kern w:val="0"/>
                <w:sz w:val="20"/>
                <w:szCs w:val="20"/>
              </w:rPr>
              <w:t>级级联。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支持字幕叠加功能，实现SIP、H.323会场同时接入会议时，在多画面模式下均能收到全屏的字幕及横幅。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trPr>
        <w:tc>
          <w:tcPr>
            <w:tcW w:w="1444"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网络适应性要求</w:t>
            </w: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为降低网络带宽支出，以1M带宽实现4K30fps会议效果；以512Kbps带宽实现1080P60fps会议效果；以384Kbps带宽实现1080P30fps会议效果；以256Kbps带宽实现720P30fps会议效果，须提供CNAS认可的检测机构出具的测试报告证明。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20%</w:t>
            </w:r>
            <w:r>
              <w:rPr>
                <w:rFonts w:hint="eastAsia" w:ascii="宋体" w:hAnsi="宋体" w:cs="Arial"/>
                <w:kern w:val="0"/>
                <w:sz w:val="20"/>
                <w:szCs w:val="20"/>
              </w:rPr>
              <w:t>网络丢包下，语音清晰连续，视频清晰流畅，无卡顿、无马赛克；支持</w:t>
            </w:r>
            <w:r>
              <w:rPr>
                <w:rFonts w:ascii="Times New Roman" w:hAnsi="Times New Roman"/>
                <w:kern w:val="0"/>
                <w:sz w:val="20"/>
                <w:szCs w:val="20"/>
              </w:rPr>
              <w:t>30%</w:t>
            </w:r>
            <w:r>
              <w:rPr>
                <w:rFonts w:hint="eastAsia" w:ascii="宋体" w:hAnsi="宋体" w:cs="Arial"/>
                <w:kern w:val="0"/>
                <w:sz w:val="20"/>
                <w:szCs w:val="20"/>
              </w:rPr>
              <w:t>网络丢包下，语音清晰连续，视频清晰流畅，</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80%</w:t>
            </w:r>
            <w:r>
              <w:rPr>
                <w:rFonts w:hint="eastAsia" w:ascii="宋体" w:hAnsi="宋体" w:cs="Arial"/>
                <w:kern w:val="0"/>
                <w:sz w:val="20"/>
                <w:szCs w:val="20"/>
              </w:rPr>
              <w:t>网络丢包下，声音清晰，不影响会议正常进行，</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IPV4</w:t>
            </w:r>
            <w:r>
              <w:rPr>
                <w:rFonts w:hint="eastAsia" w:ascii="宋体" w:hAnsi="宋体" w:cs="Arial"/>
                <w:kern w:val="0"/>
                <w:sz w:val="20"/>
                <w:szCs w:val="20"/>
              </w:rPr>
              <w:t>和</w:t>
            </w:r>
            <w:r>
              <w:rPr>
                <w:rFonts w:ascii="Times New Roman" w:hAnsi="Times New Roman"/>
                <w:kern w:val="0"/>
                <w:sz w:val="20"/>
                <w:szCs w:val="20"/>
              </w:rPr>
              <w:t>IPV6</w:t>
            </w:r>
            <w:r>
              <w:rPr>
                <w:rFonts w:hint="eastAsia" w:ascii="宋体" w:hAnsi="宋体" w:cs="Arial"/>
                <w:kern w:val="0"/>
                <w:sz w:val="20"/>
                <w:szCs w:val="20"/>
              </w:rPr>
              <w:t>双协议栈。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444" w:type="dxa"/>
            <w:vMerge w:val="restart"/>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安全性要求</w:t>
            </w: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SIP(TLS/SRTP)</w:t>
            </w:r>
            <w:r>
              <w:rPr>
                <w:rFonts w:hint="eastAsia" w:ascii="宋体" w:hAnsi="宋体" w:cs="Arial"/>
                <w:kern w:val="0"/>
                <w:sz w:val="20"/>
                <w:szCs w:val="20"/>
              </w:rPr>
              <w:t>信令和媒体流加密、</w:t>
            </w:r>
            <w:r>
              <w:rPr>
                <w:rFonts w:ascii="宋体" w:hAnsi="宋体" w:cs="Arial"/>
                <w:kern w:val="0"/>
                <w:sz w:val="20"/>
                <w:szCs w:val="20"/>
              </w:rPr>
              <w:t>AES</w:t>
            </w:r>
            <w:r>
              <w:rPr>
                <w:rFonts w:hint="eastAsia" w:ascii="宋体" w:hAnsi="宋体" w:cs="Arial"/>
                <w:kern w:val="0"/>
                <w:sz w:val="20"/>
                <w:szCs w:val="20"/>
              </w:rPr>
              <w:t>加密算法、</w:t>
            </w:r>
            <w:r>
              <w:rPr>
                <w:rFonts w:ascii="宋体" w:hAnsi="宋体" w:cs="Arial"/>
                <w:kern w:val="0"/>
                <w:sz w:val="20"/>
                <w:szCs w:val="20"/>
              </w:rPr>
              <w:t>H.235</w:t>
            </w:r>
            <w:r>
              <w:rPr>
                <w:rFonts w:hint="eastAsia" w:ascii="宋体" w:hAnsi="宋体" w:cs="Arial"/>
                <w:kern w:val="0"/>
                <w:sz w:val="20"/>
                <w:szCs w:val="20"/>
              </w:rPr>
              <w:t>媒体流加密、</w:t>
            </w:r>
            <w:r>
              <w:rPr>
                <w:rFonts w:ascii="宋体" w:hAnsi="宋体" w:cs="Arial"/>
                <w:kern w:val="0"/>
                <w:sz w:val="20"/>
                <w:szCs w:val="20"/>
              </w:rPr>
              <w:t>H.235</w:t>
            </w:r>
            <w:r>
              <w:rPr>
                <w:rFonts w:hint="eastAsia" w:ascii="宋体" w:hAnsi="宋体" w:cs="Arial"/>
                <w:kern w:val="0"/>
                <w:sz w:val="20"/>
                <w:szCs w:val="20"/>
              </w:rPr>
              <w:t>认证和信令完整性校验，须提供</w:t>
            </w:r>
            <w:r>
              <w:rPr>
                <w:rFonts w:ascii="宋体" w:hAnsi="宋体" w:cs="Arial"/>
                <w:kern w:val="0"/>
                <w:sz w:val="20"/>
                <w:szCs w:val="20"/>
              </w:rPr>
              <w:t>CNAS</w:t>
            </w:r>
            <w:r>
              <w:rPr>
                <w:rFonts w:hint="eastAsia" w:ascii="宋体" w:hAnsi="宋体" w:cs="Arial"/>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444" w:type="dxa"/>
            <w:vMerge w:val="continue"/>
            <w:vAlign w:val="center"/>
          </w:tcPr>
          <w:p>
            <w:pPr>
              <w:widowControl/>
              <w:jc w:val="left"/>
              <w:rPr>
                <w:rFonts w:ascii="宋体" w:hAnsi="宋体" w:cs="Arial"/>
                <w:bCs/>
                <w:kern w:val="0"/>
                <w:sz w:val="20"/>
                <w:szCs w:val="20"/>
              </w:rPr>
            </w:pP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▲基于</w:t>
            </w:r>
            <w:r>
              <w:rPr>
                <w:rFonts w:ascii="宋体" w:hAnsi="宋体" w:cs="Arial"/>
                <w:kern w:val="0"/>
                <w:sz w:val="20"/>
                <w:szCs w:val="20"/>
              </w:rPr>
              <w:t>IPv4</w:t>
            </w:r>
            <w:r>
              <w:rPr>
                <w:rFonts w:hint="eastAsia" w:ascii="宋体" w:hAnsi="宋体" w:cs="Arial"/>
                <w:kern w:val="0"/>
                <w:sz w:val="20"/>
                <w:szCs w:val="20"/>
              </w:rPr>
              <w:t>和</w:t>
            </w:r>
            <w:r>
              <w:rPr>
                <w:rFonts w:ascii="宋体" w:hAnsi="宋体" w:cs="Arial"/>
                <w:kern w:val="0"/>
                <w:sz w:val="20"/>
                <w:szCs w:val="20"/>
              </w:rPr>
              <w:t>IPv6</w:t>
            </w:r>
            <w:r>
              <w:rPr>
                <w:rFonts w:hint="eastAsia" w:ascii="宋体" w:hAnsi="宋体" w:cs="Arial"/>
                <w:kern w:val="0"/>
                <w:sz w:val="20"/>
                <w:szCs w:val="20"/>
              </w:rPr>
              <w:t>，针对</w:t>
            </w:r>
            <w:r>
              <w:rPr>
                <w:rFonts w:ascii="宋体" w:hAnsi="宋体" w:cs="Arial"/>
                <w:kern w:val="0"/>
                <w:sz w:val="20"/>
                <w:szCs w:val="20"/>
              </w:rPr>
              <w:t>ARP</w:t>
            </w:r>
            <w:r>
              <w:rPr>
                <w:rFonts w:hint="eastAsia" w:ascii="宋体" w:hAnsi="宋体" w:cs="Arial"/>
                <w:kern w:val="0"/>
                <w:sz w:val="20"/>
                <w:szCs w:val="20"/>
              </w:rPr>
              <w:t>、</w:t>
            </w:r>
            <w:r>
              <w:rPr>
                <w:rFonts w:ascii="宋体" w:hAnsi="宋体" w:cs="Arial"/>
                <w:kern w:val="0"/>
                <w:sz w:val="20"/>
                <w:szCs w:val="20"/>
              </w:rPr>
              <w:t>IP</w:t>
            </w:r>
            <w:r>
              <w:rPr>
                <w:rFonts w:hint="eastAsia" w:ascii="宋体" w:hAnsi="宋体" w:cs="Arial"/>
                <w:kern w:val="0"/>
                <w:sz w:val="20"/>
                <w:szCs w:val="20"/>
              </w:rPr>
              <w:t>、</w:t>
            </w:r>
            <w:r>
              <w:rPr>
                <w:rFonts w:ascii="宋体" w:hAnsi="宋体" w:cs="Arial"/>
                <w:kern w:val="0"/>
                <w:sz w:val="20"/>
                <w:szCs w:val="20"/>
              </w:rPr>
              <w:t>ICMP</w:t>
            </w:r>
            <w:r>
              <w:rPr>
                <w:rFonts w:hint="eastAsia" w:ascii="宋体" w:hAnsi="宋体" w:cs="Arial"/>
                <w:kern w:val="0"/>
                <w:sz w:val="20"/>
                <w:szCs w:val="20"/>
              </w:rPr>
              <w:t>、</w:t>
            </w:r>
            <w:r>
              <w:rPr>
                <w:rFonts w:ascii="宋体" w:hAnsi="宋体" w:cs="Arial"/>
                <w:kern w:val="0"/>
                <w:sz w:val="20"/>
                <w:szCs w:val="20"/>
              </w:rPr>
              <w:t>TCP</w:t>
            </w:r>
            <w:r>
              <w:rPr>
                <w:rFonts w:hint="eastAsia" w:ascii="宋体" w:hAnsi="宋体" w:cs="Arial"/>
                <w:kern w:val="0"/>
                <w:sz w:val="20"/>
                <w:szCs w:val="20"/>
              </w:rPr>
              <w:t>、</w:t>
            </w:r>
            <w:r>
              <w:rPr>
                <w:rFonts w:ascii="宋体" w:hAnsi="宋体" w:cs="Arial"/>
                <w:kern w:val="0"/>
                <w:sz w:val="20"/>
                <w:szCs w:val="20"/>
              </w:rPr>
              <w:t>UDP</w:t>
            </w:r>
            <w:r>
              <w:rPr>
                <w:rFonts w:hint="eastAsia" w:ascii="宋体" w:hAnsi="宋体" w:cs="Arial"/>
                <w:kern w:val="0"/>
                <w:sz w:val="20"/>
                <w:szCs w:val="20"/>
              </w:rPr>
              <w:t>、</w:t>
            </w:r>
            <w:r>
              <w:rPr>
                <w:rFonts w:ascii="宋体" w:hAnsi="宋体" w:cs="Arial"/>
                <w:kern w:val="0"/>
                <w:sz w:val="20"/>
                <w:szCs w:val="20"/>
              </w:rPr>
              <w:t>DHCP</w:t>
            </w:r>
            <w:r>
              <w:rPr>
                <w:rFonts w:hint="eastAsia" w:ascii="宋体" w:hAnsi="宋体" w:cs="Arial"/>
                <w:kern w:val="0"/>
                <w:sz w:val="20"/>
                <w:szCs w:val="20"/>
              </w:rPr>
              <w:t>、</w:t>
            </w:r>
            <w:r>
              <w:rPr>
                <w:rFonts w:ascii="宋体" w:hAnsi="宋体" w:cs="Arial"/>
                <w:kern w:val="0"/>
                <w:sz w:val="20"/>
                <w:szCs w:val="20"/>
              </w:rPr>
              <w:t>RTP/RTCP</w:t>
            </w:r>
            <w:r>
              <w:rPr>
                <w:rFonts w:hint="eastAsia" w:ascii="宋体" w:hAnsi="宋体" w:cs="Arial"/>
                <w:kern w:val="0"/>
                <w:sz w:val="20"/>
                <w:szCs w:val="20"/>
              </w:rPr>
              <w:t>等网络攻击时，设备管理协议暂停使用，并产生告警提示；攻击停止后，可自动恢复至被攻击前状态，</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4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认证指标</w:t>
            </w:r>
          </w:p>
        </w:tc>
        <w:tc>
          <w:tcPr>
            <w:tcW w:w="7958"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须提供所投设备的电信入网证、</w:t>
            </w:r>
            <w:r>
              <w:rPr>
                <w:rFonts w:ascii="Times New Roman" w:hAnsi="Times New Roman"/>
                <w:kern w:val="0"/>
                <w:sz w:val="20"/>
                <w:szCs w:val="20"/>
              </w:rPr>
              <w:t>CCC</w:t>
            </w:r>
            <w:r>
              <w:rPr>
                <w:rFonts w:hint="eastAsia" w:ascii="宋体" w:hAnsi="宋体" w:cs="Arial"/>
                <w:kern w:val="0"/>
                <w:sz w:val="20"/>
                <w:szCs w:val="20"/>
              </w:rPr>
              <w:t>证书。</w:t>
            </w:r>
          </w:p>
        </w:tc>
      </w:tr>
    </w:tbl>
    <w:p/>
    <w:p>
      <w:pPr>
        <w:pStyle w:val="141"/>
        <w:numPr>
          <w:ilvl w:val="3"/>
          <w:numId w:val="7"/>
        </w:numPr>
        <w:tabs>
          <w:tab w:val="clear" w:pos="851"/>
        </w:tabs>
        <w:outlineLvl w:val="4"/>
        <w:rPr>
          <w:rFonts w:ascii="宋体" w:hAnsi="宋体" w:eastAsia="宋体" w:cs="宋体"/>
          <w:color w:val="auto"/>
          <w:sz w:val="24"/>
          <w:szCs w:val="24"/>
        </w:rPr>
      </w:pPr>
      <w:bookmarkStart w:id="127" w:name="_Toc46241993"/>
      <w:r>
        <w:rPr>
          <w:rFonts w:hint="eastAsia" w:ascii="宋体" w:hAnsi="宋体" w:eastAsia="宋体" w:cs="宋体"/>
          <w:color w:val="auto"/>
          <w:sz w:val="24"/>
          <w:szCs w:val="24"/>
        </w:rPr>
        <w:t>视频云平台</w:t>
      </w:r>
      <w:bookmarkEnd w:id="127"/>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7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9"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指标项</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指</w:t>
            </w:r>
            <w:r>
              <w:rPr>
                <w:rFonts w:ascii="宋体" w:hAnsi="宋体" w:cs="Arial"/>
                <w:bCs/>
                <w:kern w:val="0"/>
                <w:sz w:val="20"/>
                <w:szCs w:val="20"/>
              </w:rPr>
              <w:t xml:space="preserve"> </w:t>
            </w:r>
            <w:r>
              <w:rPr>
                <w:rFonts w:hint="eastAsia" w:ascii="宋体" w:hAnsi="宋体" w:cs="Arial"/>
                <w:bCs/>
                <w:kern w:val="0"/>
                <w:sz w:val="20"/>
                <w:szCs w:val="20"/>
              </w:rPr>
              <w:t>标</w:t>
            </w:r>
            <w:r>
              <w:rPr>
                <w:rFonts w:ascii="宋体" w:hAnsi="宋体" w:cs="Arial"/>
                <w:bCs/>
                <w:kern w:val="0"/>
                <w:sz w:val="20"/>
                <w:szCs w:val="20"/>
              </w:rPr>
              <w:t xml:space="preserve"> </w:t>
            </w:r>
            <w:r>
              <w:rPr>
                <w:rFonts w:hint="eastAsia" w:ascii="宋体" w:hAnsi="宋体" w:cs="Arial"/>
                <w:bCs/>
                <w:kern w:val="0"/>
                <w:sz w:val="20"/>
                <w:szCs w:val="20"/>
              </w:rPr>
              <w:t>要</w:t>
            </w:r>
            <w:r>
              <w:rPr>
                <w:rFonts w:ascii="宋体" w:hAnsi="宋体" w:cs="Arial"/>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1459"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云化</w:t>
            </w:r>
          </w:p>
          <w:p>
            <w:pPr>
              <w:widowControl/>
              <w:jc w:val="left"/>
              <w:rPr>
                <w:rFonts w:ascii="宋体" w:hAnsi="宋体" w:cs="Arial"/>
                <w:bCs/>
                <w:kern w:val="0"/>
                <w:sz w:val="20"/>
                <w:szCs w:val="20"/>
              </w:rPr>
            </w:pPr>
            <w:r>
              <w:rPr>
                <w:rFonts w:hint="eastAsia" w:ascii="宋体" w:hAnsi="宋体" w:cs="Arial"/>
                <w:bCs/>
                <w:kern w:val="0"/>
                <w:sz w:val="20"/>
                <w:szCs w:val="20"/>
              </w:rPr>
              <w:t>架构</w:t>
            </w:r>
          </w:p>
        </w:tc>
        <w:tc>
          <w:tcPr>
            <w:tcW w:w="7943" w:type="dxa"/>
            <w:shd w:val="clear" w:color="auto" w:fill="auto"/>
            <w:vAlign w:val="center"/>
          </w:tcPr>
          <w:p>
            <w:pPr>
              <w:widowControl/>
              <w:spacing w:line="280" w:lineRule="exact"/>
              <w:contextualSpacing/>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▲硬件资源按照计算资源、存储资源、网络资源分类，业务应用部署在容器上</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kern w:val="0"/>
                <w:szCs w:val="21"/>
              </w:rPr>
              <w:t>在一台实体服务器虚拟化后的多台逻辑服务器上，支持部署不同功能以及数量的存储、转发服务模块；不同容器业务隔离，并</w:t>
            </w:r>
            <w:r>
              <w:rPr>
                <w:rFonts w:hint="eastAsia" w:asciiTheme="minorEastAsia" w:hAnsiTheme="minorEastAsia" w:eastAsiaTheme="minorEastAsia" w:cstheme="minorEastAsia"/>
                <w:szCs w:val="21"/>
              </w:rPr>
              <w:t>提供独立的虚拟的操作系统运行环境和接口，容器内业务进程不占用系统内存；</w:t>
            </w:r>
          </w:p>
          <w:p>
            <w:pPr>
              <w:widowControl/>
              <w:jc w:val="left"/>
              <w:rPr>
                <w:rFonts w:ascii="宋体" w:hAnsi="宋体" w:cs="Arial"/>
                <w:bCs/>
                <w:kern w:val="0"/>
                <w:sz w:val="20"/>
                <w:szCs w:val="20"/>
              </w:rPr>
            </w:pPr>
            <w:r>
              <w:rPr>
                <w:rFonts w:hint="eastAsia" w:asciiTheme="minorEastAsia" w:hAnsiTheme="minorEastAsia" w:eastAsiaTheme="minorEastAsia" w:cstheme="minorEastAsia"/>
                <w:szCs w:val="21"/>
              </w:rPr>
              <w:t>（以上</w:t>
            </w:r>
            <w:r>
              <w:rPr>
                <w:rFonts w:hint="eastAsia" w:asciiTheme="minorEastAsia" w:hAnsiTheme="minorEastAsia"/>
                <w:szCs w:val="21"/>
              </w:rPr>
              <w:t>要求提供第三方权威检验机构出具的检验检测报告</w:t>
            </w:r>
            <w:r>
              <w:rPr>
                <w:rStyle w:val="152"/>
                <w:rFonts w:hint="default" w:asciiTheme="minorEastAsia" w:hAnsiTheme="minorEastAsia" w:eastAsiaTheme="minorEastAsia" w:cstheme="minorEastAsia"/>
                <w:color w:val="auto"/>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1459" w:type="dxa"/>
            <w:vMerge w:val="restart"/>
            <w:shd w:val="clear" w:color="auto" w:fill="auto"/>
            <w:vAlign w:val="center"/>
          </w:tcPr>
          <w:p>
            <w:pPr>
              <w:jc w:val="left"/>
              <w:rPr>
                <w:rFonts w:ascii="宋体" w:hAnsi="宋体" w:cs="Arial"/>
                <w:bCs/>
                <w:kern w:val="0"/>
                <w:sz w:val="20"/>
                <w:szCs w:val="20"/>
              </w:rPr>
            </w:pPr>
            <w:r>
              <w:rPr>
                <w:rFonts w:hint="eastAsia" w:ascii="宋体" w:hAnsi="宋体" w:cs="Arial"/>
                <w:bCs/>
                <w:kern w:val="0"/>
                <w:sz w:val="20"/>
                <w:szCs w:val="20"/>
              </w:rPr>
              <w:t>平台开放要求</w:t>
            </w:r>
          </w:p>
        </w:tc>
        <w:tc>
          <w:tcPr>
            <w:tcW w:w="7943" w:type="dxa"/>
            <w:shd w:val="clear" w:color="auto" w:fill="auto"/>
            <w:vAlign w:val="center"/>
          </w:tcPr>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a）平台应支持通过GB/T 28181-2016或ONVIF协议与现网下级域视频后端设备/平台进行对接，将监测站点视频监控资源（摄像机等前端）向视频云平台推送，应不遗漏视频资源；</w:t>
            </w:r>
          </w:p>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b）平台应具备统一的用户管理能力，用户权限管理机制应符合全省统一的用户验证规定，联网摄像头接入平台应具备满足“一机一档”的数据共享能力；</w:t>
            </w:r>
          </w:p>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c）平台应从能耗、空间和大并发性能角度考虑，扩容能统一管理，在使用操作上仍需表现为一个平台，无需切换登录，如由于平台的更替或升级造成接口变更，并导致与上级视频联网共享平台无法正常连接，应为上级视频联网共享平台预留接口定制开发；</w:t>
            </w:r>
          </w:p>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d）平台应预留接口共享给同级其他部门，包括客户端和平台两种模式；</w:t>
            </w:r>
          </w:p>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e）设备维护机制：平台应具备基本的维护功能，包括但不限于资产管理、报表管理、故障管理、设备运行管理、视频质量管理、异常告警管理和录像巡检等。</w:t>
            </w:r>
          </w:p>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f) 平台应具备视频并发转发能力，保障平台可调阅实时视频或回放录像。</w:t>
            </w:r>
          </w:p>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g) 平台应支持智能协同架构，可支持域间分析、检索、布控任务的创建，数据的订阅推送，算法的核准管理等，最终实现全局资源共享、中心可管可控、实战业务拉通。</w:t>
            </w:r>
          </w:p>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h) 平台应支持端云协同智能分析，可支持前端摄像机将抓拍图片或识别图片数据发送到后端视频云上，通过云上二次算法处理，达到对生态监测更精准的智能化分析处理。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1459" w:type="dxa"/>
            <w:vMerge w:val="continue"/>
            <w:shd w:val="clear" w:color="auto" w:fill="auto"/>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投标人提供视频云平台的标准和接口协议必须通过第三方测评单位接口开放测评，确保视频云平台满足生态环境监测网络视频设备接入、平台整合、统一运维要求；第三方接口开放测评费用由投标供应商支付。（提供承诺函，格式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1459" w:type="dxa"/>
            <w:vMerge w:val="continue"/>
            <w:shd w:val="clear" w:color="auto" w:fill="auto"/>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spacing w:line="280" w:lineRule="exact"/>
              <w:contextualSpacing/>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支持开放接口，支持第三方算法集成；具有liunx版本SDK接口供ISV集成配置功能，包括实时浏览、云镜控制、录像检索回放、备份、告警、语音对讲、录像下载、抓拍等业务功能；提供第三方权威检验机构出具的检验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59"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功能要求</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支持通过现有监控前端与监控融合平台对接，实现前端监控融进视频会商系统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9" w:hRule="atLeast"/>
        </w:trPr>
        <w:tc>
          <w:tcPr>
            <w:tcW w:w="145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对接平台</w:t>
            </w:r>
          </w:p>
          <w:p>
            <w:pPr>
              <w:widowControl/>
              <w:jc w:val="center"/>
              <w:rPr>
                <w:rFonts w:ascii="宋体" w:hAnsi="宋体" w:cs="Arial"/>
                <w:bCs/>
                <w:kern w:val="0"/>
                <w:sz w:val="20"/>
                <w:szCs w:val="20"/>
              </w:rPr>
            </w:pPr>
            <w:r>
              <w:rPr>
                <w:rFonts w:hint="eastAsia" w:ascii="宋体" w:hAnsi="宋体" w:cs="Arial"/>
                <w:bCs/>
                <w:kern w:val="0"/>
                <w:sz w:val="20"/>
                <w:szCs w:val="20"/>
              </w:rPr>
              <w:t>要求</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支持对接视频会商系统，实现监控系统和会商系统融合。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59" w:type="dxa"/>
            <w:vMerge w:val="continue"/>
            <w:shd w:val="clear" w:color="auto" w:fill="auto"/>
            <w:vAlign w:val="center"/>
          </w:tcPr>
          <w:p>
            <w:pPr>
              <w:widowControl/>
              <w:jc w:val="center"/>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支持与前端摄像头对接，实现资源的接入。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59"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多业务灵活组合</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支持视频图片接入、存储、转发等多业务组合运用；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59"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统一安装部署</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支持通过视频云平台统一对系统进行安装部署；支持安装部署失败后进行回滚；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59"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统一升级/补丁</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支持统一对系统进行手工上传软件包，手动/自动升级/补丁；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459"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统一运维</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支持通过Web进行系统的集中配置和管理支持通过网管软件进行告警上报、性能报告统计、拓扑呈现；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459" w:type="dxa"/>
            <w:vMerge w:val="restart"/>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平台性能</w:t>
            </w: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配置至少两颗64位八核处理器，主频应不低于2.0GHz，缓存应不低于11MB，</w:t>
            </w:r>
            <w:r>
              <w:rPr>
                <w:rFonts w:hint="eastAsia" w:asciiTheme="minorEastAsia" w:hAnsiTheme="minorEastAsia"/>
                <w:szCs w:val="21"/>
              </w:rPr>
              <w:t>提供第三方权威检验机构出具的检验检测报告</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内存配置不低于48GB，采用DDR4、2666MHZ及以上规格，支持内存扩展，系统可提供内存插槽≥24个，可组成≥12个DDR4高速通道；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支持硬盘缓启动功能，避免上电时对机柜供电的大电流冲击；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支持SATA、SAS硬盘混插，支持硬盘热插拔及在线更换故障硬盘，</w:t>
            </w:r>
            <w:r>
              <w:rPr>
                <w:rFonts w:hint="eastAsia" w:asciiTheme="minorEastAsia" w:hAnsiTheme="minorEastAsia"/>
                <w:szCs w:val="21"/>
              </w:rPr>
              <w:t>提供第三方权威检验机构出具的检验检测报告</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本次配置存储容量不少于2</w:t>
            </w:r>
            <w:r>
              <w:rPr>
                <w:rFonts w:ascii="宋体" w:hAnsi="宋体" w:cs="Arial"/>
                <w:bCs/>
                <w:kern w:val="0"/>
                <w:sz w:val="20"/>
                <w:szCs w:val="20"/>
              </w:rPr>
              <w:t>0个</w:t>
            </w:r>
            <w:r>
              <w:rPr>
                <w:rFonts w:hint="eastAsia" w:ascii="宋体" w:hAnsi="宋体" w:cs="Arial"/>
                <w:bCs/>
                <w:kern w:val="0"/>
                <w:sz w:val="20"/>
                <w:szCs w:val="20"/>
              </w:rPr>
              <w:t>1</w:t>
            </w:r>
            <w:r>
              <w:rPr>
                <w:rFonts w:ascii="宋体" w:hAnsi="宋体" w:cs="Arial"/>
                <w:bCs/>
                <w:kern w:val="0"/>
                <w:sz w:val="20"/>
                <w:szCs w:val="20"/>
              </w:rPr>
              <w:t>0TB 硬盘</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配置不低于2个GE网卡和2个10GE网卡；可扩展两口GE/10GE；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Theme="minorEastAsia" w:hAnsiTheme="minorEastAsia"/>
                <w:szCs w:val="21"/>
              </w:rPr>
              <w:t>配置</w:t>
            </w:r>
            <w:r>
              <w:rPr>
                <w:rFonts w:asciiTheme="minorEastAsia" w:hAnsiTheme="minorEastAsia"/>
                <w:szCs w:val="21"/>
              </w:rPr>
              <w:t>独立</w:t>
            </w:r>
            <w:r>
              <w:rPr>
                <w:rFonts w:hint="eastAsia" w:asciiTheme="minorEastAsia" w:hAnsiTheme="minorEastAsia"/>
                <w:szCs w:val="21"/>
              </w:rPr>
              <w:t>RAID卡</w:t>
            </w:r>
            <w:r>
              <w:rPr>
                <w:rFonts w:asciiTheme="minorEastAsia" w:hAnsiTheme="minorEastAsia"/>
                <w:szCs w:val="21"/>
              </w:rPr>
              <w:t>，支持</w:t>
            </w:r>
            <w:r>
              <w:rPr>
                <w:rFonts w:hint="eastAsia" w:asciiTheme="minorEastAsia" w:hAnsiTheme="minorEastAsia"/>
                <w:szCs w:val="21"/>
              </w:rPr>
              <w:t>RAID</w:t>
            </w:r>
            <w:r>
              <w:rPr>
                <w:rFonts w:asciiTheme="minorEastAsia" w:hAnsiTheme="minorEastAsia"/>
                <w:szCs w:val="21"/>
              </w:rPr>
              <w:t>0/1</w:t>
            </w:r>
            <w:r>
              <w:rPr>
                <w:rFonts w:hint="eastAsia" w:asciiTheme="minorEastAsia" w:hAnsiTheme="minorEastAsia"/>
                <w:szCs w:val="21"/>
              </w:rPr>
              <w:t>/1</w:t>
            </w:r>
            <w:r>
              <w:rPr>
                <w:rFonts w:asciiTheme="minorEastAsia" w:hAnsi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支持4个独立的风扇，支持单风扇失效；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电源模块支持1+1冗余备份，支持独立维护；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可同时支持存储：&gt;=2048Mbps，转发：&gt;=1024Mbps，录像下载：&gt;=1024Mbps，</w:t>
            </w:r>
            <w:r>
              <w:rPr>
                <w:rFonts w:hint="eastAsia" w:asciiTheme="minorEastAsia" w:hAnsiTheme="minorEastAsia"/>
                <w:szCs w:val="21"/>
              </w:rPr>
              <w:t>提供第三方权威检验机构出具的检验检测报告</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单纯转发业务时，单台接入摄像机4000路，转发：&gt;=1024路或&gt;=2048Mbps；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支持视频流和图片流直存，无需额外接入单独的转发服务器，</w:t>
            </w:r>
            <w:r>
              <w:rPr>
                <w:rFonts w:hint="eastAsia" w:asciiTheme="minorEastAsia" w:hAnsiTheme="minorEastAsia"/>
                <w:szCs w:val="21"/>
              </w:rPr>
              <w:t>提供第三方权威检验机构出具的检验检测报告</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监控系统平台单域支持5000个用户注册，支持2000个用户同时登陆，支持200个用户同时操作；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支持不少于4路的人脸检测和人脸识别功能。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 w:hRule="atLeast"/>
        </w:trPr>
        <w:tc>
          <w:tcPr>
            <w:tcW w:w="1459" w:type="dxa"/>
            <w:vMerge w:val="continue"/>
            <w:vAlign w:val="center"/>
          </w:tcPr>
          <w:p>
            <w:pPr>
              <w:widowControl/>
              <w:jc w:val="left"/>
              <w:rPr>
                <w:rFonts w:ascii="宋体" w:hAnsi="宋体" w:cs="Arial"/>
                <w:bCs/>
                <w:kern w:val="0"/>
                <w:sz w:val="20"/>
                <w:szCs w:val="20"/>
              </w:rPr>
            </w:pPr>
          </w:p>
        </w:tc>
        <w:tc>
          <w:tcPr>
            <w:tcW w:w="7943"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▲支持清晰度异常、视频雪花干扰、亮度异常、视频偏色、视频条纹干扰、视频画面冻结、视频画面抖动、摄像机遮挡、视频信号丢失诊断，</w:t>
            </w:r>
            <w:r>
              <w:rPr>
                <w:rFonts w:hint="eastAsia" w:asciiTheme="minorEastAsia" w:hAnsiTheme="minorEastAsia"/>
                <w:szCs w:val="21"/>
              </w:rPr>
              <w:t>提供第三方权威检验机构出具的检验检测报告。</w:t>
            </w:r>
          </w:p>
        </w:tc>
      </w:tr>
    </w:tbl>
    <w:p/>
    <w:p>
      <w:pPr>
        <w:pStyle w:val="141"/>
        <w:numPr>
          <w:ilvl w:val="3"/>
          <w:numId w:val="7"/>
        </w:numPr>
        <w:tabs>
          <w:tab w:val="clear" w:pos="851"/>
        </w:tabs>
        <w:outlineLvl w:val="4"/>
        <w:rPr>
          <w:rFonts w:ascii="宋体" w:hAnsi="宋体" w:eastAsia="宋体" w:cs="宋体"/>
          <w:color w:val="auto"/>
          <w:sz w:val="24"/>
          <w:szCs w:val="24"/>
        </w:rPr>
      </w:pPr>
      <w:bookmarkStart w:id="128" w:name="_Toc46241994"/>
      <w:r>
        <w:rPr>
          <w:rFonts w:hint="eastAsia" w:ascii="宋体" w:hAnsi="宋体" w:eastAsia="宋体" w:cs="宋体"/>
          <w:color w:val="auto"/>
          <w:sz w:val="24"/>
          <w:szCs w:val="24"/>
        </w:rPr>
        <w:t>协议转换网关</w:t>
      </w:r>
      <w:bookmarkEnd w:id="128"/>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7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54" w:type="dxa"/>
            <w:shd w:val="clear" w:color="000000" w:fill="C6E0B4"/>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48" w:type="dxa"/>
            <w:shd w:val="clear" w:color="000000" w:fill="C6E0B4"/>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操作系统支持情况</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支持Windows、Linux双操作系统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芯片支持情况</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支持X86、Arm双芯片架构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7"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设备接入能力</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支持国内主流视频监控厂商设备的私有协议设备SDK接入能力，同时支持行业标准ONVIF、GB\T28181、RTSP协议接入能力。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流媒体转发</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支持流直存方式，单服务支持不少于100路视频的汇聚、存储转发与录像点播，存储与转发一体，如果要求流媒体单转发可支持800路。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平台架构</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平台以C/S架构为基础，提供实时视频、录像回放、报警提醒等功能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存储介质支持</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支持目前市场上各种存储系统，包括DAS、NAS、IP-SAN、FC-SAN、OBS等，且多类存储介质可以在同一管理平台下共存。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存储管理</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媒体流直存及转存功能，支持基于视频序列的结构化数据存储引擎，将流模式的视频数据进行结构化抽象，以视频序列(或者视频块)的方式进行存储和检索，从而达到更有效的管理视频数据的目的；支持本地存储、云存储、云与本地混存的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资质证书</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平台支持GB/T 28181-2016《安全防范视频监控联网系统信息传输、交换、控制技术要求》，并通过了国家权威检测机构的检验检测，需提供相应证明文件。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54"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互联网网关接入</w:t>
            </w:r>
          </w:p>
        </w:tc>
        <w:tc>
          <w:tcPr>
            <w:tcW w:w="7948" w:type="dxa"/>
            <w:shd w:val="clear" w:color="auto" w:fill="auto"/>
            <w:vAlign w:val="center"/>
          </w:tcPr>
          <w:p>
            <w:pPr>
              <w:widowControl/>
              <w:jc w:val="left"/>
              <w:rPr>
                <w:rFonts w:ascii="宋体" w:hAnsi="宋体" w:cs="Arial"/>
                <w:bCs/>
                <w:kern w:val="0"/>
                <w:sz w:val="20"/>
                <w:szCs w:val="20"/>
              </w:rPr>
            </w:pPr>
            <w:r>
              <w:rPr>
                <w:rFonts w:hint="eastAsia" w:ascii="宋体" w:hAnsi="宋体" w:cs="Arial"/>
                <w:bCs/>
                <w:kern w:val="0"/>
                <w:sz w:val="20"/>
                <w:szCs w:val="20"/>
              </w:rPr>
              <w:t>支持局域网内互联网边缘网关接入，接入后可实现视频浏览、录像存储等</w:t>
            </w:r>
          </w:p>
        </w:tc>
      </w:tr>
    </w:tbl>
    <w:p/>
    <w:p>
      <w:pPr>
        <w:pStyle w:val="141"/>
        <w:numPr>
          <w:ilvl w:val="3"/>
          <w:numId w:val="7"/>
        </w:numPr>
        <w:tabs>
          <w:tab w:val="clear" w:pos="851"/>
        </w:tabs>
        <w:outlineLvl w:val="4"/>
        <w:rPr>
          <w:rFonts w:ascii="宋体" w:hAnsi="宋体" w:eastAsia="宋体" w:cs="宋体"/>
          <w:color w:val="auto"/>
          <w:sz w:val="24"/>
          <w:szCs w:val="24"/>
        </w:rPr>
      </w:pPr>
      <w:bookmarkStart w:id="129" w:name="_Toc46241995"/>
      <w:r>
        <w:rPr>
          <w:rFonts w:hint="eastAsia" w:ascii="宋体" w:hAnsi="宋体" w:eastAsia="宋体" w:cs="宋体"/>
          <w:color w:val="auto"/>
          <w:sz w:val="24"/>
          <w:szCs w:val="24"/>
        </w:rPr>
        <w:t>监控融合平台</w:t>
      </w:r>
      <w:bookmarkEnd w:id="129"/>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7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2" w:type="dxa"/>
            <w:shd w:val="clear" w:color="000000" w:fill="FFFFFF"/>
            <w:vAlign w:val="center"/>
          </w:tcPr>
          <w:p>
            <w:pPr>
              <w:widowControl/>
              <w:jc w:val="center"/>
              <w:rPr>
                <w:rFonts w:ascii="宋体" w:hAnsi="宋体" w:cs="Arial"/>
                <w:b/>
                <w:kern w:val="0"/>
                <w:sz w:val="20"/>
                <w:szCs w:val="20"/>
              </w:rPr>
            </w:pPr>
            <w:r>
              <w:rPr>
                <w:rFonts w:hint="eastAsia" w:ascii="宋体" w:hAnsi="宋体" w:cs="Arial"/>
                <w:b/>
                <w:kern w:val="0"/>
                <w:sz w:val="20"/>
                <w:szCs w:val="20"/>
              </w:rPr>
              <w:t>指标项</w:t>
            </w:r>
          </w:p>
        </w:tc>
        <w:tc>
          <w:tcPr>
            <w:tcW w:w="7760" w:type="dxa"/>
            <w:shd w:val="clear" w:color="000000" w:fill="FFFFFF"/>
            <w:vAlign w:val="center"/>
          </w:tcPr>
          <w:p>
            <w:pPr>
              <w:widowControl/>
              <w:jc w:val="center"/>
              <w:rPr>
                <w:rFonts w:ascii="宋体" w:hAnsi="宋体" w:cs="Arial"/>
                <w:b/>
                <w:kern w:val="0"/>
                <w:sz w:val="20"/>
                <w:szCs w:val="20"/>
              </w:rPr>
            </w:pPr>
            <w:r>
              <w:rPr>
                <w:rFonts w:hint="eastAsia" w:ascii="宋体" w:hAnsi="宋体" w:cs="Arial"/>
                <w:b/>
                <w:kern w:val="0"/>
                <w:sz w:val="20"/>
                <w:szCs w:val="20"/>
              </w:rPr>
              <w:t>指</w:t>
            </w:r>
            <w:r>
              <w:rPr>
                <w:rFonts w:ascii="Times New Roman" w:hAnsi="Times New Roman"/>
                <w:b/>
                <w:kern w:val="0"/>
                <w:sz w:val="20"/>
                <w:szCs w:val="20"/>
              </w:rPr>
              <w:t xml:space="preserve"> </w:t>
            </w:r>
            <w:r>
              <w:rPr>
                <w:rFonts w:hint="eastAsia" w:ascii="宋体" w:hAnsi="宋体" w:cs="Arial"/>
                <w:b/>
                <w:kern w:val="0"/>
                <w:sz w:val="20"/>
                <w:szCs w:val="20"/>
              </w:rPr>
              <w:t>标</w:t>
            </w:r>
            <w:r>
              <w:rPr>
                <w:rFonts w:ascii="Times New Roman" w:hAnsi="Times New Roman"/>
                <w:b/>
                <w:kern w:val="0"/>
                <w:sz w:val="20"/>
                <w:szCs w:val="20"/>
              </w:rPr>
              <w:t xml:space="preserve"> </w:t>
            </w:r>
            <w:r>
              <w:rPr>
                <w:rFonts w:hint="eastAsia" w:ascii="宋体" w:hAnsi="宋体" w:cs="Arial"/>
                <w:b/>
                <w:kern w:val="0"/>
                <w:sz w:val="20"/>
                <w:szCs w:val="20"/>
              </w:rPr>
              <w:t>要</w:t>
            </w:r>
            <w:r>
              <w:rPr>
                <w:rFonts w:ascii="Times New Roman" w:hAnsi="Times New Roman"/>
                <w:b/>
                <w:kern w:val="0"/>
                <w:sz w:val="20"/>
                <w:szCs w:val="20"/>
              </w:rPr>
              <w:t xml:space="preserve"> </w:t>
            </w:r>
            <w:r>
              <w:rPr>
                <w:rFonts w:hint="eastAsia" w:ascii="宋体" w:hAnsi="宋体" w:cs="Arial"/>
                <w:b/>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2" w:type="dxa"/>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总体要求</w:t>
            </w:r>
          </w:p>
        </w:tc>
        <w:tc>
          <w:tcPr>
            <w:tcW w:w="7760"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须与视频联接平台（MCU）同一品牌。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2"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技术要求</w:t>
            </w:r>
          </w:p>
        </w:tc>
        <w:tc>
          <w:tcPr>
            <w:tcW w:w="7760"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支持基于</w:t>
            </w:r>
            <w:r>
              <w:rPr>
                <w:rFonts w:ascii="Times New Roman" w:hAnsi="Times New Roman"/>
                <w:kern w:val="0"/>
                <w:sz w:val="20"/>
                <w:szCs w:val="20"/>
              </w:rPr>
              <w:t>GB/T.28181</w:t>
            </w:r>
            <w:r>
              <w:rPr>
                <w:rFonts w:hint="eastAsia" w:ascii="宋体" w:hAnsi="宋体" w:cs="Arial"/>
                <w:kern w:val="0"/>
                <w:sz w:val="20"/>
                <w:szCs w:val="20"/>
              </w:rPr>
              <w:t>协议与视频监控平台融合互通，实现</w:t>
            </w:r>
            <w:r>
              <w:rPr>
                <w:rFonts w:ascii="宋体" w:hAnsi="宋体" w:cs="Arial"/>
                <w:kern w:val="0"/>
                <w:sz w:val="20"/>
                <w:szCs w:val="20"/>
              </w:rPr>
              <w:t>车</w:t>
            </w:r>
            <w:r>
              <w:rPr>
                <w:rFonts w:hint="eastAsia" w:ascii="宋体" w:hAnsi="宋体" w:cs="Arial"/>
                <w:kern w:val="0"/>
                <w:sz w:val="20"/>
                <w:szCs w:val="20"/>
              </w:rPr>
              <w:t>载监控、监控探头、单兵、无人机、布控球等视频监控资源融合接入。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42" w:type="dxa"/>
            <w:vMerge w:val="continue"/>
            <w:vAlign w:val="center"/>
          </w:tcPr>
          <w:p>
            <w:pPr>
              <w:widowControl/>
              <w:jc w:val="left"/>
              <w:rPr>
                <w:rFonts w:ascii="宋体" w:hAnsi="宋体" w:cs="Arial"/>
                <w:bCs/>
                <w:kern w:val="0"/>
                <w:sz w:val="20"/>
                <w:szCs w:val="20"/>
              </w:rPr>
            </w:pPr>
          </w:p>
        </w:tc>
        <w:tc>
          <w:tcPr>
            <w:tcW w:w="7760"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H.264 BP</w:t>
            </w:r>
            <w:r>
              <w:rPr>
                <w:rFonts w:hint="eastAsia" w:ascii="宋体" w:hAnsi="宋体" w:cs="Arial"/>
                <w:kern w:val="0"/>
                <w:sz w:val="20"/>
                <w:szCs w:val="20"/>
              </w:rPr>
              <w:t>、</w:t>
            </w:r>
            <w:r>
              <w:rPr>
                <w:rFonts w:ascii="Times New Roman" w:hAnsi="Times New Roman"/>
                <w:kern w:val="0"/>
                <w:sz w:val="20"/>
                <w:szCs w:val="20"/>
              </w:rPr>
              <w:t>H.264 HP</w:t>
            </w:r>
            <w:r>
              <w:rPr>
                <w:rFonts w:hint="eastAsia" w:ascii="宋体" w:hAnsi="宋体" w:cs="Arial"/>
                <w:kern w:val="0"/>
                <w:sz w:val="20"/>
                <w:szCs w:val="20"/>
              </w:rPr>
              <w:t>、</w:t>
            </w:r>
            <w:r>
              <w:rPr>
                <w:rFonts w:ascii="Times New Roman" w:hAnsi="Times New Roman"/>
                <w:kern w:val="0"/>
                <w:sz w:val="20"/>
                <w:szCs w:val="20"/>
              </w:rPr>
              <w:t>H.265</w:t>
            </w:r>
            <w:r>
              <w:rPr>
                <w:rFonts w:hint="eastAsia" w:ascii="宋体" w:hAnsi="宋体" w:cs="Arial"/>
                <w:kern w:val="0"/>
                <w:sz w:val="20"/>
                <w:szCs w:val="20"/>
              </w:rPr>
              <w:t>监控视频融合接入，最大视频清晰度支持</w:t>
            </w:r>
            <w:r>
              <w:rPr>
                <w:rFonts w:ascii="Times New Roman" w:hAnsi="Times New Roman"/>
                <w:kern w:val="0"/>
                <w:sz w:val="20"/>
                <w:szCs w:val="20"/>
              </w:rPr>
              <w:t>4K30fps</w:t>
            </w:r>
            <w:r>
              <w:rPr>
                <w:rFonts w:hint="eastAsia" w:ascii="宋体" w:hAnsi="宋体" w:cs="Arial"/>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642"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承载硬件要求</w:t>
            </w:r>
          </w:p>
        </w:tc>
        <w:tc>
          <w:tcPr>
            <w:tcW w:w="7760" w:type="dxa"/>
            <w:shd w:val="clear" w:color="000000" w:fill="FFFFFF"/>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配置≥</w:t>
            </w:r>
            <w:r>
              <w:rPr>
                <w:rFonts w:ascii="Times New Roman" w:hAnsi="Times New Roman"/>
                <w:kern w:val="0"/>
                <w:sz w:val="20"/>
                <w:szCs w:val="20"/>
              </w:rPr>
              <w:t>2</w:t>
            </w:r>
            <w:r>
              <w:rPr>
                <w:rFonts w:hint="eastAsia" w:ascii="宋体" w:hAnsi="宋体" w:cs="Arial"/>
                <w:kern w:val="0"/>
                <w:sz w:val="20"/>
                <w:szCs w:val="20"/>
              </w:rPr>
              <w:t>个</w:t>
            </w:r>
            <w:r>
              <w:rPr>
                <w:rFonts w:ascii="Times New Roman" w:hAnsi="Times New Roman"/>
                <w:kern w:val="0"/>
                <w:sz w:val="20"/>
                <w:szCs w:val="20"/>
              </w:rPr>
              <w:t>6</w:t>
            </w:r>
            <w:r>
              <w:rPr>
                <w:rFonts w:hint="eastAsia" w:ascii="宋体" w:hAnsi="宋体" w:cs="Arial"/>
                <w:kern w:val="0"/>
                <w:sz w:val="20"/>
                <w:szCs w:val="20"/>
              </w:rPr>
              <w:t>核</w:t>
            </w:r>
            <w:r>
              <w:rPr>
                <w:rFonts w:ascii="Times New Roman" w:hAnsi="Times New Roman"/>
                <w:kern w:val="0"/>
                <w:sz w:val="20"/>
                <w:szCs w:val="20"/>
              </w:rPr>
              <w:t xml:space="preserve">Xeon </w:t>
            </w:r>
            <w:r>
              <w:rPr>
                <w:rFonts w:hint="eastAsia" w:ascii="宋体" w:hAnsi="宋体" w:cs="Arial"/>
                <w:kern w:val="0"/>
                <w:sz w:val="20"/>
                <w:szCs w:val="20"/>
              </w:rPr>
              <w:t>处理器，单核主频≥</w:t>
            </w:r>
            <w:r>
              <w:rPr>
                <w:rFonts w:ascii="Times New Roman" w:hAnsi="Times New Roman"/>
                <w:kern w:val="0"/>
                <w:sz w:val="20"/>
                <w:szCs w:val="20"/>
              </w:rPr>
              <w:t>1.6GHz</w:t>
            </w:r>
            <w:r>
              <w:rPr>
                <w:rFonts w:hint="eastAsia" w:ascii="宋体" w:hAnsi="宋体" w:cs="Arial"/>
                <w:kern w:val="0"/>
                <w:sz w:val="20"/>
                <w:szCs w:val="20"/>
              </w:rPr>
              <w:t>，内存≥</w:t>
            </w:r>
            <w:r>
              <w:rPr>
                <w:rFonts w:ascii="Times New Roman" w:hAnsi="Times New Roman"/>
                <w:kern w:val="0"/>
                <w:sz w:val="20"/>
                <w:szCs w:val="20"/>
              </w:rPr>
              <w:t>32GB</w:t>
            </w:r>
            <w:r>
              <w:rPr>
                <w:rFonts w:hint="eastAsia" w:ascii="宋体" w:hAnsi="宋体" w:cs="Arial"/>
                <w:kern w:val="0"/>
                <w:sz w:val="20"/>
                <w:szCs w:val="20"/>
              </w:rPr>
              <w:t>，硬盘≥</w:t>
            </w:r>
            <w:r>
              <w:rPr>
                <w:rFonts w:ascii="Times New Roman" w:hAnsi="Times New Roman"/>
                <w:kern w:val="0"/>
                <w:sz w:val="20"/>
                <w:szCs w:val="20"/>
              </w:rPr>
              <w:t>2</w:t>
            </w:r>
            <w:r>
              <w:rPr>
                <w:rFonts w:hint="eastAsia" w:ascii="宋体" w:hAnsi="宋体" w:cs="Arial"/>
                <w:kern w:val="0"/>
                <w:sz w:val="20"/>
                <w:szCs w:val="20"/>
              </w:rPr>
              <w:t>×</w:t>
            </w:r>
            <w:r>
              <w:rPr>
                <w:rFonts w:ascii="Times New Roman" w:hAnsi="Times New Roman"/>
                <w:kern w:val="0"/>
                <w:sz w:val="20"/>
                <w:szCs w:val="20"/>
              </w:rPr>
              <w:t>600GB SAS</w:t>
            </w:r>
            <w:r>
              <w:rPr>
                <w:rFonts w:hint="eastAsia" w:ascii="宋体" w:hAnsi="宋体" w:cs="Arial"/>
                <w:kern w:val="0"/>
                <w:sz w:val="20"/>
                <w:szCs w:val="20"/>
              </w:rPr>
              <w:t>。</w:t>
            </w:r>
          </w:p>
        </w:tc>
      </w:tr>
    </w:tbl>
    <w:p/>
    <w:p>
      <w:pPr>
        <w:pStyle w:val="141"/>
        <w:numPr>
          <w:ilvl w:val="3"/>
          <w:numId w:val="7"/>
        </w:numPr>
        <w:tabs>
          <w:tab w:val="clear" w:pos="851"/>
        </w:tabs>
        <w:outlineLvl w:val="4"/>
        <w:rPr>
          <w:rFonts w:ascii="宋体" w:hAnsi="宋体" w:eastAsia="宋体" w:cs="宋体"/>
          <w:color w:val="auto"/>
          <w:sz w:val="24"/>
          <w:szCs w:val="24"/>
        </w:rPr>
      </w:pPr>
      <w:bookmarkStart w:id="130" w:name="_Toc46241996"/>
      <w:r>
        <w:rPr>
          <w:rFonts w:ascii="宋体" w:hAnsi="宋体" w:eastAsia="宋体" w:cs="宋体"/>
          <w:color w:val="auto"/>
          <w:sz w:val="24"/>
          <w:szCs w:val="24"/>
        </w:rPr>
        <w:t>录制平台</w:t>
      </w:r>
      <w:bookmarkEnd w:id="130"/>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7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指标项</w:t>
            </w:r>
          </w:p>
        </w:tc>
        <w:tc>
          <w:tcPr>
            <w:tcW w:w="7862" w:type="dxa"/>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指</w:t>
            </w:r>
            <w:r>
              <w:rPr>
                <w:rFonts w:ascii="宋体" w:hAnsi="宋体" w:cs="Arial"/>
                <w:kern w:val="0"/>
                <w:sz w:val="20"/>
                <w:szCs w:val="20"/>
              </w:rPr>
              <w:t xml:space="preserve"> </w:t>
            </w:r>
            <w:r>
              <w:rPr>
                <w:rFonts w:hint="eastAsia" w:ascii="宋体" w:hAnsi="宋体" w:cs="Arial"/>
                <w:kern w:val="0"/>
                <w:sz w:val="20"/>
                <w:szCs w:val="20"/>
              </w:rPr>
              <w:t>标</w:t>
            </w:r>
            <w:r>
              <w:rPr>
                <w:rFonts w:ascii="宋体" w:hAnsi="宋体" w:cs="Arial"/>
                <w:kern w:val="0"/>
                <w:sz w:val="20"/>
                <w:szCs w:val="20"/>
              </w:rPr>
              <w:t xml:space="preserve"> </w:t>
            </w:r>
            <w:r>
              <w:rPr>
                <w:rFonts w:hint="eastAsia" w:ascii="宋体" w:hAnsi="宋体" w:cs="Arial"/>
                <w:kern w:val="0"/>
                <w:sz w:val="20"/>
                <w:szCs w:val="20"/>
              </w:rPr>
              <w:t>要</w:t>
            </w:r>
            <w:r>
              <w:rPr>
                <w:rFonts w:ascii="宋体" w:hAnsi="宋体" w:cs="Arial"/>
                <w:kern w:val="0"/>
                <w:sz w:val="20"/>
                <w:szCs w:val="20"/>
              </w:rPr>
              <w:t xml:space="preserve"> </w:t>
            </w:r>
            <w:r>
              <w:rPr>
                <w:rFonts w:hint="eastAsia" w:ascii="宋体" w:hAnsi="宋体" w:cs="Arial"/>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restart"/>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总体要求</w:t>
            </w: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 xml:space="preserve">采用嵌入式操作系统一体化设计，非Windows操作系统。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H.323</w:t>
            </w:r>
            <w:r>
              <w:rPr>
                <w:rFonts w:hint="eastAsia" w:ascii="宋体" w:hAnsi="宋体" w:cs="Arial"/>
                <w:kern w:val="0"/>
                <w:sz w:val="20"/>
                <w:szCs w:val="20"/>
              </w:rPr>
              <w:t>和</w:t>
            </w:r>
            <w:r>
              <w:rPr>
                <w:rFonts w:ascii="宋体" w:hAnsi="宋体" w:cs="Arial"/>
                <w:kern w:val="0"/>
                <w:sz w:val="20"/>
                <w:szCs w:val="20"/>
              </w:rPr>
              <w:t>SIP</w:t>
            </w:r>
            <w:r>
              <w:rPr>
                <w:rFonts w:hint="eastAsia" w:ascii="宋体" w:hAnsi="宋体" w:cs="Arial"/>
                <w:kern w:val="0"/>
                <w:sz w:val="20"/>
                <w:szCs w:val="20"/>
              </w:rPr>
              <w:t>会议录制，录制支持1080P和720P。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H.264 HP</w:t>
            </w:r>
            <w:r>
              <w:rPr>
                <w:rFonts w:hint="eastAsia" w:ascii="宋体" w:hAnsi="宋体" w:cs="Arial"/>
                <w:kern w:val="0"/>
                <w:sz w:val="20"/>
                <w:szCs w:val="20"/>
              </w:rPr>
              <w:t>、</w:t>
            </w:r>
            <w:r>
              <w:rPr>
                <w:rFonts w:ascii="宋体" w:hAnsi="宋体" w:cs="Arial"/>
                <w:kern w:val="0"/>
                <w:sz w:val="20"/>
                <w:szCs w:val="20"/>
              </w:rPr>
              <w:t>H.264 BP</w:t>
            </w:r>
            <w:r>
              <w:rPr>
                <w:rFonts w:hint="eastAsia" w:ascii="宋体" w:hAnsi="宋体" w:cs="Arial"/>
                <w:kern w:val="0"/>
                <w:sz w:val="20"/>
                <w:szCs w:val="20"/>
              </w:rPr>
              <w:t>等视频编解码协议，支持</w:t>
            </w:r>
            <w:r>
              <w:rPr>
                <w:rFonts w:ascii="宋体" w:hAnsi="宋体" w:cs="Arial"/>
                <w:kern w:val="0"/>
                <w:sz w:val="20"/>
                <w:szCs w:val="20"/>
              </w:rPr>
              <w:t>1080p60</w:t>
            </w:r>
            <w:r>
              <w:rPr>
                <w:rFonts w:hint="eastAsia" w:ascii="宋体" w:hAnsi="宋体" w:cs="Arial"/>
                <w:kern w:val="0"/>
                <w:sz w:val="20"/>
                <w:szCs w:val="20"/>
              </w:rPr>
              <w:t>、</w:t>
            </w:r>
            <w:r>
              <w:rPr>
                <w:rFonts w:ascii="宋体" w:hAnsi="宋体" w:cs="Arial"/>
                <w:kern w:val="0"/>
                <w:sz w:val="20"/>
                <w:szCs w:val="20"/>
              </w:rPr>
              <w:t>1080p30</w:t>
            </w:r>
            <w:r>
              <w:rPr>
                <w:rFonts w:hint="eastAsia" w:ascii="宋体" w:hAnsi="宋体" w:cs="Arial"/>
                <w:kern w:val="0"/>
                <w:sz w:val="20"/>
                <w:szCs w:val="20"/>
              </w:rPr>
              <w:t>、</w:t>
            </w:r>
            <w:r>
              <w:rPr>
                <w:rFonts w:ascii="宋体" w:hAnsi="宋体" w:cs="Arial"/>
                <w:kern w:val="0"/>
                <w:sz w:val="20"/>
                <w:szCs w:val="20"/>
              </w:rPr>
              <w:t>720p60</w:t>
            </w:r>
            <w:r>
              <w:rPr>
                <w:rFonts w:hint="eastAsia" w:ascii="宋体" w:hAnsi="宋体" w:cs="Arial"/>
                <w:kern w:val="0"/>
                <w:sz w:val="20"/>
                <w:szCs w:val="20"/>
              </w:rPr>
              <w:t>、</w:t>
            </w:r>
            <w:r>
              <w:rPr>
                <w:rFonts w:ascii="宋体" w:hAnsi="宋体" w:cs="Arial"/>
                <w:kern w:val="0"/>
                <w:sz w:val="20"/>
                <w:szCs w:val="20"/>
              </w:rPr>
              <w:t>720p30</w:t>
            </w:r>
            <w:r>
              <w:rPr>
                <w:rFonts w:hint="eastAsia" w:ascii="宋体" w:hAnsi="宋体" w:cs="Arial"/>
                <w:kern w:val="0"/>
                <w:sz w:val="20"/>
                <w:szCs w:val="20"/>
              </w:rPr>
              <w:t>、</w:t>
            </w:r>
            <w:r>
              <w:rPr>
                <w:rFonts w:ascii="宋体" w:hAnsi="宋体" w:cs="Arial"/>
                <w:kern w:val="0"/>
                <w:sz w:val="20"/>
                <w:szCs w:val="20"/>
              </w:rPr>
              <w:t>4CIF</w:t>
            </w:r>
            <w:r>
              <w:rPr>
                <w:rFonts w:hint="eastAsia" w:ascii="宋体" w:hAnsi="宋体" w:cs="Arial"/>
                <w:kern w:val="0"/>
                <w:sz w:val="20"/>
                <w:szCs w:val="20"/>
              </w:rPr>
              <w:t>、</w:t>
            </w:r>
            <w:r>
              <w:rPr>
                <w:rFonts w:ascii="宋体" w:hAnsi="宋体" w:cs="Arial"/>
                <w:kern w:val="0"/>
                <w:sz w:val="20"/>
                <w:szCs w:val="20"/>
              </w:rPr>
              <w:t>CIF</w:t>
            </w:r>
            <w:r>
              <w:rPr>
                <w:rFonts w:hint="eastAsia" w:ascii="宋体" w:hAnsi="宋体" w:cs="Arial"/>
                <w:kern w:val="0"/>
                <w:sz w:val="20"/>
                <w:szCs w:val="20"/>
              </w:rPr>
              <w:t>等视频格式。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G.711</w:t>
            </w:r>
            <w:r>
              <w:rPr>
                <w:rFonts w:hint="eastAsia" w:ascii="宋体" w:hAnsi="宋体" w:cs="Arial"/>
                <w:kern w:val="0"/>
                <w:sz w:val="20"/>
                <w:szCs w:val="20"/>
              </w:rPr>
              <w:t>、</w:t>
            </w:r>
            <w:r>
              <w:rPr>
                <w:rFonts w:ascii="宋体" w:hAnsi="宋体" w:cs="Arial"/>
                <w:kern w:val="0"/>
                <w:sz w:val="20"/>
                <w:szCs w:val="20"/>
              </w:rPr>
              <w:t>G.722</w:t>
            </w:r>
            <w:r>
              <w:rPr>
                <w:rFonts w:hint="eastAsia" w:ascii="宋体" w:hAnsi="宋体" w:cs="Arial"/>
                <w:kern w:val="0"/>
                <w:sz w:val="20"/>
                <w:szCs w:val="20"/>
              </w:rPr>
              <w:t>、</w:t>
            </w:r>
            <w:r>
              <w:rPr>
                <w:rFonts w:ascii="宋体" w:hAnsi="宋体" w:cs="Arial"/>
                <w:kern w:val="0"/>
                <w:sz w:val="20"/>
                <w:szCs w:val="20"/>
              </w:rPr>
              <w:t>G.722.1</w:t>
            </w:r>
            <w:r>
              <w:rPr>
                <w:rFonts w:hint="eastAsia" w:ascii="宋体" w:hAnsi="宋体" w:cs="Arial"/>
                <w:kern w:val="0"/>
                <w:sz w:val="20"/>
                <w:szCs w:val="20"/>
              </w:rPr>
              <w:t>、</w:t>
            </w:r>
            <w:r>
              <w:rPr>
                <w:rFonts w:ascii="宋体" w:hAnsi="宋体" w:cs="Arial"/>
                <w:kern w:val="0"/>
                <w:sz w:val="20"/>
                <w:szCs w:val="20"/>
              </w:rPr>
              <w:t>AAC–LD</w:t>
            </w:r>
            <w:r>
              <w:rPr>
                <w:rFonts w:hint="eastAsia" w:ascii="宋体" w:hAnsi="宋体" w:cs="Arial"/>
                <w:kern w:val="0"/>
                <w:sz w:val="20"/>
                <w:szCs w:val="20"/>
              </w:rPr>
              <w:t>，Opus等音频编解码协议。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2</w:t>
            </w:r>
            <w:r>
              <w:rPr>
                <w:rFonts w:hint="eastAsia" w:ascii="宋体" w:hAnsi="宋体" w:cs="Arial"/>
                <w:kern w:val="0"/>
                <w:sz w:val="20"/>
                <w:szCs w:val="20"/>
              </w:rPr>
              <w:t>个</w:t>
            </w:r>
            <w:r>
              <w:rPr>
                <w:rFonts w:ascii="宋体" w:hAnsi="宋体" w:cs="Arial"/>
                <w:kern w:val="0"/>
                <w:sz w:val="20"/>
                <w:szCs w:val="20"/>
              </w:rPr>
              <w:t>10M/100M/1000M</w:t>
            </w:r>
            <w:r>
              <w:rPr>
                <w:rFonts w:hint="eastAsia" w:ascii="宋体" w:hAnsi="宋体" w:cs="Arial"/>
                <w:kern w:val="0"/>
                <w:sz w:val="20"/>
                <w:szCs w:val="20"/>
              </w:rPr>
              <w:t>自适应网口。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录制要求</w:t>
            </w: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支持≥10路1080P双流会议并发录制。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restart"/>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点播要求</w:t>
            </w: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100</w:t>
            </w:r>
            <w:r>
              <w:rPr>
                <w:rFonts w:hint="eastAsia" w:ascii="宋体" w:hAnsi="宋体" w:cs="Arial"/>
                <w:kern w:val="0"/>
                <w:sz w:val="20"/>
                <w:szCs w:val="20"/>
              </w:rPr>
              <w:t>路并发点播观看观看。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支持在</w:t>
            </w:r>
            <w:r>
              <w:rPr>
                <w:rFonts w:ascii="宋体" w:hAnsi="宋体" w:cs="Arial"/>
                <w:kern w:val="0"/>
                <w:sz w:val="20"/>
                <w:szCs w:val="20"/>
              </w:rPr>
              <w:t>PC</w:t>
            </w:r>
            <w:r>
              <w:rPr>
                <w:rFonts w:hint="eastAsia" w:ascii="宋体" w:hAnsi="宋体" w:cs="Arial"/>
                <w:kern w:val="0"/>
                <w:sz w:val="20"/>
                <w:szCs w:val="20"/>
              </w:rPr>
              <w:t>、平板、手机等移动设备上基于浏览器可观看会议点播，无需安装客户端软件。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restart"/>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存储要求</w:t>
            </w: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内置至少</w:t>
            </w:r>
            <w:r>
              <w:rPr>
                <w:rFonts w:ascii="宋体" w:hAnsi="宋体" w:cs="Arial"/>
                <w:kern w:val="0"/>
                <w:sz w:val="20"/>
                <w:szCs w:val="20"/>
              </w:rPr>
              <w:t>2T</w:t>
            </w:r>
            <w:r>
              <w:rPr>
                <w:rFonts w:hint="eastAsia" w:ascii="宋体" w:hAnsi="宋体" w:cs="Arial"/>
                <w:kern w:val="0"/>
                <w:sz w:val="20"/>
                <w:szCs w:val="20"/>
              </w:rPr>
              <w:t>容量硬盘，满足不小于</w:t>
            </w:r>
            <w:r>
              <w:rPr>
                <w:rFonts w:ascii="宋体" w:hAnsi="宋体" w:cs="Arial"/>
                <w:kern w:val="0"/>
                <w:sz w:val="20"/>
                <w:szCs w:val="20"/>
              </w:rPr>
              <w:t>2000</w:t>
            </w:r>
            <w:r>
              <w:rPr>
                <w:rFonts w:hint="eastAsia" w:ascii="宋体" w:hAnsi="宋体" w:cs="Arial"/>
                <w:kern w:val="0"/>
                <w:sz w:val="20"/>
                <w:szCs w:val="20"/>
              </w:rPr>
              <w:t>小时会议录制。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FTP</w:t>
            </w:r>
            <w:r>
              <w:rPr>
                <w:rFonts w:hint="eastAsia" w:ascii="宋体" w:hAnsi="宋体" w:cs="Arial"/>
                <w:kern w:val="0"/>
                <w:sz w:val="20"/>
                <w:szCs w:val="20"/>
              </w:rPr>
              <w:t>、NFS、</w:t>
            </w:r>
            <w:r>
              <w:rPr>
                <w:rFonts w:ascii="宋体" w:hAnsi="宋体" w:cs="Arial"/>
                <w:kern w:val="0"/>
                <w:sz w:val="20"/>
                <w:szCs w:val="20"/>
              </w:rPr>
              <w:t>NAS</w:t>
            </w:r>
            <w:r>
              <w:rPr>
                <w:rFonts w:hint="eastAsia" w:ascii="宋体" w:hAnsi="宋体" w:cs="Arial"/>
                <w:kern w:val="0"/>
                <w:sz w:val="20"/>
                <w:szCs w:val="20"/>
              </w:rPr>
              <w:t>、</w:t>
            </w:r>
            <w:r>
              <w:rPr>
                <w:rFonts w:ascii="宋体" w:hAnsi="宋体" w:cs="Arial"/>
                <w:kern w:val="0"/>
                <w:sz w:val="20"/>
                <w:szCs w:val="20"/>
              </w:rPr>
              <w:t>ISCSI</w:t>
            </w:r>
            <w:r>
              <w:rPr>
                <w:rFonts w:hint="eastAsia" w:ascii="宋体" w:hAnsi="宋体" w:cs="Arial"/>
                <w:kern w:val="0"/>
                <w:sz w:val="20"/>
                <w:szCs w:val="20"/>
              </w:rPr>
              <w:t>等网络存储协议，扩展存储空间。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restart"/>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内容管理要求</w:t>
            </w: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支持媒体文件上传、下载及保存。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支持登录鉴权、分级观看，可根据不同用户权限观看发布的视频内容。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支持录制视频以缩略图方式展示，提供视频资源简介。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支持游客登录，用户以匿名登录，无需输入用户名和密码。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540" w:type="dxa"/>
            <w:vMerge w:val="restart"/>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管理功能</w:t>
            </w: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支持系统资源监控功能，动态显示系统可用磁盘容量、</w:t>
            </w:r>
            <w:r>
              <w:rPr>
                <w:rFonts w:ascii="宋体" w:hAnsi="宋体" w:cs="Arial"/>
                <w:kern w:val="0"/>
                <w:sz w:val="20"/>
                <w:szCs w:val="20"/>
              </w:rPr>
              <w:t>CPU</w:t>
            </w:r>
            <w:r>
              <w:rPr>
                <w:rFonts w:hint="eastAsia" w:ascii="宋体" w:hAnsi="宋体" w:cs="Arial"/>
                <w:kern w:val="0"/>
                <w:sz w:val="20"/>
                <w:szCs w:val="20"/>
              </w:rPr>
              <w:t>和内存占用率、网络利用率等信息。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支持设备前面板显示设备</w:t>
            </w:r>
            <w:r>
              <w:rPr>
                <w:rFonts w:ascii="宋体" w:hAnsi="宋体" w:cs="Arial"/>
                <w:kern w:val="0"/>
                <w:sz w:val="20"/>
                <w:szCs w:val="20"/>
              </w:rPr>
              <w:t>IP</w:t>
            </w:r>
            <w:r>
              <w:rPr>
                <w:rFonts w:hint="eastAsia" w:ascii="宋体" w:hAnsi="宋体" w:cs="Arial"/>
                <w:kern w:val="0"/>
                <w:sz w:val="20"/>
                <w:szCs w:val="20"/>
              </w:rPr>
              <w:t>地址、磁盘空间等信息。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支持远程升级、系统日志、告警管理等功能，告警信息支持通过邮件方式通知系统管理员。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40" w:type="dxa"/>
            <w:vMerge w:val="continue"/>
            <w:shd w:val="clear" w:color="auto" w:fill="auto"/>
            <w:vAlign w:val="center"/>
          </w:tcPr>
          <w:p>
            <w:pPr>
              <w:widowControl/>
              <w:jc w:val="left"/>
              <w:rPr>
                <w:rFonts w:ascii="宋体" w:hAnsi="宋体" w:cs="Arial"/>
                <w:kern w:val="0"/>
                <w:sz w:val="20"/>
                <w:szCs w:val="20"/>
              </w:rPr>
            </w:pPr>
          </w:p>
        </w:tc>
        <w:tc>
          <w:tcPr>
            <w:tcW w:w="78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RTMP</w:t>
            </w:r>
            <w:r>
              <w:rPr>
                <w:rFonts w:hint="eastAsia" w:ascii="宋体" w:hAnsi="宋体" w:cs="Arial"/>
                <w:kern w:val="0"/>
                <w:sz w:val="20"/>
                <w:szCs w:val="20"/>
              </w:rPr>
              <w:t>协议与第三方流媒体系统对接。</w:t>
            </w:r>
          </w:p>
        </w:tc>
      </w:tr>
    </w:tbl>
    <w:p>
      <w:pPr>
        <w:pStyle w:val="5"/>
      </w:pPr>
    </w:p>
    <w:p>
      <w:pPr>
        <w:pStyle w:val="141"/>
        <w:numPr>
          <w:ilvl w:val="3"/>
          <w:numId w:val="7"/>
        </w:numPr>
        <w:tabs>
          <w:tab w:val="clear" w:pos="851"/>
        </w:tabs>
        <w:outlineLvl w:val="4"/>
        <w:rPr>
          <w:rFonts w:ascii="宋体" w:hAnsi="宋体" w:eastAsia="宋体" w:cs="宋体"/>
          <w:color w:val="auto"/>
          <w:sz w:val="24"/>
          <w:szCs w:val="24"/>
        </w:rPr>
      </w:pPr>
      <w:bookmarkStart w:id="131" w:name="_Toc46241997"/>
      <w:r>
        <w:rPr>
          <w:rFonts w:ascii="宋体" w:hAnsi="宋体" w:eastAsia="宋体" w:cs="宋体"/>
          <w:color w:val="auto"/>
          <w:sz w:val="24"/>
          <w:szCs w:val="24"/>
        </w:rPr>
        <w:t>跨平台调度</w:t>
      </w:r>
      <w:bookmarkEnd w:id="131"/>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7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55"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747"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55" w:type="dxa"/>
            <w:vMerge w:val="restart"/>
            <w:shd w:val="clear" w:color="000000" w:fill="FFFFFF"/>
            <w:vAlign w:val="center"/>
          </w:tcPr>
          <w:p>
            <w:pPr>
              <w:widowControl/>
              <w:jc w:val="center"/>
              <w:rPr>
                <w:rFonts w:ascii="宋体" w:hAnsi="宋体" w:cs="Arial"/>
                <w:kern w:val="0"/>
                <w:sz w:val="20"/>
                <w:szCs w:val="20"/>
              </w:rPr>
            </w:pPr>
            <w:r>
              <w:rPr>
                <w:rFonts w:hint="eastAsia" w:ascii="宋体" w:hAnsi="宋体" w:cs="Arial"/>
                <w:kern w:val="0"/>
                <w:sz w:val="20"/>
                <w:szCs w:val="20"/>
              </w:rPr>
              <w:t>总体要求</w:t>
            </w: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须与视频联接平台（MCU）同一品牌。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55" w:type="dxa"/>
            <w:vMerge w:val="continue"/>
            <w:shd w:val="clear" w:color="000000" w:fill="FFFFFF"/>
            <w:vAlign w:val="center"/>
          </w:tcPr>
          <w:p>
            <w:pPr>
              <w:widowControl/>
              <w:jc w:val="center"/>
              <w:rPr>
                <w:rFonts w:ascii="宋体" w:hAnsi="宋体" w:cs="Arial"/>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须实现与环境监测应急车辆监控视频、单兵</w:t>
            </w:r>
            <w:r>
              <w:rPr>
                <w:rFonts w:ascii="宋体" w:hAnsi="宋体" w:cs="Arial"/>
                <w:kern w:val="0"/>
                <w:sz w:val="20"/>
                <w:szCs w:val="20"/>
              </w:rPr>
              <w:t>视频</w:t>
            </w:r>
            <w:r>
              <w:rPr>
                <w:rFonts w:hint="eastAsia" w:ascii="宋体" w:hAnsi="宋体" w:cs="Arial"/>
                <w:kern w:val="0"/>
                <w:sz w:val="20"/>
                <w:szCs w:val="20"/>
              </w:rPr>
              <w:t>、无人机视频、现场手机视频融合指挥调度。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55"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调度台要求</w:t>
            </w: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支持多种调度模式，包括预案调度、跨级调度、融合调度、单调和多调等模式。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支持触控、拖拽、双击、键盘快捷键等方式操作控制。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支持按用户操作习惯，自定义会控功能按钮的优先顺序，不同的账号可拥有各自界面布局，布局设定后下次登录自动应用，无须重新设置。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支持资源可视化管理，调度资源可以树状列表及棋盘式布局显示</w:t>
            </w:r>
            <w:r>
              <w:rPr>
                <w:kern w:val="0"/>
                <w:sz w:val="20"/>
                <w:szCs w:val="20"/>
              </w:rPr>
              <w:t>，</w:t>
            </w:r>
            <w:r>
              <w:rPr>
                <w:rFonts w:hint="eastAsia"/>
                <w:kern w:val="0"/>
                <w:sz w:val="20"/>
                <w:szCs w:val="20"/>
              </w:rPr>
              <w:t>提供调度台操作界面截图</w:t>
            </w:r>
            <w:r>
              <w:rPr>
                <w:rFonts w:hint="eastAsia"/>
                <w:bCs/>
                <w:kern w:val="0"/>
                <w:sz w:val="20"/>
                <w:szCs w:val="20"/>
              </w:rPr>
              <w:t>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支持一键会控操作，包括呼叫</w:t>
            </w:r>
            <w:r>
              <w:rPr>
                <w:rFonts w:ascii="Times New Roman" w:hAnsi="Times New Roman"/>
                <w:kern w:val="0"/>
                <w:sz w:val="20"/>
                <w:szCs w:val="20"/>
              </w:rPr>
              <w:t>/</w:t>
            </w:r>
            <w:r>
              <w:rPr>
                <w:rFonts w:hint="eastAsia" w:ascii="宋体" w:hAnsi="宋体" w:cs="Arial"/>
                <w:kern w:val="0"/>
                <w:sz w:val="20"/>
                <w:szCs w:val="20"/>
              </w:rPr>
              <w:t>挂断、设置</w:t>
            </w:r>
            <w:r>
              <w:rPr>
                <w:rFonts w:ascii="Times New Roman" w:hAnsi="Times New Roman"/>
                <w:kern w:val="0"/>
                <w:sz w:val="20"/>
                <w:szCs w:val="20"/>
              </w:rPr>
              <w:t>/</w:t>
            </w:r>
            <w:r>
              <w:rPr>
                <w:rFonts w:hint="eastAsia" w:ascii="宋体" w:hAnsi="宋体" w:cs="Arial"/>
                <w:kern w:val="0"/>
                <w:sz w:val="20"/>
                <w:szCs w:val="20"/>
              </w:rPr>
              <w:t>取消主席、点名、轮询、广播、静音</w:t>
            </w:r>
            <w:r>
              <w:rPr>
                <w:rFonts w:ascii="Times New Roman" w:hAnsi="Times New Roman"/>
                <w:kern w:val="0"/>
                <w:sz w:val="20"/>
                <w:szCs w:val="20"/>
              </w:rPr>
              <w:t>/</w:t>
            </w:r>
            <w:r>
              <w:rPr>
                <w:rFonts w:hint="eastAsia" w:ascii="宋体" w:hAnsi="宋体" w:cs="Arial"/>
                <w:kern w:val="0"/>
                <w:sz w:val="20"/>
                <w:szCs w:val="20"/>
              </w:rPr>
              <w:t>闭音、指定会场辅流发送、延长会议、开启</w:t>
            </w:r>
            <w:r>
              <w:rPr>
                <w:rFonts w:ascii="Times New Roman" w:hAnsi="Times New Roman"/>
                <w:kern w:val="0"/>
                <w:sz w:val="20"/>
                <w:szCs w:val="20"/>
              </w:rPr>
              <w:t>/</w:t>
            </w:r>
            <w:r>
              <w:rPr>
                <w:rFonts w:hint="eastAsia" w:ascii="宋体" w:hAnsi="宋体" w:cs="Arial"/>
                <w:kern w:val="0"/>
                <w:sz w:val="20"/>
                <w:szCs w:val="20"/>
              </w:rPr>
              <w:t>停止录像</w:t>
            </w:r>
            <w:r>
              <w:rPr>
                <w:rFonts w:ascii="Times New Roman" w:hAnsi="Times New Roman"/>
                <w:kern w:val="0"/>
                <w:szCs w:val="21"/>
              </w:rPr>
              <w:t> </w:t>
            </w:r>
            <w:r>
              <w:rPr>
                <w:rFonts w:hint="eastAsia" w:ascii="宋体" w:hAnsi="宋体" w:cs="Arial"/>
                <w:kern w:val="0"/>
                <w:sz w:val="20"/>
                <w:szCs w:val="20"/>
              </w:rPr>
              <w:t>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支持模糊搜索功能，实现按终端的中文拼音首字母快速检索。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▲支持实时音视频预览，视频清晰度不低于</w:t>
            </w:r>
            <w:r>
              <w:rPr>
                <w:rFonts w:ascii="Times New Roman" w:hAnsi="Times New Roman"/>
                <w:kern w:val="0"/>
                <w:sz w:val="20"/>
                <w:szCs w:val="20"/>
              </w:rPr>
              <w:t>720P30fps</w:t>
            </w:r>
            <w:r>
              <w:rPr>
                <w:rFonts w:hint="eastAsia" w:ascii="宋体" w:hAnsi="宋体" w:cs="Arial"/>
                <w:kern w:val="0"/>
                <w:sz w:val="20"/>
                <w:szCs w:val="20"/>
              </w:rPr>
              <w:t>，实现本地终端同步预监、远端会场预监、预览画面截图保存、远端摄像机</w:t>
            </w:r>
            <w:r>
              <w:rPr>
                <w:rFonts w:ascii="Times New Roman" w:hAnsi="Times New Roman"/>
                <w:kern w:val="0"/>
                <w:sz w:val="20"/>
                <w:szCs w:val="20"/>
              </w:rPr>
              <w:t>PTZ</w:t>
            </w:r>
            <w:r>
              <w:rPr>
                <w:rFonts w:hint="eastAsia" w:ascii="宋体" w:hAnsi="宋体" w:cs="Arial"/>
                <w:kern w:val="0"/>
                <w:sz w:val="20"/>
                <w:szCs w:val="20"/>
              </w:rPr>
              <w:t>控制、镜头变倍等，</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支持辅流预览功能，通过调度台可实时预览辅流画面。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支持单画面轮询、多画面轮询、广播轮询、本地轮询等模式，支持轮询模板自定义及保存、调度功能。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655"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融合调度功能要求</w:t>
            </w: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支持会议视频、监控视频、手机</w:t>
            </w:r>
            <w:r>
              <w:rPr>
                <w:rFonts w:ascii="Times New Roman" w:hAnsi="Times New Roman"/>
                <w:kern w:val="0"/>
                <w:sz w:val="20"/>
                <w:szCs w:val="20"/>
              </w:rPr>
              <w:t>/</w:t>
            </w:r>
            <w:r>
              <w:rPr>
                <w:rFonts w:hint="eastAsia" w:ascii="宋体" w:hAnsi="宋体" w:cs="Arial"/>
                <w:kern w:val="0"/>
                <w:sz w:val="20"/>
                <w:szCs w:val="20"/>
              </w:rPr>
              <w:t>固话、</w:t>
            </w:r>
            <w:r>
              <w:rPr>
                <w:rFonts w:ascii="Times New Roman" w:hAnsi="Times New Roman"/>
                <w:kern w:val="0"/>
                <w:sz w:val="20"/>
                <w:szCs w:val="20"/>
              </w:rPr>
              <w:t>IP</w:t>
            </w:r>
            <w:r>
              <w:rPr>
                <w:rFonts w:hint="eastAsia" w:ascii="宋体" w:hAnsi="宋体" w:cs="Arial"/>
                <w:kern w:val="0"/>
                <w:sz w:val="20"/>
                <w:szCs w:val="20"/>
              </w:rPr>
              <w:t>话机、</w:t>
            </w:r>
            <w:r>
              <w:rPr>
                <w:rFonts w:ascii="Times New Roman" w:hAnsi="Times New Roman"/>
                <w:kern w:val="0"/>
                <w:sz w:val="20"/>
                <w:szCs w:val="20"/>
              </w:rPr>
              <w:t>eLTE</w:t>
            </w:r>
            <w:r>
              <w:rPr>
                <w:rFonts w:hint="eastAsia" w:ascii="宋体" w:hAnsi="宋体" w:cs="Arial"/>
                <w:kern w:val="0"/>
                <w:sz w:val="20"/>
                <w:szCs w:val="20"/>
              </w:rPr>
              <w:t>集群等音视频资源融合调度，资源列表可通过网络实时获取，无须在多个界面间切换操作。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支持对前端监控视频实时预览、</w:t>
            </w:r>
            <w:r>
              <w:rPr>
                <w:rFonts w:ascii="Times New Roman" w:hAnsi="Times New Roman"/>
                <w:kern w:val="0"/>
                <w:sz w:val="20"/>
                <w:szCs w:val="20"/>
              </w:rPr>
              <w:t>PTZ</w:t>
            </w:r>
            <w:r>
              <w:rPr>
                <w:rFonts w:hint="eastAsia" w:ascii="宋体" w:hAnsi="宋体" w:cs="Arial"/>
                <w:kern w:val="0"/>
                <w:sz w:val="20"/>
                <w:szCs w:val="20"/>
              </w:rPr>
              <w:t>远遥控制，预览视频清晰度不低于</w:t>
            </w:r>
            <w:r>
              <w:rPr>
                <w:rFonts w:ascii="Times New Roman" w:hAnsi="Times New Roman"/>
                <w:kern w:val="0"/>
                <w:sz w:val="20"/>
                <w:szCs w:val="20"/>
              </w:rPr>
              <w:t>720P30fps</w:t>
            </w:r>
            <w:r>
              <w:rPr>
                <w:rFonts w:hint="eastAsia" w:ascii="宋体" w:hAnsi="宋体" w:cs="Arial"/>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支持将前端监控视频推送给远端视频会议终端及移动软终端观看。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55" w:type="dxa"/>
            <w:vMerge w:val="continue"/>
            <w:vAlign w:val="center"/>
          </w:tcPr>
          <w:p>
            <w:pPr>
              <w:widowControl/>
              <w:jc w:val="left"/>
              <w:rPr>
                <w:rFonts w:ascii="宋体" w:hAnsi="宋体" w:cs="Arial"/>
                <w:bCs/>
                <w:kern w:val="0"/>
                <w:sz w:val="20"/>
                <w:szCs w:val="20"/>
              </w:rPr>
            </w:pPr>
          </w:p>
        </w:tc>
        <w:tc>
          <w:tcPr>
            <w:tcW w:w="7747"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支持将监控视频添加到会议多画面，支持多画面轮询观看，轮询间隔可设置。</w:t>
            </w:r>
          </w:p>
        </w:tc>
      </w:tr>
    </w:tbl>
    <w:p>
      <w:pPr>
        <w:pStyle w:val="141"/>
        <w:numPr>
          <w:ilvl w:val="3"/>
          <w:numId w:val="7"/>
        </w:numPr>
        <w:tabs>
          <w:tab w:val="clear" w:pos="851"/>
        </w:tabs>
        <w:outlineLvl w:val="4"/>
        <w:rPr>
          <w:rFonts w:ascii="宋体" w:hAnsi="宋体" w:eastAsia="宋体" w:cs="宋体"/>
          <w:color w:val="auto"/>
          <w:sz w:val="24"/>
          <w:szCs w:val="24"/>
        </w:rPr>
      </w:pPr>
      <w:bookmarkStart w:id="132" w:name="_Toc46241998"/>
      <w:r>
        <w:rPr>
          <w:rFonts w:hint="eastAsia" w:ascii="宋体" w:hAnsi="宋体" w:eastAsia="宋体" w:cs="宋体"/>
          <w:color w:val="auto"/>
          <w:sz w:val="24"/>
          <w:szCs w:val="24"/>
        </w:rPr>
        <w:t>指挥终端</w:t>
      </w:r>
      <w:bookmarkEnd w:id="132"/>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7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753"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tc>
        <w:tc>
          <w:tcPr>
            <w:tcW w:w="7753" w:type="dxa"/>
            <w:shd w:val="clear" w:color="auto" w:fill="auto"/>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须与视频联接平台（MCU）同一品牌，支持</w:t>
            </w:r>
            <w:r>
              <w:rPr>
                <w:rFonts w:ascii="Times New Roman" w:hAnsi="Times New Roman"/>
                <w:kern w:val="0"/>
                <w:sz w:val="20"/>
                <w:szCs w:val="20"/>
              </w:rPr>
              <w:t>ITU-T H.323</w:t>
            </w:r>
            <w:r>
              <w:rPr>
                <w:rFonts w:hint="eastAsia" w:ascii="宋体" w:hAnsi="宋体" w:cs="Arial"/>
                <w:kern w:val="0"/>
                <w:sz w:val="20"/>
                <w:szCs w:val="20"/>
              </w:rPr>
              <w:t>、</w:t>
            </w:r>
            <w:r>
              <w:rPr>
                <w:rFonts w:ascii="Times New Roman" w:hAnsi="Times New Roman"/>
                <w:kern w:val="0"/>
                <w:sz w:val="20"/>
                <w:szCs w:val="20"/>
              </w:rPr>
              <w:t>IETF SIP</w:t>
            </w:r>
            <w:r>
              <w:rPr>
                <w:rFonts w:hint="eastAsia" w:ascii="宋体" w:hAnsi="宋体" w:cs="Arial"/>
                <w:kern w:val="0"/>
                <w:sz w:val="20"/>
                <w:szCs w:val="20"/>
              </w:rPr>
              <w:t>协议，具有良好的兼容性和开放性。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64Kbps-8Mbps</w:t>
            </w:r>
            <w:r>
              <w:rPr>
                <w:rFonts w:hint="eastAsia" w:ascii="宋体" w:hAnsi="宋体" w:cs="Arial"/>
                <w:kern w:val="0"/>
                <w:sz w:val="20"/>
                <w:szCs w:val="20"/>
              </w:rPr>
              <w:t>呼叫带宽。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采用国产自主编解码芯片，嵌入式操作系统，非</w:t>
            </w:r>
            <w:r>
              <w:rPr>
                <w:rFonts w:ascii="Times New Roman" w:hAnsi="Times New Roman"/>
                <w:kern w:val="0"/>
                <w:sz w:val="20"/>
                <w:szCs w:val="20"/>
              </w:rPr>
              <w:t>PC</w:t>
            </w:r>
            <w:r>
              <w:rPr>
                <w:rFonts w:hint="eastAsia" w:ascii="宋体" w:hAnsi="宋体" w:cs="Arial"/>
                <w:kern w:val="0"/>
                <w:sz w:val="20"/>
                <w:szCs w:val="20"/>
              </w:rPr>
              <w:t>架构、非工控机架构。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▲支持在终端前面板显示启动、升级、休眠、异常信息（温度异常、外设连接异常）、</w:t>
            </w:r>
            <w:r>
              <w:rPr>
                <w:rFonts w:ascii="Times New Roman" w:hAnsi="Times New Roman"/>
                <w:kern w:val="0"/>
                <w:sz w:val="20"/>
                <w:szCs w:val="20"/>
              </w:rPr>
              <w:t>IP</w:t>
            </w:r>
            <w:r>
              <w:rPr>
                <w:rFonts w:hint="eastAsia" w:ascii="宋体" w:hAnsi="宋体" w:cs="Arial"/>
                <w:kern w:val="0"/>
                <w:sz w:val="20"/>
                <w:szCs w:val="20"/>
              </w:rPr>
              <w:t>地址、</w:t>
            </w:r>
            <w:r>
              <w:rPr>
                <w:rFonts w:ascii="Times New Roman" w:hAnsi="Times New Roman"/>
                <w:kern w:val="0"/>
                <w:sz w:val="20"/>
                <w:szCs w:val="20"/>
              </w:rPr>
              <w:t>H.323</w:t>
            </w:r>
            <w:r>
              <w:rPr>
                <w:rFonts w:hint="eastAsia" w:ascii="宋体" w:hAnsi="宋体" w:cs="Arial"/>
                <w:kern w:val="0"/>
                <w:sz w:val="20"/>
                <w:szCs w:val="20"/>
              </w:rPr>
              <w:t>号码、</w:t>
            </w:r>
            <w:r>
              <w:rPr>
                <w:rFonts w:ascii="Times New Roman" w:hAnsi="Times New Roman"/>
                <w:kern w:val="0"/>
                <w:sz w:val="20"/>
                <w:szCs w:val="20"/>
              </w:rPr>
              <w:t>SIP</w:t>
            </w:r>
            <w:r>
              <w:rPr>
                <w:rFonts w:hint="eastAsia" w:ascii="宋体" w:hAnsi="宋体" w:cs="Arial"/>
                <w:kern w:val="0"/>
                <w:sz w:val="20"/>
                <w:szCs w:val="20"/>
              </w:rPr>
              <w:t>号码等信息，</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支持多种分辨率、速率和帧率的视频码流（同时发送不少于</w:t>
            </w:r>
            <w:r>
              <w:rPr>
                <w:rFonts w:ascii="Times New Roman" w:hAnsi="Times New Roman"/>
                <w:kern w:val="0"/>
                <w:sz w:val="20"/>
                <w:szCs w:val="20"/>
              </w:rPr>
              <w:t>4</w:t>
            </w:r>
            <w:r>
              <w:rPr>
                <w:rFonts w:hint="eastAsia" w:ascii="宋体" w:hAnsi="宋体" w:cs="Arial"/>
                <w:kern w:val="0"/>
                <w:sz w:val="20"/>
                <w:szCs w:val="20"/>
              </w:rPr>
              <w:t>路视频码流，接收不少于</w:t>
            </w:r>
            <w:r>
              <w:rPr>
                <w:rFonts w:ascii="Times New Roman" w:hAnsi="Times New Roman"/>
                <w:kern w:val="0"/>
                <w:sz w:val="20"/>
                <w:szCs w:val="20"/>
              </w:rPr>
              <w:t>16</w:t>
            </w:r>
            <w:r>
              <w:rPr>
                <w:rFonts w:hint="eastAsia" w:ascii="宋体" w:hAnsi="宋体" w:cs="Arial"/>
                <w:kern w:val="0"/>
                <w:sz w:val="20"/>
                <w:szCs w:val="20"/>
              </w:rPr>
              <w:t>路视频码流），以适应不同线路带宽、不同设备能力、不同网络环境下的组网要求，</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4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视频指标</w:t>
            </w:r>
          </w:p>
        </w:tc>
        <w:tc>
          <w:tcPr>
            <w:tcW w:w="7753" w:type="dxa"/>
            <w:shd w:val="clear" w:color="auto" w:fill="auto"/>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支</w:t>
            </w:r>
            <w:r>
              <w:rPr>
                <w:rFonts w:hint="eastAsia" w:ascii="宋体" w:hAnsi="宋体" w:cs="Arial"/>
                <w:bCs/>
                <w:kern w:val="0"/>
                <w:sz w:val="20"/>
                <w:szCs w:val="20"/>
              </w:rPr>
              <w:t>持</w:t>
            </w:r>
            <w:r>
              <w:rPr>
                <w:rFonts w:ascii="宋体" w:hAnsi="宋体" w:cs="Arial"/>
                <w:bCs/>
                <w:kern w:val="0"/>
                <w:sz w:val="20"/>
                <w:szCs w:val="20"/>
              </w:rPr>
              <w:t>H.265</w:t>
            </w:r>
            <w:r>
              <w:rPr>
                <w:rFonts w:hint="eastAsia" w:ascii="宋体" w:hAnsi="宋体" w:cs="Arial"/>
                <w:bCs/>
                <w:kern w:val="0"/>
                <w:sz w:val="20"/>
                <w:szCs w:val="20"/>
              </w:rPr>
              <w:t>、</w:t>
            </w:r>
            <w:r>
              <w:rPr>
                <w:rFonts w:ascii="宋体" w:hAnsi="宋体" w:cs="Arial"/>
                <w:bCs/>
                <w:kern w:val="0"/>
                <w:sz w:val="20"/>
                <w:szCs w:val="20"/>
              </w:rPr>
              <w:t>H.264 HP</w:t>
            </w:r>
            <w:r>
              <w:rPr>
                <w:rFonts w:hint="eastAsia" w:ascii="宋体" w:hAnsi="宋体" w:cs="Arial"/>
                <w:kern w:val="0"/>
                <w:sz w:val="20"/>
                <w:szCs w:val="20"/>
              </w:rPr>
              <w:t>、</w:t>
            </w:r>
            <w:r>
              <w:rPr>
                <w:rFonts w:ascii="Times New Roman" w:hAnsi="Times New Roman"/>
                <w:kern w:val="0"/>
                <w:sz w:val="20"/>
                <w:szCs w:val="20"/>
              </w:rPr>
              <w:t>H.264 BP</w:t>
            </w:r>
            <w:r>
              <w:rPr>
                <w:rFonts w:hint="eastAsia" w:ascii="宋体" w:hAnsi="宋体" w:cs="Arial"/>
                <w:kern w:val="0"/>
                <w:sz w:val="20"/>
                <w:szCs w:val="20"/>
              </w:rPr>
              <w:t>、</w:t>
            </w:r>
            <w:r>
              <w:rPr>
                <w:rFonts w:ascii="Times New Roman" w:hAnsi="Times New Roman"/>
                <w:kern w:val="0"/>
                <w:sz w:val="20"/>
                <w:szCs w:val="20"/>
              </w:rPr>
              <w:t>H.264 SVC</w:t>
            </w:r>
            <w:r>
              <w:rPr>
                <w:rFonts w:hint="eastAsia" w:ascii="宋体" w:hAnsi="宋体" w:cs="Arial"/>
                <w:kern w:val="0"/>
                <w:sz w:val="20"/>
                <w:szCs w:val="20"/>
              </w:rPr>
              <w:t>、</w:t>
            </w:r>
            <w:r>
              <w:rPr>
                <w:rFonts w:ascii="Times New Roman" w:hAnsi="Times New Roman"/>
                <w:kern w:val="0"/>
                <w:sz w:val="20"/>
                <w:szCs w:val="20"/>
              </w:rPr>
              <w:t>H.263</w:t>
            </w:r>
            <w:r>
              <w:rPr>
                <w:rFonts w:hint="eastAsia" w:ascii="宋体" w:hAnsi="宋体" w:cs="Arial"/>
                <w:kern w:val="0"/>
                <w:sz w:val="20"/>
                <w:szCs w:val="20"/>
              </w:rPr>
              <w:t>等图像编码协议，</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Segoe UI Symbol" w:hAnsi="Segoe UI Symbol" w:cs="Arial"/>
                <w:kern w:val="0"/>
                <w:sz w:val="20"/>
                <w:szCs w:val="20"/>
              </w:rPr>
            </w:pPr>
            <w:r>
              <w:rPr>
                <w:rFonts w:hint="eastAsia" w:ascii="宋体" w:hAnsi="宋体" w:cs="Arial"/>
                <w:kern w:val="0"/>
                <w:sz w:val="20"/>
                <w:szCs w:val="20"/>
              </w:rPr>
              <w:t>支持</w:t>
            </w:r>
            <w:r>
              <w:rPr>
                <w:rFonts w:ascii="Times New Roman" w:hAnsi="Times New Roman"/>
                <w:kern w:val="0"/>
                <w:sz w:val="20"/>
                <w:szCs w:val="20"/>
              </w:rPr>
              <w:t>4K30fps</w:t>
            </w:r>
            <w:r>
              <w:rPr>
                <w:rFonts w:hint="eastAsia" w:ascii="宋体" w:hAnsi="宋体" w:cs="Arial"/>
                <w:kern w:val="0"/>
                <w:sz w:val="20"/>
                <w:szCs w:val="20"/>
              </w:rPr>
              <w:t>、</w:t>
            </w:r>
            <w:r>
              <w:rPr>
                <w:rFonts w:ascii="Times New Roman" w:hAnsi="Times New Roman"/>
                <w:kern w:val="0"/>
                <w:sz w:val="20"/>
                <w:szCs w:val="20"/>
              </w:rPr>
              <w:t>1080P 50/60 fps</w:t>
            </w:r>
            <w:r>
              <w:rPr>
                <w:rFonts w:hint="eastAsia" w:ascii="宋体" w:hAnsi="宋体" w:cs="Arial"/>
                <w:kern w:val="0"/>
                <w:sz w:val="20"/>
                <w:szCs w:val="20"/>
              </w:rPr>
              <w:t>、</w:t>
            </w:r>
            <w:r>
              <w:rPr>
                <w:rFonts w:ascii="Times New Roman" w:hAnsi="Times New Roman"/>
                <w:kern w:val="0"/>
                <w:sz w:val="20"/>
                <w:szCs w:val="20"/>
              </w:rPr>
              <w:t>1080P 25/30 fps</w:t>
            </w:r>
            <w:r>
              <w:rPr>
                <w:rFonts w:hint="eastAsia" w:ascii="宋体" w:hAnsi="宋体" w:cs="Arial"/>
                <w:kern w:val="0"/>
                <w:sz w:val="20"/>
                <w:szCs w:val="20"/>
              </w:rPr>
              <w:t>、</w:t>
            </w:r>
            <w:r>
              <w:rPr>
                <w:rFonts w:ascii="Times New Roman" w:hAnsi="Times New Roman"/>
                <w:kern w:val="0"/>
                <w:sz w:val="20"/>
                <w:szCs w:val="20"/>
              </w:rPr>
              <w:t>720P 50/ 60 fps</w:t>
            </w:r>
            <w:r>
              <w:rPr>
                <w:rFonts w:hint="eastAsia" w:ascii="宋体" w:hAnsi="宋体" w:cs="Arial"/>
                <w:kern w:val="0"/>
                <w:sz w:val="20"/>
                <w:szCs w:val="20"/>
              </w:rPr>
              <w:t>、</w:t>
            </w:r>
            <w:r>
              <w:rPr>
                <w:rFonts w:ascii="Times New Roman" w:hAnsi="Times New Roman"/>
                <w:kern w:val="0"/>
                <w:sz w:val="20"/>
                <w:szCs w:val="20"/>
              </w:rPr>
              <w:t>720P 25/30 fps</w:t>
            </w:r>
            <w:r>
              <w:rPr>
                <w:rFonts w:hint="eastAsia" w:ascii="宋体" w:hAnsi="宋体" w:cs="Arial"/>
                <w:kern w:val="0"/>
                <w:sz w:val="20"/>
                <w:szCs w:val="20"/>
              </w:rPr>
              <w:t>、</w:t>
            </w:r>
            <w:r>
              <w:rPr>
                <w:rFonts w:ascii="Times New Roman" w:hAnsi="Times New Roman"/>
                <w:kern w:val="0"/>
                <w:sz w:val="20"/>
                <w:szCs w:val="20"/>
              </w:rPr>
              <w:t>4CIF</w:t>
            </w:r>
            <w:r>
              <w:rPr>
                <w:rFonts w:hint="eastAsia" w:ascii="宋体" w:hAnsi="宋体" w:cs="Arial"/>
                <w:kern w:val="0"/>
                <w:sz w:val="20"/>
                <w:szCs w:val="20"/>
              </w:rPr>
              <w:t>、</w:t>
            </w:r>
            <w:r>
              <w:rPr>
                <w:rFonts w:ascii="Times New Roman" w:hAnsi="Times New Roman"/>
                <w:kern w:val="0"/>
                <w:sz w:val="20"/>
                <w:szCs w:val="20"/>
              </w:rPr>
              <w:t xml:space="preserve"> CIF</w:t>
            </w:r>
            <w:r>
              <w:rPr>
                <w:rFonts w:hint="eastAsia" w:ascii="宋体" w:hAnsi="宋体" w:cs="Arial"/>
                <w:kern w:val="0"/>
                <w:sz w:val="20"/>
                <w:szCs w:val="20"/>
              </w:rPr>
              <w:t>等分辨率。</w:t>
            </w:r>
            <w:r>
              <w:rPr>
                <w:rFonts w:hint="eastAsia" w:ascii="宋体" w:hAnsi="宋体" w:cs="Arial"/>
                <w:bCs/>
                <w:kern w:val="0"/>
                <w:sz w:val="20"/>
                <w:szCs w:val="20"/>
              </w:rPr>
              <w:t>本次项目配置不少于</w:t>
            </w:r>
            <w:r>
              <w:rPr>
                <w:rFonts w:ascii="Times New Roman" w:hAnsi="Times New Roman"/>
                <w:bCs/>
                <w:kern w:val="0"/>
                <w:sz w:val="20"/>
                <w:szCs w:val="20"/>
              </w:rPr>
              <w:t>1080P60fps</w:t>
            </w:r>
            <w:r>
              <w:rPr>
                <w:rFonts w:hint="eastAsia" w:ascii="宋体" w:hAnsi="宋体" w:cs="Arial"/>
                <w:bCs/>
                <w:kern w:val="0"/>
                <w:sz w:val="20"/>
                <w:szCs w:val="20"/>
              </w:rPr>
              <w:t>对称编解码能力。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649"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音频指标</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G.711</w:t>
            </w:r>
            <w:r>
              <w:rPr>
                <w:rFonts w:hint="eastAsia" w:ascii="宋体" w:hAnsi="宋体" w:cs="Arial"/>
                <w:kern w:val="0"/>
                <w:sz w:val="20"/>
                <w:szCs w:val="20"/>
              </w:rPr>
              <w:t>、</w:t>
            </w:r>
            <w:r>
              <w:rPr>
                <w:rFonts w:ascii="Times New Roman" w:hAnsi="Times New Roman"/>
                <w:kern w:val="0"/>
                <w:sz w:val="20"/>
                <w:szCs w:val="20"/>
              </w:rPr>
              <w:t>G.722</w:t>
            </w:r>
            <w:r>
              <w:rPr>
                <w:rFonts w:hint="eastAsia" w:ascii="宋体" w:hAnsi="宋体" w:cs="Arial"/>
                <w:kern w:val="0"/>
                <w:sz w:val="20"/>
                <w:szCs w:val="20"/>
              </w:rPr>
              <w:t>、</w:t>
            </w:r>
            <w:r>
              <w:rPr>
                <w:rFonts w:ascii="Times New Roman" w:hAnsi="Times New Roman"/>
                <w:kern w:val="0"/>
                <w:sz w:val="20"/>
                <w:szCs w:val="20"/>
              </w:rPr>
              <w:t>G.722.1C</w:t>
            </w:r>
            <w:r>
              <w:rPr>
                <w:rFonts w:hint="eastAsia" w:ascii="宋体" w:hAnsi="宋体" w:cs="Arial"/>
                <w:kern w:val="0"/>
                <w:sz w:val="20"/>
                <w:szCs w:val="20"/>
              </w:rPr>
              <w:t>、</w:t>
            </w:r>
            <w:r>
              <w:rPr>
                <w:rFonts w:ascii="Times New Roman" w:hAnsi="Times New Roman"/>
                <w:kern w:val="0"/>
                <w:sz w:val="20"/>
                <w:szCs w:val="20"/>
              </w:rPr>
              <w:t>G.729A</w:t>
            </w:r>
            <w:r>
              <w:rPr>
                <w:rFonts w:hint="eastAsia" w:ascii="宋体" w:hAnsi="宋体" w:cs="Arial"/>
                <w:kern w:val="0"/>
                <w:sz w:val="20"/>
                <w:szCs w:val="20"/>
              </w:rPr>
              <w:t>、</w:t>
            </w:r>
            <w:r>
              <w:rPr>
                <w:rFonts w:ascii="Times New Roman" w:hAnsi="Times New Roman"/>
                <w:kern w:val="0"/>
                <w:sz w:val="20"/>
                <w:szCs w:val="20"/>
              </w:rPr>
              <w:t>ACC-LD</w:t>
            </w:r>
            <w:r>
              <w:rPr>
                <w:rFonts w:hint="eastAsia" w:ascii="宋体" w:hAnsi="宋体" w:cs="Arial"/>
                <w:kern w:val="0"/>
                <w:sz w:val="20"/>
                <w:szCs w:val="20"/>
              </w:rPr>
              <w:t>、</w:t>
            </w:r>
            <w:r>
              <w:rPr>
                <w:rFonts w:ascii="Times New Roman" w:hAnsi="Times New Roman"/>
                <w:kern w:val="0"/>
                <w:sz w:val="20"/>
                <w:szCs w:val="20"/>
              </w:rPr>
              <w:t>Opus</w:t>
            </w:r>
            <w:r>
              <w:rPr>
                <w:rFonts w:hint="eastAsia" w:ascii="宋体" w:hAnsi="宋体" w:cs="Arial"/>
                <w:kern w:val="0"/>
                <w:sz w:val="20"/>
                <w:szCs w:val="20"/>
              </w:rPr>
              <w:t>等音频协议，支持双声道立体声功能</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双流指标</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H.239</w:t>
            </w:r>
            <w:r>
              <w:rPr>
                <w:rFonts w:hint="eastAsia" w:ascii="宋体" w:hAnsi="宋体" w:cs="Arial"/>
                <w:kern w:val="0"/>
                <w:sz w:val="20"/>
                <w:szCs w:val="20"/>
              </w:rPr>
              <w:t>和</w:t>
            </w:r>
            <w:r>
              <w:rPr>
                <w:rFonts w:ascii="Times New Roman" w:hAnsi="Times New Roman"/>
                <w:kern w:val="0"/>
                <w:sz w:val="20"/>
                <w:szCs w:val="20"/>
              </w:rPr>
              <w:t>BFCP</w:t>
            </w:r>
            <w:r>
              <w:rPr>
                <w:rFonts w:hint="eastAsia" w:ascii="宋体" w:hAnsi="宋体" w:cs="Arial"/>
                <w:kern w:val="0"/>
                <w:sz w:val="20"/>
                <w:szCs w:val="20"/>
              </w:rPr>
              <w:t>双流协议。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支持在</w:t>
            </w:r>
            <w:r>
              <w:rPr>
                <w:rFonts w:ascii="Times New Roman" w:hAnsi="Times New Roman"/>
                <w:kern w:val="0"/>
                <w:sz w:val="20"/>
                <w:szCs w:val="20"/>
              </w:rPr>
              <w:t>H.264</w:t>
            </w:r>
            <w:r>
              <w:rPr>
                <w:rFonts w:hint="eastAsia" w:ascii="宋体" w:hAnsi="宋体" w:cs="Arial"/>
                <w:kern w:val="0"/>
                <w:sz w:val="20"/>
                <w:szCs w:val="20"/>
              </w:rPr>
              <w:t>会议下，支持主流达到</w:t>
            </w:r>
            <w:r>
              <w:rPr>
                <w:rFonts w:ascii="Times New Roman" w:hAnsi="Times New Roman"/>
                <w:kern w:val="0"/>
                <w:sz w:val="20"/>
                <w:szCs w:val="20"/>
              </w:rPr>
              <w:t>1080P60fps</w:t>
            </w:r>
            <w:r>
              <w:rPr>
                <w:rFonts w:hint="eastAsia" w:ascii="宋体" w:hAnsi="宋体" w:cs="Arial"/>
                <w:kern w:val="0"/>
                <w:sz w:val="20"/>
                <w:szCs w:val="20"/>
              </w:rPr>
              <w:t>情况下，辅流同时达到</w:t>
            </w:r>
            <w:r>
              <w:rPr>
                <w:rFonts w:ascii="Times New Roman" w:hAnsi="Times New Roman"/>
                <w:kern w:val="0"/>
                <w:sz w:val="20"/>
                <w:szCs w:val="20"/>
              </w:rPr>
              <w:t>1080P60fps</w:t>
            </w:r>
            <w:r>
              <w:rPr>
                <w:rFonts w:hint="eastAsia" w:ascii="宋体" w:hAnsi="宋体" w:cs="Arial"/>
                <w:kern w:val="0"/>
                <w:sz w:val="20"/>
                <w:szCs w:val="20"/>
              </w:rPr>
              <w:t>；</w:t>
            </w:r>
            <w:r>
              <w:rPr>
                <w:kern w:val="0"/>
                <w:sz w:val="20"/>
                <w:szCs w:val="20"/>
              </w:rPr>
              <w:t>在H.265会议下，支持主流达到4K30fps情况下，辅流同时达到4K30fps</w:t>
            </w:r>
            <w:r>
              <w:rPr>
                <w:rFonts w:hint="eastAsia"/>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支持无线双流功能，</w:t>
            </w:r>
            <w:r>
              <w:rPr>
                <w:rFonts w:ascii="Times New Roman" w:hAnsi="Times New Roman"/>
                <w:kern w:val="0"/>
                <w:sz w:val="20"/>
                <w:szCs w:val="20"/>
              </w:rPr>
              <w:t>PC</w:t>
            </w:r>
            <w:r>
              <w:rPr>
                <w:rFonts w:hint="eastAsia" w:ascii="宋体" w:hAnsi="宋体" w:cs="Arial"/>
                <w:kern w:val="0"/>
                <w:sz w:val="20"/>
                <w:szCs w:val="20"/>
              </w:rPr>
              <w:t>可通过</w:t>
            </w:r>
            <w:r>
              <w:rPr>
                <w:rFonts w:ascii="Times New Roman" w:hAnsi="Times New Roman"/>
                <w:kern w:val="0"/>
                <w:sz w:val="20"/>
                <w:szCs w:val="20"/>
              </w:rPr>
              <w:t>Wi-Fi</w:t>
            </w:r>
            <w:r>
              <w:rPr>
                <w:rFonts w:hint="eastAsia" w:ascii="宋体" w:hAnsi="宋体" w:cs="Arial"/>
                <w:kern w:val="0"/>
                <w:sz w:val="20"/>
                <w:szCs w:val="20"/>
              </w:rPr>
              <w:t>或有线网络将桌面内容作为双流发送给远端会场，视频清晰度不少于</w:t>
            </w:r>
            <w:r>
              <w:rPr>
                <w:rFonts w:ascii="Times New Roman" w:hAnsi="Times New Roman"/>
                <w:kern w:val="0"/>
                <w:sz w:val="20"/>
                <w:szCs w:val="20"/>
              </w:rPr>
              <w:t>1080P</w:t>
            </w:r>
            <w:r>
              <w:rPr>
                <w:rFonts w:hint="eastAsia" w:ascii="宋体" w:hAnsi="宋体" w:cs="Arial"/>
                <w:kern w:val="0"/>
                <w:sz w:val="20"/>
                <w:szCs w:val="20"/>
              </w:rPr>
              <w:t>，支持音频共享，</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9" w:type="dxa"/>
            <w:vMerge w:val="restart"/>
            <w:shd w:val="clear" w:color="auto" w:fill="auto"/>
            <w:vAlign w:val="center"/>
          </w:tcPr>
          <w:p>
            <w:pPr>
              <w:widowControl/>
              <w:jc w:val="center"/>
              <w:rPr>
                <w:rFonts w:ascii="宋体" w:hAnsi="宋体" w:cs="Arial"/>
                <w:kern w:val="0"/>
                <w:sz w:val="20"/>
                <w:szCs w:val="20"/>
              </w:rPr>
            </w:pPr>
            <w:r>
              <w:rPr>
                <w:rFonts w:hint="eastAsia" w:ascii="宋体" w:hAnsi="宋体" w:cs="Arial"/>
                <w:kern w:val="0"/>
                <w:sz w:val="20"/>
                <w:szCs w:val="20"/>
              </w:rPr>
              <w:t>接口要求</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4</w:t>
            </w:r>
            <w:r>
              <w:rPr>
                <w:rFonts w:hint="eastAsia" w:ascii="宋体" w:hAnsi="宋体" w:cs="Arial"/>
                <w:kern w:val="0"/>
                <w:sz w:val="20"/>
                <w:szCs w:val="20"/>
              </w:rPr>
              <w:t>路高清视频输入接口、≥</w:t>
            </w:r>
            <w:r>
              <w:rPr>
                <w:rFonts w:ascii="宋体" w:hAnsi="宋体" w:cs="Arial"/>
                <w:kern w:val="0"/>
                <w:sz w:val="20"/>
                <w:szCs w:val="20"/>
              </w:rPr>
              <w:t>3</w:t>
            </w:r>
            <w:r>
              <w:rPr>
                <w:rFonts w:hint="eastAsia" w:ascii="宋体" w:hAnsi="宋体" w:cs="Arial"/>
                <w:kern w:val="0"/>
                <w:sz w:val="20"/>
                <w:szCs w:val="20"/>
              </w:rPr>
              <w:t>路高清视频输出接口。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649" w:type="dxa"/>
            <w:vMerge w:val="continue"/>
            <w:vAlign w:val="center"/>
          </w:tcPr>
          <w:p>
            <w:pPr>
              <w:widowControl/>
              <w:jc w:val="center"/>
              <w:rPr>
                <w:rFonts w:ascii="宋体" w:hAnsi="宋体" w:cs="Arial"/>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宋体" w:hAnsi="宋体" w:cs="Arial"/>
                <w:kern w:val="0"/>
                <w:sz w:val="20"/>
                <w:szCs w:val="20"/>
              </w:rPr>
              <w:t>5</w:t>
            </w:r>
            <w:r>
              <w:rPr>
                <w:rFonts w:hint="eastAsia" w:ascii="宋体" w:hAnsi="宋体" w:cs="Arial"/>
                <w:kern w:val="0"/>
                <w:sz w:val="20"/>
                <w:szCs w:val="20"/>
              </w:rPr>
              <w:t>路音频输入接口、≥</w:t>
            </w:r>
            <w:r>
              <w:rPr>
                <w:rFonts w:ascii="宋体" w:hAnsi="宋体" w:cs="Arial"/>
                <w:kern w:val="0"/>
                <w:sz w:val="20"/>
                <w:szCs w:val="20"/>
              </w:rPr>
              <w:t>7</w:t>
            </w:r>
            <w:r>
              <w:rPr>
                <w:rFonts w:hint="eastAsia" w:ascii="宋体" w:hAnsi="宋体" w:cs="Arial"/>
                <w:kern w:val="0"/>
                <w:sz w:val="20"/>
                <w:szCs w:val="20"/>
              </w:rPr>
              <w:t>路音频输出接口，至少具备卡侬头、</w:t>
            </w:r>
            <w:r>
              <w:rPr>
                <w:rFonts w:ascii="宋体" w:hAnsi="宋体" w:cs="Arial"/>
                <w:kern w:val="0"/>
                <w:sz w:val="20"/>
                <w:szCs w:val="20"/>
              </w:rPr>
              <w:t>RCA</w:t>
            </w:r>
            <w:r>
              <w:rPr>
                <w:rFonts w:hint="eastAsia" w:ascii="宋体" w:hAnsi="宋体" w:cs="Arial"/>
                <w:kern w:val="0"/>
                <w:sz w:val="20"/>
                <w:szCs w:val="20"/>
              </w:rPr>
              <w:t>等音频接口。</w:t>
            </w:r>
            <w:r>
              <w:rPr>
                <w:rFonts w:ascii="宋体" w:hAnsi="宋体" w:cs="Arial"/>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9" w:type="dxa"/>
            <w:vMerge w:val="continue"/>
            <w:vAlign w:val="center"/>
          </w:tcPr>
          <w:p>
            <w:pPr>
              <w:widowControl/>
              <w:jc w:val="center"/>
              <w:rPr>
                <w:rFonts w:ascii="宋体" w:hAnsi="宋体" w:cs="Arial"/>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支持不少于</w:t>
            </w:r>
            <w:r>
              <w:rPr>
                <w:rFonts w:ascii="宋体" w:hAnsi="宋体" w:cs="Arial"/>
                <w:kern w:val="0"/>
                <w:sz w:val="20"/>
                <w:szCs w:val="20"/>
              </w:rPr>
              <w:t>2</w:t>
            </w:r>
            <w:r>
              <w:rPr>
                <w:rFonts w:hint="eastAsia" w:ascii="宋体" w:hAnsi="宋体" w:cs="Arial"/>
                <w:kern w:val="0"/>
                <w:sz w:val="20"/>
                <w:szCs w:val="20"/>
              </w:rPr>
              <w:t>个</w:t>
            </w:r>
            <w:r>
              <w:rPr>
                <w:rFonts w:ascii="宋体" w:hAnsi="宋体" w:cs="Arial"/>
                <w:kern w:val="0"/>
                <w:sz w:val="20"/>
                <w:szCs w:val="20"/>
              </w:rPr>
              <w:t>10M/100M/1000M</w:t>
            </w:r>
            <w:r>
              <w:rPr>
                <w:rFonts w:hint="eastAsia" w:ascii="宋体" w:hAnsi="宋体" w:cs="Arial"/>
                <w:kern w:val="0"/>
                <w:sz w:val="20"/>
                <w:szCs w:val="20"/>
              </w:rPr>
              <w:t>自适应网口。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649" w:type="dxa"/>
            <w:vMerge w:val="continue"/>
            <w:vAlign w:val="center"/>
          </w:tcPr>
          <w:p>
            <w:pPr>
              <w:widowControl/>
              <w:jc w:val="center"/>
              <w:rPr>
                <w:rFonts w:ascii="宋体" w:hAnsi="宋体" w:cs="Arial"/>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支持通过</w:t>
            </w:r>
            <w:r>
              <w:rPr>
                <w:rFonts w:ascii="宋体" w:hAnsi="宋体" w:cs="Arial"/>
                <w:kern w:val="0"/>
                <w:sz w:val="20"/>
                <w:szCs w:val="20"/>
              </w:rPr>
              <w:t>USB</w:t>
            </w:r>
            <w:r>
              <w:rPr>
                <w:rFonts w:hint="eastAsia" w:ascii="宋体" w:hAnsi="宋体" w:cs="Arial"/>
                <w:kern w:val="0"/>
                <w:sz w:val="20"/>
                <w:szCs w:val="20"/>
              </w:rPr>
              <w:t>接口自动导入终端配置，方便设备的安装部署，须提供</w:t>
            </w:r>
            <w:r>
              <w:rPr>
                <w:rFonts w:ascii="宋体" w:hAnsi="宋体" w:cs="Arial"/>
                <w:kern w:val="0"/>
                <w:sz w:val="20"/>
                <w:szCs w:val="20"/>
              </w:rPr>
              <w:t>CNAS</w:t>
            </w:r>
            <w:r>
              <w:rPr>
                <w:rFonts w:hint="eastAsia" w:ascii="宋体" w:hAnsi="宋体" w:cs="Arial"/>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2.4GHz</w:t>
            </w:r>
            <w:r>
              <w:rPr>
                <w:rFonts w:hint="eastAsia" w:ascii="宋体" w:hAnsi="宋体" w:cs="Arial"/>
                <w:kern w:val="0"/>
                <w:sz w:val="20"/>
                <w:szCs w:val="20"/>
              </w:rPr>
              <w:t>、</w:t>
            </w:r>
            <w:r>
              <w:rPr>
                <w:rFonts w:ascii="Times New Roman" w:hAnsi="Times New Roman"/>
                <w:kern w:val="0"/>
                <w:sz w:val="20"/>
                <w:szCs w:val="20"/>
              </w:rPr>
              <w:t>5GHz</w:t>
            </w:r>
            <w:r>
              <w:rPr>
                <w:rFonts w:hint="eastAsia" w:ascii="宋体" w:hAnsi="宋体" w:cs="Arial"/>
                <w:kern w:val="0"/>
                <w:sz w:val="20"/>
                <w:szCs w:val="20"/>
              </w:rPr>
              <w:t>双频接入，同时支持</w:t>
            </w:r>
            <w:r>
              <w:rPr>
                <w:rFonts w:ascii="Times New Roman" w:hAnsi="Times New Roman"/>
                <w:kern w:val="0"/>
                <w:sz w:val="20"/>
                <w:szCs w:val="20"/>
              </w:rPr>
              <w:t>Wi-Fi</w:t>
            </w:r>
            <w:r>
              <w:rPr>
                <w:rFonts w:hint="eastAsia" w:ascii="宋体" w:hAnsi="宋体" w:cs="Arial"/>
                <w:kern w:val="0"/>
                <w:sz w:val="20"/>
                <w:szCs w:val="20"/>
              </w:rPr>
              <w:t>热点及客户端模式，满足通过无线网络进行视音频通信。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4" w:hRule="atLeast"/>
        </w:trPr>
        <w:tc>
          <w:tcPr>
            <w:tcW w:w="164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网络适应性要求</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30%</w:t>
            </w:r>
            <w:r>
              <w:rPr>
                <w:rFonts w:hint="eastAsia" w:ascii="宋体" w:hAnsi="宋体" w:cs="Arial"/>
                <w:kern w:val="0"/>
                <w:sz w:val="20"/>
                <w:szCs w:val="20"/>
              </w:rPr>
              <w:t>网络丢包时，语音清晰连续，视频清晰流畅，无卡顿，</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r>
              <w:rPr>
                <w:rFonts w:ascii="Times New Roman" w:hAnsi="Times New Roman"/>
                <w:bCs/>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80%</w:t>
            </w:r>
            <w:r>
              <w:rPr>
                <w:rFonts w:hint="eastAsia" w:ascii="宋体" w:hAnsi="宋体" w:cs="Arial"/>
                <w:kern w:val="0"/>
                <w:sz w:val="20"/>
                <w:szCs w:val="20"/>
              </w:rPr>
              <w:t>的网络丢包时，声音清晰，不影响会议继续进行，</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768Kbps</w:t>
            </w:r>
            <w:r>
              <w:rPr>
                <w:rFonts w:hint="eastAsia" w:ascii="宋体" w:hAnsi="宋体" w:cs="Arial"/>
                <w:kern w:val="0"/>
                <w:sz w:val="20"/>
                <w:szCs w:val="20"/>
              </w:rPr>
              <w:t>会议带宽下，实现</w:t>
            </w:r>
            <w:r>
              <w:rPr>
                <w:rFonts w:ascii="Times New Roman" w:hAnsi="Times New Roman"/>
                <w:kern w:val="0"/>
                <w:sz w:val="20"/>
                <w:szCs w:val="20"/>
              </w:rPr>
              <w:t>1080P60</w:t>
            </w:r>
            <w:r>
              <w:rPr>
                <w:rFonts w:hint="eastAsia" w:ascii="宋体" w:hAnsi="宋体" w:cs="Arial"/>
                <w:kern w:val="0"/>
                <w:sz w:val="20"/>
                <w:szCs w:val="20"/>
              </w:rPr>
              <w:t>帧图像格式编解码；</w:t>
            </w:r>
            <w:r>
              <w:rPr>
                <w:rFonts w:ascii="Times New Roman" w:hAnsi="Times New Roman"/>
                <w:kern w:val="0"/>
                <w:sz w:val="20"/>
                <w:szCs w:val="20"/>
              </w:rPr>
              <w:t>512Kbps</w:t>
            </w:r>
            <w:r>
              <w:rPr>
                <w:rFonts w:hint="eastAsia" w:ascii="宋体" w:hAnsi="宋体" w:cs="Arial"/>
                <w:kern w:val="0"/>
                <w:sz w:val="20"/>
                <w:szCs w:val="20"/>
              </w:rPr>
              <w:t>会议带宽下，实现</w:t>
            </w:r>
            <w:r>
              <w:rPr>
                <w:rFonts w:ascii="Times New Roman" w:hAnsi="Times New Roman"/>
                <w:kern w:val="0"/>
                <w:sz w:val="20"/>
                <w:szCs w:val="20"/>
              </w:rPr>
              <w:t>1080P30</w:t>
            </w:r>
            <w:r>
              <w:rPr>
                <w:rFonts w:hint="eastAsia" w:ascii="宋体" w:hAnsi="宋体" w:cs="Arial"/>
                <w:kern w:val="0"/>
                <w:sz w:val="20"/>
                <w:szCs w:val="20"/>
              </w:rPr>
              <w:t>帧图像格式编解码；</w:t>
            </w:r>
            <w:r>
              <w:rPr>
                <w:rFonts w:ascii="Times New Roman" w:hAnsi="Times New Roman"/>
                <w:kern w:val="0"/>
                <w:sz w:val="20"/>
                <w:szCs w:val="20"/>
              </w:rPr>
              <w:t>384Kbps</w:t>
            </w:r>
            <w:r>
              <w:rPr>
                <w:rFonts w:hint="eastAsia" w:ascii="宋体" w:hAnsi="宋体" w:cs="Arial"/>
                <w:kern w:val="0"/>
                <w:sz w:val="20"/>
                <w:szCs w:val="20"/>
              </w:rPr>
              <w:t>会议带宽下，实现</w:t>
            </w:r>
            <w:r>
              <w:rPr>
                <w:rFonts w:ascii="Times New Roman" w:hAnsi="Times New Roman"/>
                <w:kern w:val="0"/>
                <w:sz w:val="20"/>
                <w:szCs w:val="20"/>
              </w:rPr>
              <w:t>720P30</w:t>
            </w:r>
            <w:r>
              <w:rPr>
                <w:rFonts w:hint="eastAsia" w:ascii="宋体" w:hAnsi="宋体" w:cs="Arial"/>
                <w:kern w:val="0"/>
                <w:sz w:val="20"/>
                <w:szCs w:val="20"/>
              </w:rPr>
              <w:t>帧图像格式编解码</w:t>
            </w:r>
            <w:r>
              <w:rPr>
                <w:rFonts w:hint="eastAsia" w:ascii="宋体" w:hAnsi="宋体" w:cs="Arial"/>
                <w:bCs/>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IPV4</w:t>
            </w:r>
            <w:r>
              <w:rPr>
                <w:rFonts w:hint="eastAsia" w:ascii="宋体" w:hAnsi="宋体" w:cs="Arial"/>
                <w:kern w:val="0"/>
                <w:sz w:val="20"/>
                <w:szCs w:val="20"/>
              </w:rPr>
              <w:t>和</w:t>
            </w:r>
            <w:r>
              <w:rPr>
                <w:rFonts w:ascii="Times New Roman" w:hAnsi="Times New Roman"/>
                <w:kern w:val="0"/>
                <w:sz w:val="20"/>
                <w:szCs w:val="20"/>
              </w:rPr>
              <w:t>IPV6</w:t>
            </w:r>
            <w:r>
              <w:rPr>
                <w:rFonts w:hint="eastAsia" w:ascii="宋体" w:hAnsi="宋体" w:cs="Arial"/>
                <w:kern w:val="0"/>
                <w:sz w:val="20"/>
                <w:szCs w:val="20"/>
              </w:rPr>
              <w:t>双协议栈，</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64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安全指标</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▲支持在</w:t>
            </w:r>
            <w:r>
              <w:rPr>
                <w:rFonts w:ascii="Times New Roman" w:hAnsi="Times New Roman"/>
                <w:kern w:val="0"/>
                <w:sz w:val="20"/>
                <w:szCs w:val="20"/>
              </w:rPr>
              <w:t>H.323</w:t>
            </w:r>
            <w:r>
              <w:rPr>
                <w:rFonts w:hint="eastAsia" w:ascii="宋体" w:hAnsi="宋体" w:cs="Arial"/>
                <w:kern w:val="0"/>
                <w:sz w:val="20"/>
                <w:szCs w:val="20"/>
              </w:rPr>
              <w:t>协议下，</w:t>
            </w:r>
            <w:r>
              <w:rPr>
                <w:rFonts w:ascii="Times New Roman" w:hAnsi="Times New Roman"/>
                <w:kern w:val="0"/>
                <w:sz w:val="20"/>
                <w:szCs w:val="20"/>
              </w:rPr>
              <w:t>H.235</w:t>
            </w:r>
            <w:r>
              <w:rPr>
                <w:rFonts w:hint="eastAsia" w:ascii="宋体" w:hAnsi="宋体" w:cs="Arial"/>
                <w:kern w:val="0"/>
                <w:sz w:val="20"/>
                <w:szCs w:val="20"/>
              </w:rPr>
              <w:t>信令加密；支持在</w:t>
            </w:r>
            <w:r>
              <w:rPr>
                <w:rFonts w:ascii="Times New Roman" w:hAnsi="Times New Roman"/>
                <w:kern w:val="0"/>
                <w:sz w:val="20"/>
                <w:szCs w:val="20"/>
              </w:rPr>
              <w:t>SIP</w:t>
            </w:r>
            <w:r>
              <w:rPr>
                <w:rFonts w:hint="eastAsia" w:ascii="宋体" w:hAnsi="宋体" w:cs="Arial"/>
                <w:kern w:val="0"/>
                <w:sz w:val="20"/>
                <w:szCs w:val="20"/>
              </w:rPr>
              <w:t>下，</w:t>
            </w:r>
            <w:r>
              <w:rPr>
                <w:rFonts w:ascii="Times New Roman" w:hAnsi="Times New Roman"/>
                <w:kern w:val="0"/>
                <w:sz w:val="20"/>
                <w:szCs w:val="20"/>
              </w:rPr>
              <w:t>TLS</w:t>
            </w:r>
            <w:r>
              <w:rPr>
                <w:rFonts w:hint="eastAsia" w:ascii="宋体" w:hAnsi="宋体" w:cs="Arial"/>
                <w:kern w:val="0"/>
                <w:sz w:val="20"/>
                <w:szCs w:val="20"/>
              </w:rPr>
              <w:t>、</w:t>
            </w:r>
            <w:r>
              <w:rPr>
                <w:rFonts w:ascii="Times New Roman" w:hAnsi="Times New Roman"/>
                <w:kern w:val="0"/>
                <w:sz w:val="20"/>
                <w:szCs w:val="20"/>
              </w:rPr>
              <w:t>SRTP</w:t>
            </w:r>
            <w:r>
              <w:rPr>
                <w:rFonts w:hint="eastAsia" w:ascii="宋体" w:hAnsi="宋体" w:cs="Arial"/>
                <w:kern w:val="0"/>
                <w:sz w:val="20"/>
                <w:szCs w:val="20"/>
              </w:rPr>
              <w:t>加密；支持</w:t>
            </w:r>
            <w:r>
              <w:rPr>
                <w:rFonts w:ascii="Times New Roman" w:hAnsi="Times New Roman"/>
                <w:kern w:val="0"/>
                <w:sz w:val="20"/>
                <w:szCs w:val="20"/>
              </w:rPr>
              <w:t xml:space="preserve"> AES</w:t>
            </w:r>
            <w:r>
              <w:rPr>
                <w:rFonts w:hint="eastAsia" w:ascii="宋体" w:hAnsi="宋体" w:cs="Arial"/>
                <w:kern w:val="0"/>
                <w:sz w:val="20"/>
                <w:szCs w:val="20"/>
              </w:rPr>
              <w:t>媒体流加密算法，保证会议安全，</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SM2</w:t>
            </w:r>
            <w:r>
              <w:rPr>
                <w:rFonts w:hint="eastAsia" w:ascii="宋体" w:hAnsi="宋体" w:cs="Arial"/>
                <w:kern w:val="0"/>
                <w:sz w:val="20"/>
                <w:szCs w:val="20"/>
              </w:rPr>
              <w:t>、</w:t>
            </w:r>
            <w:r>
              <w:rPr>
                <w:rFonts w:ascii="Times New Roman" w:hAnsi="Times New Roman"/>
                <w:kern w:val="0"/>
                <w:sz w:val="20"/>
                <w:szCs w:val="20"/>
              </w:rPr>
              <w:t>SM3</w:t>
            </w:r>
            <w:r>
              <w:rPr>
                <w:rFonts w:hint="eastAsia" w:ascii="宋体" w:hAnsi="宋体" w:cs="Arial"/>
                <w:kern w:val="0"/>
                <w:sz w:val="20"/>
                <w:szCs w:val="20"/>
              </w:rPr>
              <w:t>、</w:t>
            </w:r>
            <w:r>
              <w:rPr>
                <w:rFonts w:ascii="Times New Roman" w:hAnsi="Times New Roman"/>
                <w:kern w:val="0"/>
                <w:sz w:val="20"/>
                <w:szCs w:val="20"/>
              </w:rPr>
              <w:t>SM4</w:t>
            </w:r>
            <w:r>
              <w:rPr>
                <w:rFonts w:hint="eastAsia" w:ascii="宋体" w:hAnsi="宋体" w:cs="Arial"/>
                <w:kern w:val="0"/>
                <w:sz w:val="20"/>
                <w:szCs w:val="20"/>
              </w:rPr>
              <w:t>国密加密算法。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64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终端功能要求</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 xml:space="preserve">支持单屏三显功能，在一个显示设备上显示远端图像、本端图像及双流图像。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支持在终端</w:t>
            </w:r>
            <w:r>
              <w:rPr>
                <w:rFonts w:ascii="Times New Roman" w:hAnsi="Times New Roman"/>
                <w:kern w:val="0"/>
                <w:sz w:val="20"/>
                <w:szCs w:val="20"/>
              </w:rPr>
              <w:t>3</w:t>
            </w:r>
            <w:r>
              <w:rPr>
                <w:rFonts w:hint="eastAsia" w:ascii="宋体" w:hAnsi="宋体" w:cs="Arial"/>
                <w:kern w:val="0"/>
                <w:sz w:val="20"/>
                <w:szCs w:val="20"/>
              </w:rPr>
              <w:t>个不同的视频输出口，分别显示辅流画面、</w:t>
            </w:r>
            <w:r>
              <w:rPr>
                <w:rFonts w:ascii="Times New Roman" w:hAnsi="Times New Roman"/>
                <w:kern w:val="0"/>
                <w:sz w:val="20"/>
                <w:szCs w:val="20"/>
              </w:rPr>
              <w:t>1</w:t>
            </w:r>
            <w:r>
              <w:rPr>
                <w:rFonts w:hint="eastAsia" w:ascii="宋体" w:hAnsi="宋体" w:cs="Arial"/>
                <w:kern w:val="0"/>
                <w:sz w:val="20"/>
                <w:szCs w:val="20"/>
              </w:rPr>
              <w:t>路远端会场画面及</w:t>
            </w:r>
            <w:r>
              <w:rPr>
                <w:rFonts w:ascii="Times New Roman" w:hAnsi="Times New Roman"/>
                <w:kern w:val="0"/>
                <w:sz w:val="20"/>
                <w:szCs w:val="20"/>
              </w:rPr>
              <w:t>1</w:t>
            </w:r>
            <w:r>
              <w:rPr>
                <w:rFonts w:hint="eastAsia" w:ascii="宋体" w:hAnsi="宋体" w:cs="Arial"/>
                <w:kern w:val="0"/>
                <w:sz w:val="20"/>
                <w:szCs w:val="20"/>
              </w:rPr>
              <w:t>路自定义的多画面，</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支持访问LDAP网络地址本服务器在线获取会场列表，支持本地地址本导入、导出功能。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支持在终端控制软件上对本地和远端会场图像进行实时预览。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支持高温告警功能，超过临界温度时终端界面弹出告警提示框。</w:t>
            </w:r>
          </w:p>
        </w:tc>
      </w:tr>
      <w:tr>
        <w:tblPrEx>
          <w:tblLayout w:type="fixed"/>
          <w:tblCellMar>
            <w:top w:w="0" w:type="dxa"/>
            <w:left w:w="108" w:type="dxa"/>
            <w:bottom w:w="0" w:type="dxa"/>
            <w:right w:w="108" w:type="dxa"/>
          </w:tblCellMar>
        </w:tblPrEx>
        <w:trPr>
          <w:trHeight w:val="495"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支持根据不同用户应用场景及个性化需求，自定义终端启动动画。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API</w:t>
            </w:r>
            <w:r>
              <w:rPr>
                <w:rFonts w:hint="eastAsia" w:ascii="宋体" w:hAnsi="宋体" w:cs="Arial"/>
                <w:kern w:val="0"/>
                <w:sz w:val="20"/>
                <w:szCs w:val="20"/>
              </w:rPr>
              <w:t>二次开发接口，实现与第三方系统集成。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1649" w:type="dxa"/>
            <w:shd w:val="clear" w:color="auto" w:fill="auto"/>
            <w:vAlign w:val="center"/>
          </w:tcPr>
          <w:p>
            <w:pPr>
              <w:widowControl/>
              <w:jc w:val="center"/>
              <w:rPr>
                <w:rFonts w:ascii="Times New Roman" w:hAnsi="Times New Roman"/>
                <w:bCs/>
                <w:kern w:val="0"/>
                <w:sz w:val="20"/>
                <w:szCs w:val="20"/>
              </w:rPr>
            </w:pPr>
            <w:r>
              <w:rPr>
                <w:rFonts w:ascii="Times New Roman" w:hAnsi="Times New Roman"/>
                <w:bCs/>
                <w:kern w:val="0"/>
                <w:sz w:val="20"/>
                <w:szCs w:val="20"/>
              </w:rPr>
              <w:t>AI</w:t>
            </w:r>
            <w:r>
              <w:rPr>
                <w:rFonts w:hint="eastAsia" w:ascii="宋体" w:hAnsi="宋体"/>
                <w:bCs/>
                <w:kern w:val="0"/>
                <w:sz w:val="20"/>
                <w:szCs w:val="20"/>
              </w:rPr>
              <w:t>功能</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支持智能语音控制，通过语音指令实现唤醒终端、加入</w:t>
            </w:r>
            <w:r>
              <w:rPr>
                <w:rFonts w:ascii="Times New Roman" w:hAnsi="Times New Roman"/>
                <w:kern w:val="0"/>
                <w:sz w:val="20"/>
                <w:szCs w:val="20"/>
              </w:rPr>
              <w:t>/</w:t>
            </w:r>
            <w:r>
              <w:rPr>
                <w:rFonts w:hint="eastAsia" w:ascii="宋体" w:hAnsi="宋体" w:cs="Arial"/>
                <w:kern w:val="0"/>
                <w:sz w:val="20"/>
                <w:szCs w:val="20"/>
              </w:rPr>
              <w:t>结束会议、调节音量、发送</w:t>
            </w:r>
            <w:r>
              <w:rPr>
                <w:rFonts w:ascii="Times New Roman" w:hAnsi="Times New Roman"/>
                <w:kern w:val="0"/>
                <w:sz w:val="20"/>
                <w:szCs w:val="20"/>
              </w:rPr>
              <w:t>/</w:t>
            </w:r>
            <w:r>
              <w:rPr>
                <w:rFonts w:hint="eastAsia" w:ascii="宋体" w:hAnsi="宋体" w:cs="Arial"/>
                <w:kern w:val="0"/>
                <w:sz w:val="20"/>
                <w:szCs w:val="20"/>
              </w:rPr>
              <w:t>停止双流共享、延长会议等功能，</w:t>
            </w:r>
            <w:r>
              <w:rPr>
                <w:rFonts w:hint="eastAsia" w:ascii="宋体" w:hAnsi="宋体" w:cs="Arial"/>
                <w:bCs/>
                <w:kern w:val="0"/>
                <w:sz w:val="20"/>
                <w:szCs w:val="20"/>
              </w:rPr>
              <w:t>须提供</w:t>
            </w:r>
            <w:r>
              <w:rPr>
                <w:rFonts w:ascii="Times New Roman" w:hAnsi="Times New Roman"/>
                <w:bCs/>
                <w:kern w:val="0"/>
                <w:sz w:val="20"/>
                <w:szCs w:val="20"/>
              </w:rPr>
              <w:t>CNAS</w:t>
            </w:r>
            <w:r>
              <w:rPr>
                <w:rFonts w:hint="eastAsia" w:ascii="宋体" w:hAnsi="宋体" w:cs="Arial"/>
                <w:bCs/>
                <w:kern w:val="0"/>
                <w:sz w:val="20"/>
                <w:szCs w:val="20"/>
              </w:rPr>
              <w:t>认可的检测机构出具的测试报告证明。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vMerge w:val="restart"/>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触控终端</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标配触控终端，触控屏≥</w:t>
            </w:r>
            <w:r>
              <w:rPr>
                <w:rFonts w:ascii="Times New Roman" w:hAnsi="Times New Roman"/>
                <w:kern w:val="0"/>
                <w:sz w:val="20"/>
                <w:szCs w:val="20"/>
              </w:rPr>
              <w:t>10</w:t>
            </w:r>
            <w:r>
              <w:rPr>
                <w:rFonts w:hint="eastAsia" w:ascii="宋体" w:hAnsi="宋体" w:cs="Arial"/>
                <w:kern w:val="0"/>
                <w:sz w:val="20"/>
                <w:szCs w:val="20"/>
              </w:rPr>
              <w:t>英寸，分辨率不小于</w:t>
            </w:r>
            <w:r>
              <w:rPr>
                <w:rFonts w:ascii="Times New Roman" w:hAnsi="Times New Roman"/>
                <w:kern w:val="0"/>
                <w:sz w:val="20"/>
                <w:szCs w:val="20"/>
              </w:rPr>
              <w:t>1920</w:t>
            </w:r>
            <w:r>
              <w:rPr>
                <w:rFonts w:hint="eastAsia" w:ascii="宋体" w:hAnsi="宋体" w:cs="Arial"/>
                <w:kern w:val="0"/>
                <w:sz w:val="20"/>
                <w:szCs w:val="20"/>
              </w:rPr>
              <w:t>×</w:t>
            </w:r>
            <w:r>
              <w:rPr>
                <w:rFonts w:ascii="Times New Roman" w:hAnsi="Times New Roman"/>
                <w:kern w:val="0"/>
                <w:sz w:val="20"/>
                <w:szCs w:val="20"/>
              </w:rPr>
              <w:t>1200</w:t>
            </w:r>
            <w:r>
              <w:rPr>
                <w:rFonts w:hint="eastAsia" w:ascii="宋体" w:hAnsi="宋体" w:cs="Arial"/>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1649" w:type="dxa"/>
            <w:vMerge w:val="continue"/>
            <w:vAlign w:val="center"/>
          </w:tcPr>
          <w:p>
            <w:pPr>
              <w:widowControl/>
              <w:jc w:val="center"/>
              <w:rPr>
                <w:rFonts w:ascii="宋体" w:hAnsi="宋体" w:cs="Arial"/>
                <w:bCs/>
                <w:kern w:val="0"/>
                <w:sz w:val="20"/>
                <w:szCs w:val="20"/>
              </w:rPr>
            </w:pP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支持终端休眠和唤醒、创建会议、静音</w:t>
            </w:r>
            <w:r>
              <w:rPr>
                <w:rFonts w:ascii="Times New Roman" w:hAnsi="Times New Roman"/>
                <w:kern w:val="0"/>
                <w:sz w:val="20"/>
                <w:szCs w:val="20"/>
              </w:rPr>
              <w:t>/</w:t>
            </w:r>
            <w:r>
              <w:rPr>
                <w:rFonts w:hint="eastAsia" w:ascii="宋体" w:hAnsi="宋体" w:cs="Arial"/>
                <w:kern w:val="0"/>
                <w:sz w:val="20"/>
                <w:szCs w:val="20"/>
              </w:rPr>
              <w:t>闭音、音量调节、摄像机</w:t>
            </w:r>
            <w:r>
              <w:rPr>
                <w:rFonts w:ascii="Times New Roman" w:hAnsi="Times New Roman"/>
                <w:kern w:val="0"/>
                <w:sz w:val="20"/>
                <w:szCs w:val="20"/>
              </w:rPr>
              <w:t>PTZ</w:t>
            </w:r>
            <w:r>
              <w:rPr>
                <w:rFonts w:hint="eastAsia" w:ascii="宋体" w:hAnsi="宋体" w:cs="Arial"/>
                <w:kern w:val="0"/>
                <w:sz w:val="20"/>
                <w:szCs w:val="20"/>
              </w:rPr>
              <w:t>控制、预置位调用、双流共享、呼叫</w:t>
            </w:r>
            <w:r>
              <w:rPr>
                <w:rFonts w:ascii="Times New Roman" w:hAnsi="Times New Roman"/>
                <w:kern w:val="0"/>
                <w:sz w:val="20"/>
                <w:szCs w:val="20"/>
              </w:rPr>
              <w:t>/</w:t>
            </w:r>
            <w:r>
              <w:rPr>
                <w:rFonts w:hint="eastAsia" w:ascii="宋体" w:hAnsi="宋体" w:cs="Arial"/>
                <w:kern w:val="0"/>
                <w:sz w:val="20"/>
                <w:szCs w:val="20"/>
              </w:rPr>
              <w:t>挂断会场、添加</w:t>
            </w:r>
            <w:r>
              <w:rPr>
                <w:rFonts w:ascii="Times New Roman" w:hAnsi="Times New Roman"/>
                <w:kern w:val="0"/>
                <w:sz w:val="20"/>
                <w:szCs w:val="20"/>
              </w:rPr>
              <w:t>/</w:t>
            </w:r>
            <w:r>
              <w:rPr>
                <w:rFonts w:hint="eastAsia" w:ascii="宋体" w:hAnsi="宋体" w:cs="Arial"/>
                <w:kern w:val="0"/>
                <w:sz w:val="20"/>
                <w:szCs w:val="20"/>
              </w:rPr>
              <w:t>删除会场、观看</w:t>
            </w:r>
            <w:r>
              <w:rPr>
                <w:rFonts w:ascii="Times New Roman" w:hAnsi="Times New Roman"/>
                <w:kern w:val="0"/>
                <w:sz w:val="20"/>
                <w:szCs w:val="20"/>
              </w:rPr>
              <w:t>/</w:t>
            </w:r>
            <w:r>
              <w:rPr>
                <w:rFonts w:hint="eastAsia" w:ascii="宋体" w:hAnsi="宋体" w:cs="Arial"/>
                <w:kern w:val="0"/>
                <w:sz w:val="20"/>
                <w:szCs w:val="20"/>
              </w:rPr>
              <w:t>广播会场、多画面设置、声控切换、结束会议等功能。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证书指标</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须提供所投设备的电信入网证、</w:t>
            </w:r>
            <w:r>
              <w:rPr>
                <w:rFonts w:ascii="Times New Roman" w:hAnsi="Times New Roman"/>
                <w:kern w:val="0"/>
                <w:sz w:val="20"/>
                <w:szCs w:val="20"/>
              </w:rPr>
              <w:t>CCC</w:t>
            </w:r>
            <w:r>
              <w:rPr>
                <w:rFonts w:hint="eastAsia" w:ascii="宋体" w:hAnsi="宋体" w:cs="Arial"/>
                <w:kern w:val="0"/>
                <w:sz w:val="20"/>
                <w:szCs w:val="20"/>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shd w:val="clear" w:color="auto" w:fill="auto"/>
            <w:vAlign w:val="center"/>
          </w:tcPr>
          <w:p>
            <w:pPr>
              <w:widowControl/>
              <w:jc w:val="center"/>
              <w:rPr>
                <w:rFonts w:ascii="宋体" w:hAnsi="宋体" w:cs="Arial"/>
                <w:bCs/>
                <w:kern w:val="0"/>
                <w:sz w:val="20"/>
                <w:szCs w:val="20"/>
              </w:rPr>
            </w:pPr>
            <w:r>
              <w:t>高清摄像头</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所投产品必须与指挥终端同一品牌。</w:t>
            </w:r>
          </w:p>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800</w:t>
            </w:r>
            <w:r>
              <w:rPr>
                <w:rFonts w:hint="eastAsia" w:ascii="宋体" w:hAnsi="宋体" w:cs="Arial"/>
                <w:kern w:val="0"/>
                <w:sz w:val="20"/>
                <w:szCs w:val="20"/>
              </w:rPr>
              <w:t>万像素</w:t>
            </w:r>
            <w:r>
              <w:rPr>
                <w:rFonts w:ascii="Times New Roman" w:hAnsi="Times New Roman"/>
                <w:kern w:val="0"/>
                <w:sz w:val="20"/>
                <w:szCs w:val="20"/>
              </w:rPr>
              <w:t>1/2.5</w:t>
            </w:r>
            <w:r>
              <w:rPr>
                <w:rFonts w:hint="eastAsia" w:ascii="宋体" w:hAnsi="宋体" w:cs="Arial"/>
                <w:kern w:val="0"/>
                <w:sz w:val="20"/>
                <w:szCs w:val="20"/>
              </w:rPr>
              <w:t>英寸</w:t>
            </w:r>
            <w:r>
              <w:rPr>
                <w:rFonts w:ascii="Times New Roman" w:hAnsi="Times New Roman"/>
                <w:kern w:val="0"/>
                <w:sz w:val="20"/>
                <w:szCs w:val="20"/>
              </w:rPr>
              <w:t>CMOS</w:t>
            </w:r>
            <w:r>
              <w:rPr>
                <w:rFonts w:hint="eastAsia" w:ascii="宋体" w:hAnsi="宋体" w:cs="Arial"/>
                <w:kern w:val="0"/>
                <w:sz w:val="20"/>
                <w:szCs w:val="20"/>
              </w:rPr>
              <w:t>成像芯片。</w:t>
            </w:r>
          </w:p>
          <w:p>
            <w:pPr>
              <w:widowControl/>
              <w:jc w:val="left"/>
              <w:rPr>
                <w:rFonts w:ascii="宋体" w:hAnsi="宋体" w:cs="Arial"/>
                <w:bCs/>
                <w:kern w:val="0"/>
                <w:sz w:val="20"/>
                <w:szCs w:val="20"/>
              </w:rPr>
            </w:pPr>
            <w:r>
              <w:rPr>
                <w:rFonts w:hint="eastAsia" w:ascii="宋体" w:hAnsi="宋体" w:cs="Arial"/>
                <w:kern w:val="0"/>
                <w:sz w:val="20"/>
                <w:szCs w:val="20"/>
              </w:rPr>
              <w:t>支持</w:t>
            </w:r>
            <w:r>
              <w:rPr>
                <w:rFonts w:ascii="Times New Roman" w:hAnsi="Times New Roman"/>
                <w:kern w:val="0"/>
                <w:sz w:val="20"/>
                <w:szCs w:val="20"/>
              </w:rPr>
              <w:t>1080P 50/60fps</w:t>
            </w:r>
            <w:r>
              <w:rPr>
                <w:rFonts w:hint="eastAsia" w:ascii="宋体" w:hAnsi="宋体" w:cs="Arial"/>
                <w:kern w:val="0"/>
                <w:sz w:val="20"/>
                <w:szCs w:val="20"/>
              </w:rPr>
              <w:t>、</w:t>
            </w:r>
            <w:r>
              <w:rPr>
                <w:rFonts w:ascii="Times New Roman" w:hAnsi="Times New Roman"/>
                <w:kern w:val="0"/>
                <w:sz w:val="20"/>
                <w:szCs w:val="20"/>
              </w:rPr>
              <w:t>1080i 50/60</w:t>
            </w:r>
            <w:r>
              <w:rPr>
                <w:rFonts w:hint="eastAsia" w:ascii="宋体" w:hAnsi="宋体" w:cs="Arial"/>
                <w:kern w:val="0"/>
                <w:sz w:val="20"/>
                <w:szCs w:val="20"/>
              </w:rPr>
              <w:t>、</w:t>
            </w:r>
            <w:r>
              <w:rPr>
                <w:rFonts w:ascii="Times New Roman" w:hAnsi="Times New Roman"/>
                <w:kern w:val="0"/>
                <w:sz w:val="20"/>
                <w:szCs w:val="20"/>
              </w:rPr>
              <w:t>1080p 25/30</w:t>
            </w:r>
            <w:r>
              <w:rPr>
                <w:rFonts w:hint="eastAsia" w:ascii="宋体" w:hAnsi="宋体" w:cs="Arial"/>
                <w:kern w:val="0"/>
                <w:sz w:val="20"/>
                <w:szCs w:val="20"/>
              </w:rPr>
              <w:t>、</w:t>
            </w:r>
            <w:r>
              <w:rPr>
                <w:rFonts w:ascii="Times New Roman" w:hAnsi="Times New Roman"/>
                <w:kern w:val="0"/>
                <w:sz w:val="20"/>
                <w:szCs w:val="20"/>
              </w:rPr>
              <w:t>720P50/60fps</w:t>
            </w:r>
            <w:r>
              <w:rPr>
                <w:rFonts w:hint="eastAsia" w:ascii="宋体" w:hAnsi="宋体" w:cs="Arial"/>
                <w:kern w:val="0"/>
                <w:sz w:val="20"/>
                <w:szCs w:val="20"/>
              </w:rPr>
              <w:t>视频输出</w:t>
            </w:r>
            <w:r>
              <w:rPr>
                <w:rFonts w:hint="eastAsia" w:ascii="宋体" w:hAnsi="宋体" w:cs="Arial"/>
                <w:bCs/>
                <w:kern w:val="0"/>
                <w:sz w:val="20"/>
                <w:szCs w:val="20"/>
              </w:rPr>
              <w:t>。</w:t>
            </w:r>
          </w:p>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12</w:t>
            </w:r>
            <w:r>
              <w:rPr>
                <w:rFonts w:hint="eastAsia" w:ascii="宋体" w:hAnsi="宋体" w:cs="Arial"/>
                <w:kern w:val="0"/>
                <w:sz w:val="20"/>
                <w:szCs w:val="20"/>
              </w:rPr>
              <w:t>倍光学变焦。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9" w:type="dxa"/>
            <w:shd w:val="clear" w:color="auto" w:fill="auto"/>
            <w:vAlign w:val="center"/>
          </w:tcPr>
          <w:p>
            <w:pPr>
              <w:pStyle w:val="8"/>
              <w:jc w:val="center"/>
              <w:rPr>
                <w:color w:val="auto"/>
              </w:rPr>
            </w:pPr>
            <w:r>
              <w:rPr>
                <w:rFonts w:ascii="Calibri" w:cs="Times New Roman"/>
                <w:b w:val="0"/>
                <w:color w:val="auto"/>
                <w:sz w:val="21"/>
              </w:rPr>
              <w:t>阵列全向麦</w:t>
            </w:r>
          </w:p>
        </w:tc>
        <w:tc>
          <w:tcPr>
            <w:tcW w:w="7753" w:type="dxa"/>
            <w:shd w:val="clear" w:color="auto" w:fill="auto"/>
            <w:vAlign w:val="center"/>
          </w:tcPr>
          <w:p>
            <w:pPr>
              <w:widowControl/>
              <w:jc w:val="left"/>
              <w:rPr>
                <w:rFonts w:ascii="宋体" w:hAnsi="宋体" w:cs="Arial"/>
                <w:kern w:val="0"/>
                <w:sz w:val="20"/>
                <w:szCs w:val="20"/>
              </w:rPr>
            </w:pPr>
            <w:r>
              <w:rPr>
                <w:rFonts w:hint="eastAsia" w:ascii="宋体" w:hAnsi="宋体" w:cs="Arial"/>
                <w:kern w:val="0"/>
                <w:sz w:val="20"/>
                <w:szCs w:val="20"/>
              </w:rPr>
              <w:t>字阵列麦克风，支持</w:t>
            </w:r>
            <w:r>
              <w:rPr>
                <w:rFonts w:ascii="Times New Roman" w:hAnsi="Times New Roman"/>
                <w:kern w:val="0"/>
                <w:sz w:val="20"/>
                <w:szCs w:val="20"/>
              </w:rPr>
              <w:t>360°</w:t>
            </w:r>
            <w:r>
              <w:rPr>
                <w:rFonts w:hint="eastAsia" w:ascii="宋体" w:hAnsi="宋体" w:cs="Arial"/>
                <w:kern w:val="0"/>
                <w:sz w:val="20"/>
                <w:szCs w:val="20"/>
              </w:rPr>
              <w:t>全向拾音，拾音距离≥</w:t>
            </w:r>
            <w:r>
              <w:rPr>
                <w:rFonts w:ascii="Times New Roman" w:hAnsi="Times New Roman"/>
                <w:kern w:val="0"/>
                <w:sz w:val="20"/>
                <w:szCs w:val="20"/>
              </w:rPr>
              <w:t>6</w:t>
            </w:r>
            <w:r>
              <w:rPr>
                <w:rFonts w:hint="eastAsia" w:ascii="宋体" w:hAnsi="宋体" w:cs="Arial"/>
                <w:kern w:val="0"/>
                <w:sz w:val="20"/>
                <w:szCs w:val="20"/>
              </w:rPr>
              <w:t>米。</w:t>
            </w:r>
          </w:p>
          <w:p>
            <w:pPr>
              <w:widowControl/>
              <w:jc w:val="left"/>
              <w:rPr>
                <w:rFonts w:ascii="宋体" w:hAnsi="宋体" w:cs="Arial"/>
                <w:kern w:val="0"/>
                <w:sz w:val="20"/>
                <w:szCs w:val="20"/>
              </w:rPr>
            </w:pPr>
            <w:r>
              <w:rPr>
                <w:rFonts w:hint="eastAsia" w:ascii="宋体" w:hAnsi="宋体" w:cs="Arial"/>
                <w:kern w:val="0"/>
                <w:sz w:val="20"/>
                <w:szCs w:val="20"/>
              </w:rPr>
              <w:t>支持回声抵消、自动增益控制、自动噪声抑制。</w:t>
            </w:r>
          </w:p>
          <w:p>
            <w:pPr>
              <w:widowControl/>
              <w:jc w:val="left"/>
              <w:rPr>
                <w:rFonts w:ascii="宋体" w:hAnsi="宋体" w:cs="Arial"/>
                <w:kern w:val="0"/>
                <w:sz w:val="20"/>
                <w:szCs w:val="20"/>
              </w:rPr>
            </w:pPr>
            <w:r>
              <w:rPr>
                <w:rFonts w:hint="eastAsia" w:ascii="宋体" w:hAnsi="宋体" w:cs="Arial"/>
                <w:kern w:val="0"/>
                <w:sz w:val="20"/>
                <w:szCs w:val="20"/>
              </w:rPr>
              <w:t>支持最大三级级联，以满足不同面积会议室的应用需求。</w:t>
            </w:r>
          </w:p>
        </w:tc>
      </w:tr>
    </w:tbl>
    <w:p>
      <w:pPr>
        <w:pStyle w:val="141"/>
        <w:numPr>
          <w:ilvl w:val="3"/>
          <w:numId w:val="7"/>
        </w:numPr>
        <w:tabs>
          <w:tab w:val="clear" w:pos="851"/>
        </w:tabs>
        <w:outlineLvl w:val="4"/>
        <w:rPr>
          <w:rFonts w:ascii="宋体" w:hAnsi="宋体" w:eastAsia="宋体" w:cs="宋体"/>
          <w:color w:val="auto"/>
          <w:sz w:val="24"/>
          <w:szCs w:val="24"/>
        </w:rPr>
      </w:pPr>
      <w:bookmarkStart w:id="133" w:name="_Toc46241999"/>
      <w:r>
        <w:rPr>
          <w:rFonts w:hint="eastAsia" w:ascii="宋体" w:hAnsi="宋体" w:eastAsia="宋体" w:cs="宋体"/>
          <w:color w:val="auto"/>
          <w:sz w:val="24"/>
          <w:szCs w:val="24"/>
        </w:rPr>
        <w:t>视频解码器</w:t>
      </w:r>
      <w:bookmarkEnd w:id="133"/>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7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762" w:type="dxa"/>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vMerge w:val="restart"/>
            <w:shd w:val="clear" w:color="000000" w:fill="FFFFFF"/>
            <w:vAlign w:val="center"/>
          </w:tcPr>
          <w:p>
            <w:pPr>
              <w:widowControl/>
              <w:jc w:val="center"/>
              <w:rPr>
                <w:rFonts w:ascii="宋体" w:hAnsi="宋体" w:cs="Arial"/>
                <w:bCs/>
                <w:kern w:val="0"/>
                <w:sz w:val="20"/>
                <w:szCs w:val="20"/>
              </w:rPr>
            </w:pPr>
            <w:r>
              <w:rPr>
                <w:rFonts w:hint="eastAsia" w:ascii="宋体" w:hAnsi="宋体" w:cs="Arial"/>
                <w:bCs/>
                <w:kern w:val="0"/>
                <w:sz w:val="20"/>
                <w:szCs w:val="20"/>
              </w:rPr>
              <w:t>技术要求</w:t>
            </w: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须与视频联接平台（MCU）同一品牌；采用嵌入式设计，非</w:t>
            </w:r>
            <w:r>
              <w:rPr>
                <w:rFonts w:ascii="Times New Roman" w:hAnsi="Times New Roman"/>
                <w:kern w:val="0"/>
                <w:sz w:val="20"/>
                <w:szCs w:val="20"/>
              </w:rPr>
              <w:t>Windows</w:t>
            </w:r>
            <w:r>
              <w:rPr>
                <w:rFonts w:hint="eastAsia" w:ascii="宋体" w:hAnsi="宋体" w:cs="Arial"/>
                <w:kern w:val="0"/>
                <w:sz w:val="20"/>
                <w:szCs w:val="20"/>
              </w:rPr>
              <w:t>非工控机。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vMerge w:val="continue"/>
            <w:vAlign w:val="center"/>
          </w:tcPr>
          <w:p>
            <w:pPr>
              <w:widowControl/>
              <w:jc w:val="left"/>
              <w:rPr>
                <w:rFonts w:ascii="宋体" w:hAnsi="宋体" w:cs="Arial"/>
                <w:bCs/>
                <w:kern w:val="0"/>
                <w:sz w:val="20"/>
                <w:szCs w:val="20"/>
              </w:rPr>
            </w:pP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8</w:t>
            </w:r>
            <w:r>
              <w:rPr>
                <w:rFonts w:hint="eastAsia" w:ascii="宋体" w:hAnsi="宋体" w:cs="Arial"/>
                <w:kern w:val="0"/>
                <w:sz w:val="20"/>
                <w:szCs w:val="20"/>
              </w:rPr>
              <w:t>路</w:t>
            </w:r>
            <w:r>
              <w:rPr>
                <w:rFonts w:ascii="Times New Roman" w:hAnsi="Times New Roman"/>
                <w:kern w:val="0"/>
                <w:sz w:val="20"/>
                <w:szCs w:val="20"/>
              </w:rPr>
              <w:t>HDMI</w:t>
            </w:r>
            <w:r>
              <w:rPr>
                <w:rFonts w:hint="eastAsia" w:ascii="宋体" w:hAnsi="宋体" w:cs="Arial"/>
                <w:kern w:val="0"/>
                <w:sz w:val="20"/>
                <w:szCs w:val="20"/>
              </w:rPr>
              <w:t>高清输出，支持堆叠扩展。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vMerge w:val="continue"/>
            <w:vAlign w:val="center"/>
          </w:tcPr>
          <w:p>
            <w:pPr>
              <w:widowControl/>
              <w:jc w:val="left"/>
              <w:rPr>
                <w:rFonts w:ascii="宋体" w:hAnsi="宋体" w:cs="Arial"/>
                <w:bCs/>
                <w:kern w:val="0"/>
                <w:sz w:val="20"/>
                <w:szCs w:val="20"/>
              </w:rPr>
            </w:pP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H.264BP</w:t>
            </w:r>
            <w:r>
              <w:rPr>
                <w:rFonts w:hint="eastAsia" w:ascii="宋体" w:hAnsi="宋体" w:cs="Arial"/>
                <w:kern w:val="0"/>
                <w:sz w:val="20"/>
                <w:szCs w:val="20"/>
              </w:rPr>
              <w:t>、</w:t>
            </w:r>
            <w:r>
              <w:rPr>
                <w:rFonts w:ascii="Times New Roman" w:hAnsi="Times New Roman"/>
                <w:kern w:val="0"/>
                <w:sz w:val="20"/>
                <w:szCs w:val="20"/>
              </w:rPr>
              <w:t>H.264HP</w:t>
            </w:r>
            <w:r>
              <w:rPr>
                <w:rFonts w:hint="eastAsia" w:ascii="宋体" w:hAnsi="宋体" w:cs="Arial"/>
                <w:kern w:val="0"/>
                <w:sz w:val="20"/>
                <w:szCs w:val="20"/>
              </w:rPr>
              <w:t>、</w:t>
            </w:r>
            <w:r>
              <w:rPr>
                <w:rFonts w:ascii="Times New Roman" w:hAnsi="Times New Roman"/>
                <w:kern w:val="0"/>
                <w:sz w:val="20"/>
                <w:szCs w:val="20"/>
              </w:rPr>
              <w:t>H.265</w:t>
            </w:r>
            <w:r>
              <w:rPr>
                <w:rFonts w:hint="eastAsia" w:ascii="宋体" w:hAnsi="宋体" w:cs="Arial"/>
                <w:kern w:val="0"/>
                <w:sz w:val="20"/>
                <w:szCs w:val="20"/>
              </w:rPr>
              <w:t>等视频协议。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vMerge w:val="continue"/>
            <w:vAlign w:val="center"/>
          </w:tcPr>
          <w:p>
            <w:pPr>
              <w:widowControl/>
              <w:jc w:val="left"/>
              <w:rPr>
                <w:rFonts w:ascii="宋体" w:hAnsi="宋体" w:cs="Arial"/>
                <w:bCs/>
                <w:kern w:val="0"/>
                <w:sz w:val="20"/>
                <w:szCs w:val="20"/>
              </w:rPr>
            </w:pP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1080P60 fps</w:t>
            </w:r>
            <w:r>
              <w:rPr>
                <w:rFonts w:hint="eastAsia" w:ascii="宋体" w:hAnsi="宋体" w:cs="Arial"/>
                <w:kern w:val="0"/>
                <w:sz w:val="20"/>
                <w:szCs w:val="20"/>
              </w:rPr>
              <w:t>、</w:t>
            </w:r>
            <w:r>
              <w:rPr>
                <w:rFonts w:ascii="Times New Roman" w:hAnsi="Times New Roman"/>
                <w:kern w:val="0"/>
                <w:sz w:val="20"/>
                <w:szCs w:val="20"/>
              </w:rPr>
              <w:t>1080P30 fps</w:t>
            </w:r>
            <w:r>
              <w:rPr>
                <w:rFonts w:hint="eastAsia" w:ascii="宋体" w:hAnsi="宋体" w:cs="Arial"/>
                <w:kern w:val="0"/>
                <w:sz w:val="20"/>
                <w:szCs w:val="20"/>
              </w:rPr>
              <w:t>、</w:t>
            </w:r>
            <w:r>
              <w:rPr>
                <w:rFonts w:ascii="Times New Roman" w:hAnsi="Times New Roman"/>
                <w:kern w:val="0"/>
                <w:sz w:val="20"/>
                <w:szCs w:val="20"/>
              </w:rPr>
              <w:t>720P30 fps</w:t>
            </w:r>
            <w:r>
              <w:rPr>
                <w:rFonts w:hint="eastAsia" w:ascii="宋体" w:hAnsi="宋体" w:cs="Arial"/>
                <w:kern w:val="0"/>
                <w:sz w:val="20"/>
                <w:szCs w:val="20"/>
              </w:rPr>
              <w:t>、</w:t>
            </w:r>
            <w:r>
              <w:rPr>
                <w:rFonts w:ascii="Times New Roman" w:hAnsi="Times New Roman"/>
                <w:kern w:val="0"/>
                <w:sz w:val="20"/>
                <w:szCs w:val="20"/>
              </w:rPr>
              <w:t>4CIF</w:t>
            </w:r>
            <w:r>
              <w:rPr>
                <w:rFonts w:hint="eastAsia" w:ascii="宋体" w:hAnsi="宋体" w:cs="Arial"/>
                <w:kern w:val="0"/>
                <w:sz w:val="20"/>
                <w:szCs w:val="20"/>
              </w:rPr>
              <w:t>、</w:t>
            </w:r>
            <w:r>
              <w:rPr>
                <w:rFonts w:ascii="Times New Roman" w:hAnsi="Times New Roman"/>
                <w:kern w:val="0"/>
                <w:sz w:val="20"/>
                <w:szCs w:val="20"/>
              </w:rPr>
              <w:t>CIF</w:t>
            </w:r>
            <w:r>
              <w:rPr>
                <w:rFonts w:hint="eastAsia" w:ascii="宋体" w:hAnsi="宋体" w:cs="Arial"/>
                <w:kern w:val="0"/>
                <w:sz w:val="20"/>
                <w:szCs w:val="20"/>
              </w:rPr>
              <w:t>等分辨率。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vMerge w:val="continue"/>
            <w:vAlign w:val="center"/>
          </w:tcPr>
          <w:p>
            <w:pPr>
              <w:widowControl/>
              <w:jc w:val="left"/>
              <w:rPr>
                <w:rFonts w:ascii="宋体" w:hAnsi="宋体" w:cs="Arial"/>
                <w:bCs/>
                <w:kern w:val="0"/>
                <w:sz w:val="20"/>
                <w:szCs w:val="20"/>
              </w:rPr>
            </w:pP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w:t>
            </w:r>
            <w:r>
              <w:rPr>
                <w:rFonts w:ascii="Times New Roman" w:hAnsi="Times New Roman"/>
                <w:kern w:val="0"/>
                <w:sz w:val="20"/>
                <w:szCs w:val="20"/>
              </w:rPr>
              <w:t>10M/100M/1000M</w:t>
            </w:r>
            <w:r>
              <w:rPr>
                <w:rFonts w:hint="eastAsia" w:ascii="宋体" w:hAnsi="宋体" w:cs="Arial"/>
                <w:kern w:val="0"/>
                <w:sz w:val="20"/>
                <w:szCs w:val="20"/>
              </w:rPr>
              <w:t>自适应网口。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trPr>
        <w:tc>
          <w:tcPr>
            <w:tcW w:w="1640" w:type="dxa"/>
            <w:vMerge w:val="continue"/>
            <w:vAlign w:val="center"/>
          </w:tcPr>
          <w:p>
            <w:pPr>
              <w:widowControl/>
              <w:jc w:val="left"/>
              <w:rPr>
                <w:rFonts w:ascii="宋体" w:hAnsi="宋体" w:cs="Arial"/>
                <w:bCs/>
                <w:kern w:val="0"/>
                <w:sz w:val="20"/>
                <w:szCs w:val="20"/>
              </w:rPr>
            </w:pP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支持网络抗丢包机制，当网络丢包时画面马赛克和卡顿可自动恢复。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vMerge w:val="continue"/>
            <w:vAlign w:val="center"/>
          </w:tcPr>
          <w:p>
            <w:pPr>
              <w:widowControl/>
              <w:jc w:val="left"/>
              <w:rPr>
                <w:rFonts w:ascii="宋体" w:hAnsi="宋体" w:cs="Arial"/>
                <w:bCs/>
                <w:kern w:val="0"/>
                <w:sz w:val="20"/>
                <w:szCs w:val="20"/>
              </w:rPr>
            </w:pP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支持以加密模式接入的会议终端，解码上墙观看。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40" w:type="dxa"/>
            <w:vMerge w:val="continue"/>
            <w:vAlign w:val="center"/>
          </w:tcPr>
          <w:p>
            <w:pPr>
              <w:widowControl/>
              <w:jc w:val="left"/>
              <w:rPr>
                <w:rFonts w:ascii="宋体" w:hAnsi="宋体" w:cs="Arial"/>
                <w:bCs/>
                <w:kern w:val="0"/>
                <w:sz w:val="20"/>
                <w:szCs w:val="20"/>
              </w:rPr>
            </w:pPr>
          </w:p>
        </w:tc>
        <w:tc>
          <w:tcPr>
            <w:tcW w:w="7762" w:type="dxa"/>
            <w:shd w:val="clear" w:color="000000" w:fill="FFFFFF"/>
            <w:vAlign w:val="center"/>
          </w:tcPr>
          <w:p>
            <w:pPr>
              <w:widowControl/>
              <w:jc w:val="left"/>
              <w:rPr>
                <w:rFonts w:ascii="宋体" w:hAnsi="宋体" w:cs="Arial"/>
                <w:kern w:val="0"/>
                <w:sz w:val="20"/>
                <w:szCs w:val="20"/>
              </w:rPr>
            </w:pPr>
            <w:r>
              <w:rPr>
                <w:rFonts w:hint="eastAsia" w:ascii="宋体" w:hAnsi="宋体" w:cs="Arial"/>
                <w:kern w:val="0"/>
                <w:sz w:val="20"/>
                <w:szCs w:val="20"/>
              </w:rPr>
              <w:t>支持通过局域网和互联网接入的</w:t>
            </w:r>
            <w:r>
              <w:rPr>
                <w:rFonts w:ascii="Times New Roman" w:hAnsi="Times New Roman"/>
                <w:kern w:val="0"/>
                <w:sz w:val="20"/>
                <w:szCs w:val="20"/>
              </w:rPr>
              <w:t>H.323/SIP</w:t>
            </w:r>
            <w:r>
              <w:rPr>
                <w:rFonts w:hint="eastAsia" w:ascii="宋体" w:hAnsi="宋体" w:cs="Arial"/>
                <w:kern w:val="0"/>
                <w:sz w:val="20"/>
                <w:szCs w:val="20"/>
              </w:rPr>
              <w:t>会议终端，解码上墙观看。</w:t>
            </w:r>
          </w:p>
        </w:tc>
      </w:tr>
    </w:tbl>
    <w:p/>
    <w:p>
      <w:pPr>
        <w:pStyle w:val="141"/>
        <w:numPr>
          <w:ilvl w:val="3"/>
          <w:numId w:val="7"/>
        </w:numPr>
        <w:tabs>
          <w:tab w:val="clear" w:pos="851"/>
        </w:tabs>
        <w:outlineLvl w:val="4"/>
        <w:rPr>
          <w:rFonts w:ascii="宋体" w:hAnsi="宋体" w:eastAsia="宋体" w:cs="宋体"/>
          <w:color w:val="auto"/>
          <w:sz w:val="24"/>
          <w:szCs w:val="24"/>
        </w:rPr>
      </w:pPr>
      <w:bookmarkStart w:id="134" w:name="_Toc46242000"/>
      <w:r>
        <w:rPr>
          <w:rFonts w:hint="eastAsia" w:ascii="宋体" w:hAnsi="宋体" w:eastAsia="宋体" w:cs="宋体"/>
          <w:color w:val="auto"/>
          <w:sz w:val="24"/>
          <w:szCs w:val="24"/>
        </w:rPr>
        <w:t>交互式指挥大屏</w:t>
      </w:r>
      <w:bookmarkEnd w:id="134"/>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shd w:val="clear" w:color="000000" w:fill="D9D9D9"/>
            <w:noWrap/>
          </w:tcPr>
          <w:p>
            <w:pPr>
              <w:rPr>
                <w:rFonts w:ascii="宋体" w:hAnsi="宋体" w:cs="Arial"/>
                <w:kern w:val="0"/>
                <w:sz w:val="20"/>
                <w:szCs w:val="20"/>
              </w:rPr>
            </w:pPr>
            <w:r>
              <w:rPr>
                <w:rFonts w:hint="eastAsia" w:ascii="宋体" w:hAnsi="宋体" w:cs="Arial"/>
                <w:kern w:val="0"/>
                <w:sz w:val="20"/>
                <w:szCs w:val="20"/>
              </w:rPr>
              <w:t>指</w:t>
            </w:r>
            <w:r>
              <w:rPr>
                <w:rFonts w:ascii="宋体" w:hAnsi="宋体" w:cs="Arial"/>
                <w:kern w:val="0"/>
                <w:sz w:val="20"/>
                <w:szCs w:val="20"/>
              </w:rPr>
              <w:t xml:space="preserve"> </w:t>
            </w:r>
            <w:r>
              <w:rPr>
                <w:rFonts w:hint="eastAsia" w:ascii="宋体" w:hAnsi="宋体" w:cs="Arial"/>
                <w:kern w:val="0"/>
                <w:sz w:val="20"/>
                <w:szCs w:val="20"/>
              </w:rPr>
              <w:t>标</w:t>
            </w:r>
            <w:r>
              <w:rPr>
                <w:rFonts w:ascii="宋体" w:hAnsi="宋体" w:cs="Arial"/>
                <w:kern w:val="0"/>
                <w:sz w:val="20"/>
                <w:szCs w:val="20"/>
              </w:rPr>
              <w:t xml:space="preserve"> </w:t>
            </w:r>
            <w:r>
              <w:rPr>
                <w:rFonts w:hint="eastAsia" w:ascii="宋体" w:hAnsi="宋体" w:cs="Arial"/>
                <w:kern w:val="0"/>
                <w:sz w:val="20"/>
                <w:szCs w:val="20"/>
              </w:rPr>
              <w:t>项</w:t>
            </w:r>
          </w:p>
        </w:tc>
        <w:tc>
          <w:tcPr>
            <w:tcW w:w="8719" w:type="dxa"/>
            <w:shd w:val="clear" w:color="000000" w:fill="D9D9D9"/>
            <w:noWrap/>
          </w:tcPr>
          <w:p>
            <w:pPr>
              <w:rPr>
                <w:rFonts w:ascii="宋体" w:hAnsi="宋体" w:cs="Arial"/>
                <w:kern w:val="0"/>
                <w:sz w:val="20"/>
                <w:szCs w:val="20"/>
              </w:rPr>
            </w:pPr>
            <w:r>
              <w:rPr>
                <w:rFonts w:hint="eastAsia" w:ascii="宋体" w:hAnsi="宋体" w:cs="Arial"/>
                <w:kern w:val="0"/>
                <w:sz w:val="20"/>
                <w:szCs w:val="20"/>
              </w:rPr>
              <w:t>指</w:t>
            </w:r>
            <w:r>
              <w:rPr>
                <w:rFonts w:ascii="宋体" w:hAnsi="宋体" w:cs="Arial"/>
                <w:kern w:val="0"/>
                <w:sz w:val="20"/>
                <w:szCs w:val="20"/>
              </w:rPr>
              <w:t xml:space="preserve"> </w:t>
            </w:r>
            <w:r>
              <w:rPr>
                <w:rFonts w:hint="eastAsia" w:ascii="宋体" w:hAnsi="宋体" w:cs="Arial"/>
                <w:kern w:val="0"/>
                <w:sz w:val="20"/>
                <w:szCs w:val="20"/>
              </w:rPr>
              <w:t>标</w:t>
            </w:r>
            <w:r>
              <w:rPr>
                <w:rFonts w:ascii="宋体" w:hAnsi="宋体" w:cs="Arial"/>
                <w:kern w:val="0"/>
                <w:sz w:val="20"/>
                <w:szCs w:val="20"/>
              </w:rPr>
              <w:t xml:space="preserve"> </w:t>
            </w:r>
            <w:r>
              <w:rPr>
                <w:rFonts w:hint="eastAsia" w:ascii="宋体" w:hAnsi="宋体" w:cs="Arial"/>
                <w:kern w:val="0"/>
                <w:sz w:val="20"/>
                <w:szCs w:val="20"/>
              </w:rPr>
              <w:t>要</w:t>
            </w:r>
            <w:r>
              <w:rPr>
                <w:rFonts w:ascii="宋体" w:hAnsi="宋体" w:cs="Arial"/>
                <w:kern w:val="0"/>
                <w:sz w:val="20"/>
                <w:szCs w:val="20"/>
              </w:rPr>
              <w:t xml:space="preserve"> </w:t>
            </w:r>
            <w:r>
              <w:rPr>
                <w:rFonts w:hint="eastAsia" w:ascii="宋体" w:hAnsi="宋体" w:cs="Arial"/>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83" w:type="dxa"/>
            <w:vMerge w:val="restart"/>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总体要求</w:t>
            </w:r>
          </w:p>
        </w:tc>
        <w:tc>
          <w:tcPr>
            <w:tcW w:w="8719" w:type="dxa"/>
            <w:shd w:val="clear" w:color="auto" w:fill="auto"/>
            <w:noWrap/>
            <w:vAlign w:val="center"/>
          </w:tcPr>
          <w:p>
            <w:pPr>
              <w:widowControl/>
              <w:rPr>
                <w:rFonts w:ascii="宋体" w:hAnsi="宋体" w:cs="Arial"/>
                <w:kern w:val="0"/>
                <w:sz w:val="20"/>
                <w:szCs w:val="20"/>
              </w:rPr>
            </w:pPr>
            <w:r>
              <w:rPr>
                <w:rStyle w:val="247"/>
                <w:rFonts w:hint="default"/>
                <w:color w:val="auto"/>
                <w:lang w:bidi="ar"/>
              </w:rPr>
              <w:t>★</w:t>
            </w:r>
            <w:r>
              <w:rPr>
                <w:rFonts w:hint="eastAsia" w:ascii="宋体" w:hAnsi="宋体" w:cs="Arial"/>
                <w:kern w:val="0"/>
                <w:sz w:val="20"/>
                <w:szCs w:val="20"/>
              </w:rPr>
              <w:t>所投产品与视频联接平台（MCU）同一品牌，采用一体化设计，具备内置摄像头、麦克风、扬声器、编解码器、红外触摸显示器，整体美观、大方，可以提供统一的维保和服务。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所投产品应为一体化设计，高度集成化，采用全包裹设计， 铝合金机身，标配不少于1个全高清红外触控显示屏，显示屏尺寸不低于86英寸。显示器物理分辨率不低于3840*2160,显示比例16:9。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所投产品编解码器要求采用嵌入式操作系统，采用硬件编解码方式，非PC结构，产品稳定。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所投产品编解码器要求采用国产自主芯片，须提供第三方权威检测机构出具的测试报告证明。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所投产品支持1080P，720P视频解码能力。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所投产品支持外接OPS电脑，用于办公业务的补充拓展。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83" w:type="dxa"/>
            <w:vMerge w:val="restart"/>
            <w:shd w:val="clear" w:color="auto" w:fill="auto"/>
            <w:noWrap/>
            <w:vAlign w:val="center"/>
          </w:tcPr>
          <w:p>
            <w:pPr>
              <w:widowControl/>
              <w:jc w:val="center"/>
              <w:rPr>
                <w:rFonts w:ascii="宋体" w:hAnsi="宋体" w:cs="Arial"/>
                <w:kern w:val="0"/>
                <w:sz w:val="20"/>
                <w:szCs w:val="20"/>
              </w:rPr>
            </w:pPr>
            <w:r>
              <w:rPr>
                <w:rFonts w:ascii="Book Antiqua" w:hAnsi="Book Antiqua" w:cs="Calibri"/>
                <w:szCs w:val="21"/>
              </w:rPr>
              <w:t>触摸屏参数</w:t>
            </w:r>
            <w:r>
              <w:rPr>
                <w:rFonts w:hint="eastAsia" w:ascii="宋体" w:hAnsi="宋体" w:cs="Arial"/>
                <w:kern w:val="0"/>
                <w:sz w:val="20"/>
                <w:szCs w:val="20"/>
              </w:rPr>
              <w:t>　</w:t>
            </w: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支持86寸</w:t>
            </w:r>
            <w:r>
              <w:rPr>
                <w:rFonts w:ascii="宋体" w:hAnsi="宋体" w:cs="Arial"/>
                <w:kern w:val="0"/>
                <w:sz w:val="20"/>
                <w:szCs w:val="20"/>
              </w:rPr>
              <w:t>DLED</w:t>
            </w:r>
            <w:r>
              <w:rPr>
                <w:rFonts w:hint="eastAsia" w:ascii="宋体" w:hAnsi="宋体" w:cs="Arial"/>
                <w:kern w:val="0"/>
                <w:sz w:val="20"/>
                <w:szCs w:val="20"/>
              </w:rPr>
              <w:t>液晶屏，分辨率</w:t>
            </w:r>
            <w:r>
              <w:rPr>
                <w:rFonts w:ascii="宋体" w:hAnsi="宋体" w:cs="Arial"/>
                <w:kern w:val="0"/>
                <w:sz w:val="20"/>
                <w:szCs w:val="20"/>
              </w:rPr>
              <w:t>3840*2160</w:t>
            </w:r>
            <w:r>
              <w:rPr>
                <w:rFonts w:hint="eastAsia" w:ascii="宋体" w:hAnsi="宋体" w:cs="Arial"/>
                <w:kern w:val="0"/>
                <w:sz w:val="20"/>
                <w:szCs w:val="20"/>
              </w:rPr>
              <w:t>，</w:t>
            </w:r>
            <w:r>
              <w:rPr>
                <w:rFonts w:ascii="宋体" w:hAnsi="宋体" w:cs="Arial"/>
                <w:kern w:val="0"/>
                <w:sz w:val="20"/>
                <w:szCs w:val="20"/>
              </w:rPr>
              <w:t>A</w:t>
            </w:r>
            <w:r>
              <w:rPr>
                <w:rFonts w:hint="eastAsia" w:ascii="宋体" w:hAnsi="宋体" w:cs="Arial"/>
                <w:kern w:val="0"/>
                <w:sz w:val="20"/>
                <w:szCs w:val="20"/>
              </w:rPr>
              <w:t>级屏幕。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整机使用</w:t>
            </w:r>
            <w:r>
              <w:rPr>
                <w:rFonts w:ascii="宋体" w:hAnsi="宋体" w:cs="Arial"/>
                <w:kern w:val="0"/>
                <w:sz w:val="20"/>
                <w:szCs w:val="20"/>
              </w:rPr>
              <w:t>AG4</w:t>
            </w:r>
            <w:r>
              <w:rPr>
                <w:rFonts w:hint="eastAsia" w:ascii="宋体" w:hAnsi="宋体" w:cs="Arial"/>
                <w:kern w:val="0"/>
                <w:sz w:val="20"/>
                <w:szCs w:val="20"/>
              </w:rPr>
              <w:t>玻璃，提高使用效率提升使用效果。玻璃透光率≥</w:t>
            </w:r>
            <w:r>
              <w:rPr>
                <w:rFonts w:ascii="宋体" w:hAnsi="宋体" w:cs="Arial"/>
                <w:kern w:val="0"/>
                <w:sz w:val="20"/>
                <w:szCs w:val="20"/>
              </w:rPr>
              <w:t>88%</w:t>
            </w:r>
            <w:r>
              <w:rPr>
                <w:rFonts w:hint="eastAsia" w:ascii="宋体" w:hAnsi="宋体" w:cs="Arial"/>
                <w:kern w:val="0"/>
                <w:sz w:val="20"/>
                <w:szCs w:val="20"/>
              </w:rPr>
              <w:t>，表面光泽度为</w:t>
            </w:r>
            <w:r>
              <w:rPr>
                <w:rFonts w:ascii="宋体" w:hAnsi="宋体" w:cs="Arial"/>
                <w:kern w:val="0"/>
                <w:sz w:val="20"/>
                <w:szCs w:val="20"/>
              </w:rPr>
              <w:t>70</w:t>
            </w:r>
            <w:r>
              <w:rPr>
                <w:rFonts w:hint="eastAsia" w:ascii="宋体" w:hAnsi="宋体" w:cs="Arial"/>
                <w:kern w:val="0"/>
                <w:sz w:val="20"/>
                <w:szCs w:val="20"/>
              </w:rPr>
              <w:t>±</w:t>
            </w:r>
            <w:r>
              <w:rPr>
                <w:rFonts w:ascii="宋体" w:hAnsi="宋体" w:cs="Arial"/>
                <w:kern w:val="0"/>
                <w:sz w:val="20"/>
                <w:szCs w:val="20"/>
              </w:rPr>
              <w:t>10</w:t>
            </w:r>
            <w:r>
              <w:rPr>
                <w:rFonts w:hint="eastAsia" w:ascii="宋体" w:hAnsi="宋体" w:cs="Arial"/>
                <w:kern w:val="0"/>
                <w:sz w:val="20"/>
                <w:szCs w:val="20"/>
              </w:rPr>
              <w:t>，整机玻璃雾度为</w:t>
            </w:r>
            <w:r>
              <w:rPr>
                <w:rFonts w:ascii="宋体" w:hAnsi="宋体" w:cs="Arial"/>
                <w:kern w:val="0"/>
                <w:sz w:val="20"/>
                <w:szCs w:val="20"/>
              </w:rPr>
              <w:t>4-8%</w:t>
            </w:r>
            <w:r>
              <w:rPr>
                <w:rFonts w:hint="eastAsia" w:ascii="宋体" w:hAnsi="宋体" w:cs="Arial"/>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显示比例：</w:t>
            </w:r>
            <w:r>
              <w:rPr>
                <w:rFonts w:ascii="宋体" w:hAnsi="宋体" w:cs="Arial"/>
                <w:kern w:val="0"/>
                <w:sz w:val="20"/>
                <w:szCs w:val="20"/>
              </w:rPr>
              <w:t>16:9</w:t>
            </w:r>
            <w:r>
              <w:rPr>
                <w:rFonts w:hint="eastAsia" w:ascii="宋体" w:hAnsi="宋体" w:cs="Arial"/>
                <w:kern w:val="0"/>
                <w:sz w:val="20"/>
                <w:szCs w:val="20"/>
              </w:rPr>
              <w:t>；可视角度：水平≥</w:t>
            </w:r>
            <w:r>
              <w:rPr>
                <w:rFonts w:ascii="宋体" w:hAnsi="宋体" w:cs="Arial"/>
                <w:kern w:val="0"/>
                <w:sz w:val="20"/>
                <w:szCs w:val="20"/>
              </w:rPr>
              <w:t>178</w:t>
            </w:r>
            <w:r>
              <w:rPr>
                <w:rFonts w:hint="eastAsia" w:ascii="宋体" w:hAnsi="宋体" w:cs="Arial"/>
                <w:kern w:val="0"/>
                <w:sz w:val="20"/>
                <w:szCs w:val="20"/>
              </w:rPr>
              <w:t>°，上下≥</w:t>
            </w:r>
            <w:r>
              <w:rPr>
                <w:rFonts w:ascii="宋体" w:hAnsi="宋体" w:cs="Arial"/>
                <w:kern w:val="0"/>
                <w:sz w:val="20"/>
                <w:szCs w:val="20"/>
              </w:rPr>
              <w:t>178</w:t>
            </w:r>
            <w:r>
              <w:rPr>
                <w:rFonts w:hint="eastAsia" w:ascii="宋体" w:hAnsi="宋体" w:cs="Arial"/>
                <w:kern w:val="0"/>
                <w:sz w:val="20"/>
                <w:szCs w:val="20"/>
              </w:rPr>
              <w:t>°；</w:t>
            </w:r>
            <w:r>
              <w:rPr>
                <w:rFonts w:ascii="宋体" w:hAnsi="宋体" w:cs="Arial"/>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屏幕防护性可达物理钢化莫氏</w:t>
            </w:r>
            <w:r>
              <w:rPr>
                <w:rFonts w:ascii="宋体" w:hAnsi="宋体" w:cs="Arial"/>
                <w:kern w:val="0"/>
                <w:sz w:val="20"/>
                <w:szCs w:val="20"/>
              </w:rPr>
              <w:t>7</w:t>
            </w:r>
            <w:r>
              <w:rPr>
                <w:rFonts w:hint="eastAsia" w:ascii="宋体" w:hAnsi="宋体" w:cs="Arial"/>
                <w:kern w:val="0"/>
                <w:sz w:val="20"/>
                <w:szCs w:val="20"/>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触控可达分辨率：</w:t>
            </w:r>
            <w:r>
              <w:rPr>
                <w:rFonts w:ascii="宋体" w:hAnsi="宋体" w:cs="Arial"/>
                <w:kern w:val="0"/>
                <w:sz w:val="20"/>
                <w:szCs w:val="20"/>
              </w:rPr>
              <w:t>32768</w:t>
            </w:r>
            <w:r>
              <w:rPr>
                <w:rFonts w:hint="eastAsia" w:ascii="宋体" w:hAnsi="宋体" w:cs="Arial"/>
                <w:kern w:val="0"/>
                <w:sz w:val="20"/>
                <w:szCs w:val="20"/>
              </w:rPr>
              <w:t>×</w:t>
            </w:r>
            <w:r>
              <w:rPr>
                <w:rFonts w:ascii="宋体" w:hAnsi="宋体" w:cs="Arial"/>
                <w:kern w:val="0"/>
                <w:sz w:val="20"/>
                <w:szCs w:val="20"/>
              </w:rPr>
              <w:t>32768</w:t>
            </w:r>
            <w:r>
              <w:rPr>
                <w:rFonts w:hint="eastAsia" w:ascii="宋体" w:hAnsi="宋体" w:cs="Arial"/>
                <w:kern w:val="0"/>
                <w:sz w:val="20"/>
                <w:szCs w:val="20"/>
              </w:rPr>
              <w:t>；定位精度±</w:t>
            </w:r>
            <w:r>
              <w:rPr>
                <w:rFonts w:ascii="宋体" w:hAnsi="宋体" w:cs="Arial"/>
                <w:kern w:val="0"/>
                <w:sz w:val="20"/>
                <w:szCs w:val="20"/>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触摸精度：白板触摸精度可达±</w:t>
            </w:r>
            <w:r>
              <w:rPr>
                <w:rFonts w:ascii="宋体" w:hAnsi="宋体" w:cs="Arial"/>
                <w:kern w:val="0"/>
                <w:sz w:val="20"/>
                <w:szCs w:val="20"/>
              </w:rPr>
              <w:t>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支持双人同时书写，不少于20个触控点。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触控笔在电子白板上书写时，具有笔锋效果，获得逼真的书写体验。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支持内置本地白板功能，实现手写、绘制、擦除、标注、截图、背景颜色自定义、白板缩放/锁定等功能。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支持在无线投屏模式下，通过自带电子白板反向控制PC的共享桌面。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支持通过PC电脑直接连接控制口，作为PC的触摸屏进行使用，方便PC材料的现场讲解和触控操作。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通信协议</w:t>
            </w: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所投产品支持ITUT H.323和IETF SIP通信协议，保证良好的互通性。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restart"/>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视频指标</w:t>
            </w: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所投产品应支持H.264 BP, H.264 HP, H.264 SVC，H.265视频编解码协议，须提供第三方权威检测机构出具的测试报告证明。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所投产品应支持1080P 25/30帧，720P 50/60帧， 720P 25/30帧，4CIF， CIF等视频格式编解码。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支持可选择使用外置摄像机进行会议图像采集，方便各种场景的摄像机部署。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所投产品内置摄像机水平视角不低于80度。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▲所投产品支持良好的视频处理能力 ，384Kbps带宽下实现1080P30帧图像格式编解码，256Kbps带宽下实现720P30帧图像格式编解码，最大限度节省用户网络资源，须提供第三方权威检测机构出具的测试报告证明。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restart"/>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音频指标</w:t>
            </w: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▲支持G.711A、G.711u、G.722、G.722.1C、G.729A、ACC-LD、Opus等音频协议，支持双声道立体声功能，须提供第三方权威检测机构出具的测试报告证明。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所投产品应支持快速回声消除、自动噪声抑制 、自动增益控制技术。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所投产品支持内置麦克风进行前向180°拾音，可以达到8米范围拾音，须提供第三方权威检测机构出具的测试报告证明。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683" w:type="dxa"/>
            <w:vMerge w:val="restart"/>
            <w:shd w:val="clear" w:color="auto" w:fill="auto"/>
            <w:noWrap/>
            <w:vAlign w:val="center"/>
          </w:tcPr>
          <w:p>
            <w:pPr>
              <w:widowControl/>
              <w:jc w:val="center"/>
              <w:rPr>
                <w:rFonts w:ascii="宋体" w:hAnsi="宋体" w:cs="Arial"/>
                <w:kern w:val="0"/>
                <w:sz w:val="20"/>
                <w:szCs w:val="20"/>
              </w:rPr>
            </w:pPr>
            <w:r>
              <w:rPr>
                <w:rFonts w:hint="eastAsia" w:ascii="宋体" w:hAnsi="宋体" w:cs="Arial"/>
                <w:kern w:val="0"/>
                <w:sz w:val="20"/>
                <w:szCs w:val="20"/>
              </w:rPr>
              <w:t>接口要求</w:t>
            </w: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支持不少于以下接口及数量：HDMI×3、3.5MM×2、USB3.0*2、USB2.0*1、RJ45*2，同时要求设备的物理接口与标书中的接口类型一致，通过转接视为不满足。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提供至少2路高清视频输入、至少2路高清视频输出接口.至少有一个接口可支持1080P60，一个接口可支持4K30.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83" w:type="dxa"/>
            <w:vMerge w:val="continue"/>
            <w:vAlign w:val="center"/>
          </w:tcPr>
          <w:p>
            <w:pPr>
              <w:widowControl/>
              <w:jc w:val="left"/>
              <w:rPr>
                <w:rFonts w:ascii="宋体" w:hAnsi="宋体" w:cs="Arial"/>
                <w:kern w:val="0"/>
                <w:sz w:val="20"/>
                <w:szCs w:val="20"/>
              </w:rPr>
            </w:pPr>
          </w:p>
        </w:tc>
        <w:tc>
          <w:tcPr>
            <w:tcW w:w="8719" w:type="dxa"/>
            <w:shd w:val="clear" w:color="auto" w:fill="auto"/>
            <w:noWrap/>
            <w:vAlign w:val="center"/>
          </w:tcPr>
          <w:p>
            <w:pPr>
              <w:widowControl/>
              <w:rPr>
                <w:rFonts w:ascii="宋体" w:hAnsi="宋体" w:cs="Arial"/>
                <w:kern w:val="0"/>
                <w:sz w:val="20"/>
                <w:szCs w:val="20"/>
              </w:rPr>
            </w:pPr>
            <w:r>
              <w:rPr>
                <w:rFonts w:hint="eastAsia" w:ascii="宋体" w:hAnsi="宋体" w:cs="Arial"/>
                <w:kern w:val="0"/>
                <w:sz w:val="20"/>
                <w:szCs w:val="20"/>
              </w:rPr>
              <w:t>提供至少4路音频输入接口、至少2路音频输出接口。</w:t>
            </w:r>
          </w:p>
        </w:tc>
      </w:tr>
    </w:tbl>
    <w:p/>
    <w:p>
      <w:pPr>
        <w:pStyle w:val="141"/>
        <w:numPr>
          <w:ilvl w:val="3"/>
          <w:numId w:val="7"/>
        </w:numPr>
        <w:tabs>
          <w:tab w:val="clear" w:pos="851"/>
        </w:tabs>
        <w:outlineLvl w:val="4"/>
        <w:rPr>
          <w:rFonts w:ascii="宋体" w:hAnsi="宋体" w:eastAsia="宋体" w:cs="宋体"/>
          <w:color w:val="auto"/>
          <w:sz w:val="24"/>
          <w:szCs w:val="24"/>
        </w:rPr>
      </w:pPr>
      <w:bookmarkStart w:id="135" w:name="_Toc46242001"/>
      <w:r>
        <w:rPr>
          <w:rFonts w:hint="eastAsia" w:ascii="宋体" w:hAnsi="宋体" w:eastAsia="宋体" w:cs="宋体"/>
          <w:color w:val="auto"/>
          <w:sz w:val="24"/>
          <w:szCs w:val="24"/>
        </w:rPr>
        <w:t>LED显示主屏</w:t>
      </w:r>
      <w:bookmarkEnd w:id="135"/>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7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0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80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00" w:type="dxa"/>
            <w:shd w:val="clear" w:color="auto" w:fill="auto"/>
            <w:vAlign w:val="center"/>
          </w:tcPr>
          <w:p>
            <w:pPr>
              <w:widowControl/>
              <w:jc w:val="center"/>
              <w:rPr>
                <w:rFonts w:ascii="宋体" w:hAnsi="宋体" w:cs="Arial"/>
                <w:bCs/>
                <w:kern w:val="0"/>
                <w:sz w:val="20"/>
                <w:szCs w:val="20"/>
              </w:rPr>
            </w:pPr>
          </w:p>
        </w:tc>
        <w:tc>
          <w:tcPr>
            <w:tcW w:w="7802" w:type="dxa"/>
            <w:vMerge w:val="restart"/>
            <w:shd w:val="clear" w:color="auto" w:fill="auto"/>
            <w:vAlign w:val="center"/>
          </w:tcPr>
          <w:p>
            <w:pPr>
              <w:widowControl/>
              <w:rPr>
                <w:rFonts w:ascii="宋体" w:hAnsi="宋体" w:cs="Arial"/>
                <w:bCs/>
                <w:kern w:val="0"/>
                <w:sz w:val="20"/>
                <w:szCs w:val="20"/>
              </w:rPr>
            </w:pPr>
          </w:p>
          <w:p>
            <w:pPr>
              <w:widowControl/>
              <w:jc w:val="left"/>
              <w:rPr>
                <w:rFonts w:ascii="Segoe UI Symbol" w:hAnsi="Segoe UI Symbol" w:cs="Arial"/>
                <w:kern w:val="0"/>
                <w:sz w:val="20"/>
                <w:szCs w:val="20"/>
              </w:rPr>
            </w:pPr>
            <w:r>
              <w:rPr>
                <w:rFonts w:ascii="Segoe UI Symbol" w:hAnsi="Segoe UI Symbol" w:cs="Arial"/>
                <w:kern w:val="0"/>
                <w:sz w:val="20"/>
                <w:szCs w:val="20"/>
              </w:rPr>
              <w:t>1.</w:t>
            </w:r>
            <w:r>
              <w:rPr>
                <w:rFonts w:hint="eastAsia" w:ascii="Segoe UI Symbol" w:hAnsi="Segoe UI Symbol" w:cs="Arial"/>
                <w:kern w:val="0"/>
                <w:sz w:val="20"/>
                <w:szCs w:val="20"/>
              </w:rPr>
              <w:t xml:space="preserve"> </w:t>
            </w:r>
            <w:r>
              <w:rPr>
                <w:rStyle w:val="247"/>
                <w:rFonts w:hint="default"/>
                <w:color w:val="auto"/>
                <w:lang w:bidi="ar"/>
              </w:rPr>
              <w:t>★</w:t>
            </w:r>
            <w:r>
              <w:rPr>
                <w:rFonts w:hint="eastAsia" w:ascii="Segoe UI Symbol" w:hAnsi="Segoe UI Symbol" w:cs="Arial"/>
                <w:kern w:val="0"/>
                <w:sz w:val="20"/>
                <w:szCs w:val="20"/>
              </w:rPr>
              <w:t>像素间距≤1.5</w:t>
            </w:r>
            <w:r>
              <w:rPr>
                <w:rFonts w:ascii="Segoe UI Symbol" w:hAnsi="Segoe UI Symbol" w:cs="Arial"/>
                <w:kern w:val="0"/>
                <w:sz w:val="20"/>
                <w:szCs w:val="20"/>
              </w:rPr>
              <w:t>625</w:t>
            </w:r>
            <w:r>
              <w:rPr>
                <w:rFonts w:hint="eastAsia" w:ascii="Segoe UI Symbol" w:hAnsi="Segoe UI Symbol" w:cs="Arial"/>
                <w:kern w:val="0"/>
                <w:sz w:val="20"/>
                <w:szCs w:val="20"/>
              </w:rPr>
              <w:t>mm，</w:t>
            </w:r>
            <w:r>
              <w:rPr>
                <w:rFonts w:hint="eastAsia" w:cs="宋体" w:asciiTheme="minorEastAsia" w:hAnsiTheme="minorEastAsia"/>
                <w:bCs/>
                <w:kern w:val="0"/>
                <w:szCs w:val="21"/>
              </w:rPr>
              <w:t>为保证产品质量和使用稳定性，发光芯片键合引线采用99.99%纯金线材质，灯珠采用不低于国星、亿光、宏齐等品牌档次产品（需提供生产厂商针对此项要求的承诺函）</w:t>
            </w:r>
          </w:p>
          <w:p>
            <w:pPr>
              <w:widowControl/>
              <w:jc w:val="left"/>
              <w:rPr>
                <w:rFonts w:ascii="Segoe UI Symbol" w:hAnsi="Segoe UI Symbol" w:cs="Arial"/>
                <w:kern w:val="0"/>
                <w:sz w:val="20"/>
                <w:szCs w:val="20"/>
              </w:rPr>
            </w:pPr>
            <w:r>
              <w:rPr>
                <w:rFonts w:ascii="Segoe UI Symbol" w:hAnsi="Segoe UI Symbol" w:cs="Arial"/>
                <w:kern w:val="0"/>
                <w:sz w:val="20"/>
                <w:szCs w:val="20"/>
              </w:rPr>
              <w:t>2.</w:t>
            </w:r>
            <w:r>
              <w:rPr>
                <w:rFonts w:hint="eastAsia" w:cs="宋体" w:asciiTheme="minorEastAsia" w:hAnsiTheme="minorEastAsia"/>
                <w:bCs/>
                <w:kern w:val="0"/>
                <w:szCs w:val="21"/>
              </w:rPr>
              <w:t xml:space="preserve"> 显示屏显示尺寸不小于：宽</w:t>
            </w:r>
            <w:r>
              <w:rPr>
                <w:rFonts w:cs="宋体" w:asciiTheme="minorEastAsia" w:hAnsiTheme="minorEastAsia"/>
                <w:bCs/>
                <w:kern w:val="0"/>
                <w:szCs w:val="21"/>
              </w:rPr>
              <w:t>4.8</w:t>
            </w:r>
            <w:r>
              <w:rPr>
                <w:rFonts w:hint="eastAsia" w:cs="宋体" w:asciiTheme="minorEastAsia" w:hAnsiTheme="minorEastAsia"/>
                <w:bCs/>
                <w:kern w:val="0"/>
                <w:szCs w:val="21"/>
              </w:rPr>
              <w:t>×高</w:t>
            </w:r>
            <w:r>
              <w:rPr>
                <w:rFonts w:cs="宋体" w:asciiTheme="minorEastAsia" w:hAnsiTheme="minorEastAsia"/>
                <w:bCs/>
                <w:kern w:val="0"/>
                <w:szCs w:val="21"/>
              </w:rPr>
              <w:t>2.7</w:t>
            </w:r>
            <w:r>
              <w:rPr>
                <w:rFonts w:hint="eastAsia" w:cs="宋体" w:asciiTheme="minorEastAsia" w:hAnsiTheme="minorEastAsia"/>
                <w:bCs/>
                <w:kern w:val="0"/>
                <w:szCs w:val="21"/>
              </w:rPr>
              <w:t>米；屏幕长高允许偏离范围+1%之内；亮度≥</w:t>
            </w:r>
            <w:r>
              <w:rPr>
                <w:rFonts w:cs="宋体" w:asciiTheme="minorEastAsia" w:hAnsiTheme="minorEastAsia"/>
                <w:bCs/>
                <w:kern w:val="0"/>
                <w:szCs w:val="21"/>
              </w:rPr>
              <w:t>8</w:t>
            </w:r>
            <w:r>
              <w:rPr>
                <w:rFonts w:hint="eastAsia" w:cs="宋体" w:asciiTheme="minorEastAsia" w:hAnsiTheme="minorEastAsia"/>
                <w:bCs/>
                <w:kern w:val="0"/>
                <w:szCs w:val="21"/>
              </w:rPr>
              <w:t>00nits；</w:t>
            </w:r>
            <w:r>
              <w:rPr>
                <w:rFonts w:hint="eastAsia" w:ascii="Segoe UI Symbol" w:hAnsi="Segoe UI Symbol" w:cs="Arial"/>
                <w:kern w:val="0"/>
                <w:sz w:val="20"/>
                <w:szCs w:val="20"/>
              </w:rPr>
              <w:t>像素密度≥40</w:t>
            </w:r>
            <w:r>
              <w:rPr>
                <w:rFonts w:ascii="Segoe UI Symbol" w:hAnsi="Segoe UI Symbol" w:cs="Arial"/>
                <w:kern w:val="0"/>
                <w:sz w:val="20"/>
                <w:szCs w:val="20"/>
              </w:rPr>
              <w:t>9600</w:t>
            </w:r>
            <w:r>
              <w:rPr>
                <w:rFonts w:hint="eastAsia" w:ascii="Segoe UI Symbol" w:hAnsi="Segoe UI Symbol" w:cs="Arial"/>
                <w:kern w:val="0"/>
                <w:sz w:val="20"/>
                <w:szCs w:val="20"/>
              </w:rPr>
              <w:t>点/㎡；对比度≥</w:t>
            </w:r>
            <w:r>
              <w:rPr>
                <w:rFonts w:ascii="Segoe UI Symbol" w:hAnsi="Segoe UI Symbol" w:cs="Arial"/>
                <w:kern w:val="0"/>
                <w:sz w:val="20"/>
                <w:szCs w:val="20"/>
              </w:rPr>
              <w:t>5</w:t>
            </w:r>
            <w:r>
              <w:rPr>
                <w:rFonts w:hint="eastAsia" w:ascii="Segoe UI Symbol" w:hAnsi="Segoe UI Symbol" w:cs="Arial"/>
                <w:kern w:val="0"/>
                <w:sz w:val="20"/>
                <w:szCs w:val="20"/>
              </w:rPr>
              <w:t>000:1；色温：3</w:t>
            </w:r>
            <w:r>
              <w:rPr>
                <w:rFonts w:ascii="Segoe UI Symbol" w:hAnsi="Segoe UI Symbol" w:cs="Arial"/>
                <w:kern w:val="0"/>
                <w:sz w:val="20"/>
                <w:szCs w:val="20"/>
              </w:rPr>
              <w:t>2</w:t>
            </w:r>
            <w:r>
              <w:rPr>
                <w:rFonts w:hint="eastAsia" w:ascii="Segoe UI Symbol" w:hAnsi="Segoe UI Symbol" w:cs="Arial"/>
                <w:kern w:val="0"/>
                <w:sz w:val="20"/>
                <w:szCs w:val="20"/>
              </w:rPr>
              <w:t>00K-</w:t>
            </w:r>
            <w:r>
              <w:rPr>
                <w:rFonts w:ascii="Segoe UI Symbol" w:hAnsi="Segoe UI Symbol" w:cs="Arial"/>
                <w:kern w:val="0"/>
                <w:sz w:val="20"/>
                <w:szCs w:val="20"/>
              </w:rPr>
              <w:t>93</w:t>
            </w:r>
            <w:r>
              <w:rPr>
                <w:rFonts w:hint="eastAsia" w:ascii="Segoe UI Symbol" w:hAnsi="Segoe UI Symbol" w:cs="Arial"/>
                <w:kern w:val="0"/>
                <w:sz w:val="20"/>
                <w:szCs w:val="20"/>
              </w:rPr>
              <w:t>00K可调；视角：水平视角≥160°；垂直视角≥160°；发光点中心距偏差&lt;1%；亮度均匀性≥97%；色度均匀性：±0.003CxCy之内；箱体平整度 &lt;0.</w:t>
            </w:r>
            <w:r>
              <w:rPr>
                <w:rFonts w:ascii="Segoe UI Symbol" w:hAnsi="Segoe UI Symbol" w:cs="Arial"/>
                <w:kern w:val="0"/>
                <w:sz w:val="20"/>
                <w:szCs w:val="20"/>
              </w:rPr>
              <w:t>1</w:t>
            </w:r>
            <w:r>
              <w:rPr>
                <w:rFonts w:hint="eastAsia" w:ascii="Segoe UI Symbol" w:hAnsi="Segoe UI Symbol" w:cs="Arial"/>
                <w:kern w:val="0"/>
                <w:sz w:val="20"/>
                <w:szCs w:val="20"/>
              </w:rPr>
              <w:t>mm；刷新频率≥3</w:t>
            </w:r>
            <w:r>
              <w:rPr>
                <w:rFonts w:ascii="Segoe UI Symbol" w:hAnsi="Segoe UI Symbol" w:cs="Arial"/>
                <w:kern w:val="0"/>
                <w:sz w:val="20"/>
                <w:szCs w:val="20"/>
              </w:rPr>
              <w:t>84</w:t>
            </w:r>
            <w:r>
              <w:rPr>
                <w:rFonts w:hint="eastAsia" w:ascii="Segoe UI Symbol" w:hAnsi="Segoe UI Symbol" w:cs="Arial"/>
                <w:kern w:val="0"/>
                <w:sz w:val="20"/>
                <w:szCs w:val="20"/>
              </w:rPr>
              <w:t>0hz；换帧频率：60hz；驱动方式：恒流驱动；灰度及颜色等级：灰度处理等级≥16bit  颜色处理等级≥16bit；平均功耗≤2</w:t>
            </w:r>
            <w:r>
              <w:rPr>
                <w:rFonts w:ascii="Segoe UI Symbol" w:hAnsi="Segoe UI Symbol" w:cs="Arial"/>
                <w:kern w:val="0"/>
                <w:sz w:val="20"/>
                <w:szCs w:val="20"/>
              </w:rPr>
              <w:t>4</w:t>
            </w:r>
            <w:r>
              <w:rPr>
                <w:rFonts w:hint="eastAsia" w:ascii="Segoe UI Symbol" w:hAnsi="Segoe UI Symbol" w:cs="Arial"/>
                <w:kern w:val="0"/>
                <w:sz w:val="20"/>
                <w:szCs w:val="20"/>
              </w:rPr>
              <w:t>0W/㎡；</w:t>
            </w:r>
            <w:r>
              <w:rPr>
                <w:rFonts w:ascii="Segoe UI Symbol" w:hAnsi="Segoe UI Symbol" w:cs="Arial"/>
                <w:kern w:val="0"/>
                <w:sz w:val="20"/>
                <w:szCs w:val="20"/>
              </w:rPr>
              <w:t xml:space="preserve"> </w:t>
            </w:r>
            <w:r>
              <w:rPr>
                <w:rFonts w:hint="eastAsia"/>
              </w:rPr>
              <w:t>面板信号连接方式：无信号接插件、无硬链接</w:t>
            </w:r>
            <w:r>
              <w:rPr>
                <w:rFonts w:hint="eastAsia" w:ascii="Segoe UI Symbol" w:hAnsi="Segoe UI Symbol" w:cs="Arial"/>
                <w:kern w:val="0"/>
                <w:sz w:val="20"/>
                <w:szCs w:val="20"/>
              </w:rPr>
              <w:t>；像素失控率（盲点率）≤1/10000；</w:t>
            </w:r>
            <w:r>
              <w:rPr>
                <w:rFonts w:hint="eastAsia"/>
              </w:rPr>
              <w:t>符合NR25噪音曲线</w:t>
            </w:r>
            <w:r>
              <w:rPr>
                <w:rFonts w:hint="eastAsia" w:ascii="Segoe UI Symbol" w:hAnsi="Segoe UI Symbol" w:cs="Arial"/>
                <w:kern w:val="0"/>
                <w:sz w:val="20"/>
                <w:szCs w:val="20"/>
              </w:rPr>
              <w:t>；</w:t>
            </w:r>
          </w:p>
          <w:p>
            <w:pPr>
              <w:widowControl/>
              <w:jc w:val="left"/>
              <w:rPr>
                <w:rFonts w:ascii="Segoe UI Symbol" w:hAnsi="Segoe UI Symbol" w:cs="Arial"/>
                <w:kern w:val="0"/>
                <w:sz w:val="20"/>
                <w:szCs w:val="20"/>
              </w:rPr>
            </w:pPr>
            <w:r>
              <w:rPr>
                <w:rFonts w:ascii="Segoe UI Symbol" w:hAnsi="Segoe UI Symbol" w:cs="Arial"/>
                <w:kern w:val="0"/>
                <w:sz w:val="20"/>
                <w:szCs w:val="20"/>
              </w:rPr>
              <w:t>3</w:t>
            </w:r>
            <w:r>
              <w:rPr>
                <w:rFonts w:hint="eastAsia" w:ascii="Segoe UI Symbol" w:hAnsi="Segoe UI Symbol" w:cs="Arial"/>
                <w:kern w:val="0"/>
                <w:sz w:val="20"/>
                <w:szCs w:val="20"/>
              </w:rPr>
              <w:t>.电源能效转换：</w:t>
            </w:r>
            <w:r>
              <w:rPr>
                <w:rFonts w:hint="eastAsia"/>
              </w:rPr>
              <w:t>电源能效转换≥85%</w:t>
            </w:r>
            <w:r>
              <w:rPr>
                <w:rFonts w:hint="eastAsia" w:ascii="Segoe UI Symbol" w:hAnsi="Segoe UI Symbol" w:cs="Arial"/>
                <w:kern w:val="0"/>
                <w:sz w:val="20"/>
                <w:szCs w:val="20"/>
              </w:rPr>
              <w:t>；</w:t>
            </w:r>
            <w:r>
              <w:rPr>
                <w:rFonts w:hint="eastAsia"/>
              </w:rPr>
              <w:t>PFC&gt;0.9</w:t>
            </w:r>
          </w:p>
          <w:p>
            <w:pPr>
              <w:widowControl/>
              <w:jc w:val="left"/>
              <w:rPr>
                <w:rFonts w:ascii="Segoe UI Symbol" w:hAnsi="Segoe UI Symbol" w:cs="Arial"/>
                <w:kern w:val="0"/>
                <w:sz w:val="20"/>
                <w:szCs w:val="20"/>
              </w:rPr>
            </w:pPr>
            <w:r>
              <w:rPr>
                <w:rFonts w:ascii="Segoe UI Symbol" w:hAnsi="Segoe UI Symbol" w:cs="Arial"/>
                <w:kern w:val="0"/>
                <w:sz w:val="20"/>
                <w:szCs w:val="20"/>
              </w:rPr>
              <w:t>4</w:t>
            </w:r>
            <w:r>
              <w:rPr>
                <w:rFonts w:hint="eastAsia" w:ascii="Segoe UI Symbol" w:hAnsi="Segoe UI Symbol" w:cs="Arial"/>
                <w:kern w:val="0"/>
                <w:sz w:val="20"/>
                <w:szCs w:val="20"/>
              </w:rPr>
              <w:t>.</w:t>
            </w:r>
            <w:r>
              <w:rPr>
                <w:rFonts w:hint="eastAsia"/>
              </w:rPr>
              <w:t xml:space="preserve"> LED显示模块具备智能多核处理构架系统，模块自扫描，扫描信号传输距离≤400mm</w:t>
            </w:r>
            <w:r>
              <w:rPr>
                <w:rFonts w:hint="eastAsia" w:ascii="Segoe UI Symbol" w:hAnsi="Segoe UI Symbol" w:cs="Arial"/>
                <w:kern w:val="0"/>
                <w:sz w:val="20"/>
                <w:szCs w:val="20"/>
              </w:rPr>
              <w:t xml:space="preserve"> </w:t>
            </w:r>
          </w:p>
          <w:p>
            <w:r>
              <w:rPr>
                <w:rFonts w:ascii="Segoe UI Symbol" w:hAnsi="Segoe UI Symbol" w:cs="Arial"/>
                <w:kern w:val="0"/>
                <w:sz w:val="20"/>
                <w:szCs w:val="20"/>
              </w:rPr>
              <w:t>5</w:t>
            </w:r>
            <w:r>
              <w:rPr>
                <w:rFonts w:hint="eastAsia" w:ascii="Segoe UI Symbol" w:hAnsi="Segoe UI Symbol" w:cs="Arial"/>
                <w:kern w:val="0"/>
                <w:sz w:val="20"/>
                <w:szCs w:val="20"/>
              </w:rPr>
              <w:t>.</w:t>
            </w:r>
            <w:r>
              <w:rPr>
                <w:rFonts w:hint="eastAsia"/>
              </w:rPr>
              <w:t xml:space="preserve"> 无信号接插件技术：每个平米LED显示模块信号线触点不超过50个连接，以减少线缆接触不良等造成的显示故障，增加可靠性和使用寿命，降低维修成本；</w:t>
            </w:r>
          </w:p>
          <w:p>
            <w:r>
              <w:t>6.</w:t>
            </w:r>
            <w:r>
              <w:rPr>
                <w:rFonts w:hint="eastAsia"/>
              </w:rPr>
              <w:t>支持单点亮度校正，模块带有CPU及存储器，校正数据储存在模块内，并在模块内通过CPU进行均匀性的智能处理，确保模块可以快速简单地进行更换；</w:t>
            </w:r>
          </w:p>
          <w:p>
            <w:pPr>
              <w:jc w:val="left"/>
              <w:rPr>
                <w:rFonts w:ascii="宋体" w:hAnsi="宋体" w:cs="Arial"/>
                <w:bCs/>
                <w:kern w:val="0"/>
                <w:sz w:val="20"/>
                <w:szCs w:val="20"/>
              </w:rPr>
            </w:pPr>
            <w:r>
              <w:rPr>
                <w:rFonts w:ascii="Segoe UI Symbol" w:hAnsi="Segoe UI Symbol" w:cs="Arial"/>
                <w:kern w:val="0"/>
                <w:sz w:val="20"/>
                <w:szCs w:val="20"/>
              </w:rPr>
              <w:t>7</w:t>
            </w:r>
            <w:r>
              <w:rPr>
                <w:rFonts w:hint="eastAsia" w:ascii="Segoe UI Symbol" w:hAnsi="Segoe UI Symbol" w:cs="Arial"/>
                <w:kern w:val="0"/>
                <w:sz w:val="20"/>
                <w:szCs w:val="20"/>
              </w:rPr>
              <w:t>.系统一致性：全彩LED显示系统、拼接控制器、控制软件等主要部件要求全部为同一品牌产品。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6" w:hRule="atLeast"/>
        </w:trPr>
        <w:tc>
          <w:tcPr>
            <w:tcW w:w="160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802" w:type="dxa"/>
            <w:vMerge w:val="continue"/>
            <w:shd w:val="clear" w:color="auto" w:fill="auto"/>
            <w:vAlign w:val="center"/>
          </w:tcPr>
          <w:p>
            <w:pPr>
              <w:widowControl/>
              <w:jc w:val="left"/>
              <w:rPr>
                <w:rFonts w:ascii="Segoe UI Symbol" w:hAnsi="Segoe UI Symbol" w:cs="Arial"/>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0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设备安装要求</w:t>
            </w:r>
          </w:p>
        </w:tc>
        <w:tc>
          <w:tcPr>
            <w:tcW w:w="7802" w:type="dxa"/>
            <w:shd w:val="clear" w:color="auto" w:fill="auto"/>
            <w:vAlign w:val="center"/>
          </w:tcPr>
          <w:p>
            <w:pPr>
              <w:widowControl/>
              <w:jc w:val="left"/>
              <w:rPr>
                <w:rFonts w:ascii="Segoe UI Symbol" w:hAnsi="Segoe UI Symbol" w:cs="Arial"/>
                <w:kern w:val="0"/>
                <w:sz w:val="20"/>
                <w:szCs w:val="20"/>
              </w:rPr>
            </w:pPr>
            <w:r>
              <w:rPr>
                <w:rFonts w:hint="eastAsia" w:ascii="Segoe UI Symbol" w:hAnsi="Segoe UI Symbol" w:cs="Arial"/>
                <w:kern w:val="0"/>
                <w:sz w:val="20"/>
                <w:szCs w:val="20"/>
              </w:rPr>
              <w:t>涉及L</w:t>
            </w:r>
            <w:r>
              <w:rPr>
                <w:rFonts w:ascii="Segoe UI Symbol" w:hAnsi="Segoe UI Symbol" w:cs="Arial"/>
                <w:kern w:val="0"/>
                <w:sz w:val="20"/>
                <w:szCs w:val="20"/>
              </w:rPr>
              <w:t>ED</w:t>
            </w:r>
            <w:r>
              <w:rPr>
                <w:rFonts w:hint="eastAsia" w:ascii="Segoe UI Symbol" w:hAnsi="Segoe UI Symbol" w:cs="Arial"/>
                <w:kern w:val="0"/>
                <w:sz w:val="20"/>
                <w:szCs w:val="20"/>
              </w:rPr>
              <w:t>显示屏配套封面工程、包边、配套线缆、辅材、插座、软管等配套装饰、包边、安装均包含本项目中，拼接屏单元、控制电脑、控制系统、图像处理系统、信号切换系统等相关配件包含本项目中，需免费配合完成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0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认证指标</w:t>
            </w:r>
          </w:p>
        </w:tc>
        <w:tc>
          <w:tcPr>
            <w:tcW w:w="7802" w:type="dxa"/>
            <w:shd w:val="clear" w:color="auto" w:fill="auto"/>
            <w:vAlign w:val="center"/>
          </w:tcPr>
          <w:p>
            <w:pPr>
              <w:widowControl/>
              <w:jc w:val="left"/>
              <w:rPr>
                <w:rFonts w:ascii="Segoe UI Symbol" w:hAnsi="Segoe UI Symbol" w:cs="Arial"/>
                <w:kern w:val="0"/>
                <w:sz w:val="20"/>
                <w:szCs w:val="20"/>
              </w:rPr>
            </w:pPr>
            <w:r>
              <w:rPr>
                <w:rFonts w:ascii="Segoe UI Symbol" w:hAnsi="Segoe UI Symbol" w:cs="Arial"/>
                <w:kern w:val="0"/>
                <w:sz w:val="20"/>
                <w:szCs w:val="20"/>
              </w:rPr>
              <w:t>第2</w:t>
            </w:r>
            <w:r>
              <w:rPr>
                <w:rFonts w:hint="eastAsia" w:ascii="Segoe UI Symbol" w:hAnsi="Segoe UI Symbol" w:cs="Arial"/>
                <w:kern w:val="0"/>
                <w:sz w:val="20"/>
                <w:szCs w:val="20"/>
              </w:rPr>
              <w:t>项需提供相应的检测报告，提供的检测报告需具有CNAS、CMA标识复印件并加盖原厂公章。</w:t>
            </w:r>
          </w:p>
          <w:p>
            <w:pPr>
              <w:widowControl/>
              <w:jc w:val="left"/>
              <w:rPr>
                <w:rFonts w:ascii="宋体" w:hAnsi="宋体" w:cs="Arial"/>
                <w:kern w:val="0"/>
                <w:sz w:val="20"/>
                <w:szCs w:val="20"/>
              </w:rPr>
            </w:pPr>
            <w:r>
              <w:rPr>
                <w:rFonts w:hint="eastAsia" w:ascii="Segoe UI Symbol" w:hAnsi="Segoe UI Symbol" w:cs="Arial"/>
                <w:kern w:val="0"/>
                <w:sz w:val="20"/>
                <w:szCs w:val="20"/>
              </w:rPr>
              <w:t>显示屏需提供3C、CE认证。</w:t>
            </w:r>
          </w:p>
        </w:tc>
      </w:tr>
    </w:tbl>
    <w:p/>
    <w:p>
      <w:pPr>
        <w:pStyle w:val="141"/>
        <w:numPr>
          <w:ilvl w:val="3"/>
          <w:numId w:val="7"/>
        </w:numPr>
        <w:tabs>
          <w:tab w:val="clear" w:pos="851"/>
        </w:tabs>
        <w:outlineLvl w:val="4"/>
        <w:rPr>
          <w:rFonts w:ascii="宋体" w:hAnsi="宋体" w:eastAsia="宋体" w:cs="宋体"/>
          <w:color w:val="auto"/>
          <w:sz w:val="24"/>
          <w:szCs w:val="24"/>
        </w:rPr>
      </w:pPr>
      <w:bookmarkStart w:id="136" w:name="_Toc46242002"/>
      <w:r>
        <w:rPr>
          <w:rFonts w:hint="eastAsia" w:ascii="宋体" w:hAnsi="宋体" w:eastAsia="宋体" w:cs="宋体"/>
          <w:color w:val="auto"/>
          <w:sz w:val="24"/>
          <w:szCs w:val="24"/>
        </w:rPr>
        <w:t>LED控制器</w:t>
      </w:r>
      <w:bookmarkEnd w:id="136"/>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7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0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80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60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tc>
        <w:tc>
          <w:tcPr>
            <w:tcW w:w="7802" w:type="dxa"/>
            <w:shd w:val="clear" w:color="auto" w:fill="auto"/>
            <w:vAlign w:val="center"/>
          </w:tcPr>
          <w:p>
            <w:pPr>
              <w:widowControl/>
              <w:jc w:val="center"/>
              <w:rPr>
                <w:rFonts w:ascii="宋体" w:hAnsi="宋体" w:cs="Arial"/>
                <w:bCs/>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4" w:hRule="atLeast"/>
        </w:trPr>
        <w:tc>
          <w:tcPr>
            <w:tcW w:w="160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802" w:type="dxa"/>
            <w:shd w:val="clear" w:color="auto" w:fill="auto"/>
            <w:vAlign w:val="center"/>
          </w:tcPr>
          <w:p>
            <w:pPr>
              <w:widowControl/>
              <w:jc w:val="left"/>
              <w:textAlignment w:val="center"/>
              <w:rPr>
                <w:rFonts w:ascii="Segoe UI Symbol" w:hAnsi="Segoe UI Symbol" w:cs="Arial"/>
                <w:kern w:val="0"/>
                <w:sz w:val="20"/>
                <w:szCs w:val="20"/>
              </w:rPr>
            </w:pPr>
            <w:r>
              <w:rPr>
                <w:rStyle w:val="247"/>
                <w:rFonts w:hint="default"/>
                <w:color w:val="auto"/>
                <w:lang w:bidi="ar"/>
              </w:rPr>
              <w:t>1.双DVI输入（带环出），双通道无缝选择切换；360万带载能力，最大支持1920*1200，不少于6个RJ45输出接口；多功能传感器接口、开关量接口、485接口；</w:t>
            </w:r>
            <w:r>
              <w:rPr>
                <w:rStyle w:val="247"/>
                <w:rFonts w:hint="default"/>
                <w:color w:val="auto"/>
                <w:lang w:bidi="ar"/>
              </w:rPr>
              <w:br w:type="textWrapping"/>
            </w:r>
            <w:r>
              <w:rPr>
                <w:rStyle w:val="247"/>
                <w:rFonts w:hint="default"/>
                <w:color w:val="auto"/>
                <w:lang w:bidi="ar"/>
              </w:rPr>
              <w:t>2.含液晶屏运行状态指示（提供实物图片证明）；前操作面板按钮：可以通过4个按钮操作，直接对LED控制器系统参数进行设置。电源开关：发送盒前面板安装了1个船型按钮电源开关，控制电源的开启和关闭。针对液晶显示屏显示运行状态，自动切换显示的各种系统信息</w:t>
            </w:r>
            <w:r>
              <w:rPr>
                <w:rStyle w:val="247"/>
                <w:rFonts w:hint="default"/>
                <w:color w:val="auto"/>
                <w:lang w:bidi="ar"/>
              </w:rPr>
              <w:br w:type="textWrapping"/>
            </w:r>
            <w:r>
              <w:rPr>
                <w:rStyle w:val="247"/>
                <w:rFonts w:hint="default"/>
                <w:color w:val="auto"/>
                <w:lang w:bidi="ar"/>
              </w:rPr>
              <w:t>3.控制软件能实时监控LED显示屏的各种运行状态：包括每个显示模块的运行状态；每个显示模组的运行状态；每个发送盒（发送卡）的运行状态等。能够通过计算机的显示界面实时监测当前LED显示屏的主要运行参数（并提供远程监控平台软件著作权证书）；并支持通过邮件形式通知管理员；</w:t>
            </w:r>
            <w:r>
              <w:rPr>
                <w:rStyle w:val="247"/>
                <w:rFonts w:hint="default"/>
                <w:color w:val="auto"/>
                <w:lang w:bidi="ar"/>
              </w:rPr>
              <w:br w:type="textWrapping"/>
            </w:r>
            <w:r>
              <w:rPr>
                <w:rStyle w:val="247"/>
                <w:rFonts w:hint="default"/>
                <w:color w:val="auto"/>
                <w:lang w:bidi="ar"/>
              </w:rPr>
              <w:t>4.支持白平衡亮度调节，单点亮度校正，亮度、湿度、温度、烟雾检测与参数调节，定时参数调节与开关机，并提供逐点校正软件著作权证书；</w:t>
            </w:r>
            <w:r>
              <w:rPr>
                <w:rStyle w:val="247"/>
                <w:rFonts w:hint="default"/>
                <w:color w:val="auto"/>
                <w:lang w:bidi="ar"/>
              </w:rPr>
              <w:br w:type="textWrapping"/>
            </w:r>
            <w:r>
              <w:rPr>
                <w:rStyle w:val="247"/>
                <w:rFonts w:hint="default"/>
                <w:color w:val="auto"/>
                <w:lang w:bidi="ar"/>
              </w:rPr>
              <w:t>5.要求提供相关软件，具备对通讯链路所涉及的网口、DVI口、误码率及通断状态的诊断功能，排查潜在故障隐患（需提供相关软件截图）；</w:t>
            </w:r>
            <w:r>
              <w:rPr>
                <w:rStyle w:val="247"/>
                <w:rFonts w:hint="default"/>
                <w:color w:val="auto"/>
                <w:lang w:bidi="ar"/>
              </w:rPr>
              <w:br w:type="textWrapping"/>
            </w:r>
            <w:r>
              <w:rPr>
                <w:rStyle w:val="247"/>
                <w:rFonts w:hint="default"/>
                <w:color w:val="auto"/>
                <w:lang w:bidi="ar"/>
              </w:rPr>
              <w:t>6.</w:t>
            </w:r>
            <w:r>
              <w:rPr>
                <w:rFonts w:hint="eastAsia" w:ascii="宋体" w:hAnsi="宋体" w:cs="Arial"/>
                <w:kern w:val="0"/>
                <w:sz w:val="20"/>
                <w:szCs w:val="20"/>
              </w:rPr>
              <w:t xml:space="preserve"> ▲</w:t>
            </w:r>
            <w:r>
              <w:rPr>
                <w:rStyle w:val="247"/>
                <w:rFonts w:hint="default"/>
                <w:color w:val="auto"/>
                <w:lang w:bidi="ar"/>
              </w:rPr>
              <w:t>为了确保整个系统的融合性，控制软件采用自主研发且能够在麒麟（提供与麒麟系统兼容的证明材料）、Windows操作系统下运行；</w:t>
            </w:r>
            <w:r>
              <w:rPr>
                <w:rStyle w:val="247"/>
                <w:rFonts w:hint="default"/>
                <w:color w:val="auto"/>
                <w:lang w:bidi="ar"/>
              </w:rPr>
              <w:br w:type="textWrapping"/>
            </w:r>
            <w:r>
              <w:rPr>
                <w:rStyle w:val="247"/>
                <w:rFonts w:hint="default"/>
                <w:color w:val="auto"/>
                <w:lang w:bidi="ar"/>
              </w:rPr>
              <w:t>7.控制器、控制软件要求与显示屏为同一品牌产品。</w:t>
            </w:r>
            <w:r>
              <w:rPr>
                <w:rStyle w:val="247"/>
                <w:rFonts w:hint="default"/>
                <w:color w:val="auto"/>
                <w:lang w:bidi="ar"/>
              </w:rPr>
              <w:br w:type="textWrapping"/>
            </w:r>
            <w:r>
              <w:rPr>
                <w:rStyle w:val="247"/>
                <w:rFonts w:hint="default"/>
                <w:color w:val="auto"/>
                <w:lang w:bidi="ar"/>
              </w:rPr>
              <w:t>8.要求提供CCC认证证书复印件并加盖原厂公章</w:t>
            </w:r>
          </w:p>
        </w:tc>
      </w:tr>
    </w:tbl>
    <w:p/>
    <w:p>
      <w:pPr>
        <w:pStyle w:val="141"/>
        <w:numPr>
          <w:ilvl w:val="3"/>
          <w:numId w:val="7"/>
        </w:numPr>
        <w:tabs>
          <w:tab w:val="clear" w:pos="851"/>
        </w:tabs>
        <w:outlineLvl w:val="4"/>
        <w:rPr>
          <w:rFonts w:ascii="宋体" w:hAnsi="宋体" w:eastAsia="宋体" w:cs="宋体"/>
          <w:color w:val="auto"/>
          <w:sz w:val="24"/>
          <w:szCs w:val="24"/>
        </w:rPr>
      </w:pPr>
      <w:bookmarkStart w:id="137" w:name="_Toc46242003"/>
      <w:r>
        <w:rPr>
          <w:rFonts w:hint="eastAsia" w:ascii="宋体" w:hAnsi="宋体" w:eastAsia="宋体" w:cs="宋体"/>
          <w:color w:val="auto"/>
          <w:sz w:val="24"/>
          <w:szCs w:val="24"/>
        </w:rPr>
        <w:t>分布式4K KVM输入节点</w:t>
      </w:r>
      <w:bookmarkEnd w:id="137"/>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7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585"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817"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trPr>
        <w:tc>
          <w:tcPr>
            <w:tcW w:w="1585"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817" w:type="dxa"/>
            <w:shd w:val="clear" w:color="auto" w:fill="auto"/>
            <w:vAlign w:val="center"/>
          </w:tcPr>
          <w:p>
            <w:pPr>
              <w:textAlignment w:val="center"/>
              <w:rPr>
                <w:rFonts w:ascii="宋体" w:hAnsi="宋体" w:cs="宋体"/>
                <w:kern w:val="0"/>
                <w:szCs w:val="21"/>
                <w:lang w:bidi="ar"/>
              </w:rPr>
            </w:pPr>
            <w:r>
              <w:rPr>
                <w:rFonts w:hint="eastAsia"/>
              </w:rPr>
              <w:t>1.</w:t>
            </w:r>
            <w:r>
              <w:rPr>
                <w:rFonts w:hint="eastAsia" w:ascii="宋体" w:hAnsi="宋体" w:cs="宋体"/>
                <w:kern w:val="0"/>
                <w:szCs w:val="21"/>
                <w:lang w:bidi="ar"/>
              </w:rPr>
              <w:t xml:space="preserve"> 系统要求完全分布式架构，无需配置服务器即可构建去中心化分布式业务资源网，所有模块均为4K模块，提供原厂盖章证明函；</w:t>
            </w:r>
          </w:p>
          <w:p>
            <w:pPr>
              <w:widowControl/>
              <w:jc w:val="left"/>
            </w:pPr>
            <w:r>
              <w:rPr>
                <w:rFonts w:hint="eastAsia" w:ascii="宋体" w:hAnsi="宋体" w:cs="宋体"/>
                <w:kern w:val="0"/>
                <w:szCs w:val="21"/>
                <w:lang w:bidi="ar"/>
              </w:rPr>
              <w:t>指挥协同调度系统由分布式坐席管理模块、分布式业务输出模块、分布式业务采集模块、分布式坐席调度模块、分布式坐席安全接入模块、分布式网络控制模块、分布式指挥协同调度平台</w:t>
            </w:r>
            <w:r>
              <w:rPr>
                <w:rFonts w:hint="eastAsia"/>
              </w:rPr>
              <w:t>、运维管控平台、与海关平台融合对接9部分组成，考虑到系统兼容性，须为同一品牌；</w:t>
            </w:r>
          </w:p>
          <w:p>
            <w:pPr>
              <w:widowControl/>
              <w:jc w:val="left"/>
            </w:pPr>
            <w:r>
              <w:rPr>
                <w:rFonts w:hint="eastAsia"/>
              </w:rPr>
              <w:t xml:space="preserve">2. </w:t>
            </w:r>
            <w:r>
              <w:rPr>
                <w:rFonts w:hint="eastAsia" w:ascii="宋体" w:hAnsi="宋体" w:cs="宋体"/>
                <w:kern w:val="0"/>
                <w:szCs w:val="21"/>
                <w:lang w:bidi="ar"/>
              </w:rPr>
              <w:t>具备HDMI，DVI，DP，DVI，DMS59输入接口，具备至少一路双向232，一路双向485，三路红外，三路I/0信号接口，支持中控功能，具有USB接口，支持KVM坐席管理；嵌入式设备，无常见的操作系统病毒、崩溃等风险；适配器与POE组成供电双备份：供电适配器接口具备螺纹锁定装置防止脱落，HDMI接口具备卡扣，</w:t>
            </w:r>
            <w:r>
              <w:rPr>
                <w:rFonts w:hint="eastAsia" w:ascii="宋体" w:cs="宋体"/>
                <w:szCs w:val="21"/>
              </w:rPr>
              <w:t>提供具有国家授权认可的</w:t>
            </w:r>
            <w:r>
              <w:rPr>
                <w:rFonts w:hint="eastAsia"/>
              </w:rPr>
              <w:t>集成电路产品检测资质和嵌入式软件产品检验资质的第三方检测机构出具</w:t>
            </w:r>
            <w:r>
              <w:rPr>
                <w:rFonts w:hint="eastAsia" w:ascii="宋体" w:hAnsi="宋体" w:cs="宋体"/>
                <w:kern w:val="0"/>
                <w:szCs w:val="21"/>
                <w:lang w:bidi="ar"/>
              </w:rPr>
              <w:t>的检测报告复印件；</w:t>
            </w:r>
          </w:p>
          <w:p>
            <w:pPr>
              <w:widowControl/>
              <w:jc w:val="left"/>
            </w:pPr>
            <w:r>
              <w:rPr>
                <w:rFonts w:hint="eastAsia"/>
              </w:rPr>
              <w:t xml:space="preserve">3. </w:t>
            </w:r>
            <w:r>
              <w:rPr>
                <w:rFonts w:hint="eastAsia" w:ascii="宋体" w:hAnsi="宋体" w:cs="宋体"/>
                <w:kern w:val="0"/>
                <w:szCs w:val="21"/>
                <w:lang w:bidi="ar"/>
              </w:rPr>
              <w:t>HDMI信号不少于1路，DP信号不少于1路，HDMI信号环出接口不少于1路；支持分辨率：3840x2160@60fps向下兼容；支持4K H.265(兼容 2K H.264)码流输入，支持4K@30P HDMI输入并编码；</w:t>
            </w:r>
          </w:p>
          <w:p>
            <w:pPr>
              <w:widowControl/>
              <w:jc w:val="left"/>
              <w:rPr>
                <w:rFonts w:ascii="宋体" w:hAnsi="宋体" w:cs="宋体"/>
                <w:kern w:val="0"/>
                <w:szCs w:val="21"/>
                <w:lang w:bidi="ar"/>
              </w:rPr>
            </w:pPr>
            <w:r>
              <w:t>4</w:t>
            </w:r>
            <w:r>
              <w:rPr>
                <w:rFonts w:hint="eastAsia"/>
              </w:rPr>
              <w:t xml:space="preserve">. </w:t>
            </w:r>
            <w:r>
              <w:rPr>
                <w:rFonts w:hint="eastAsia" w:ascii="宋体" w:hAnsi="宋体" w:cs="宋体"/>
                <w:kern w:val="0"/>
                <w:szCs w:val="21"/>
                <w:lang w:bidi="ar"/>
              </w:rPr>
              <w:t>接口自适应及热备：为保证不耽误用户继续正常运行，系统需实现热替换，热添加和热升级的机制，要求具备带电热插拔和业务恢复功能，即要求在不关机，不切断电源的情况下，可更换或移除其中一个损坏模块，实现自动恢复；</w:t>
            </w:r>
          </w:p>
          <w:p>
            <w:pPr>
              <w:widowControl/>
              <w:jc w:val="left"/>
            </w:pPr>
            <w:r>
              <w:t>5</w:t>
            </w:r>
            <w:r>
              <w:rPr>
                <w:rFonts w:hint="eastAsia"/>
              </w:rPr>
              <w:t xml:space="preserve">. </w:t>
            </w:r>
            <w:r>
              <w:rPr>
                <w:rFonts w:hint="eastAsia" w:ascii="宋体" w:hAnsi="宋体" w:cs="宋体"/>
                <w:kern w:val="0"/>
                <w:szCs w:val="21"/>
                <w:lang w:bidi="ar"/>
              </w:rPr>
              <w:t>支持移动触控端KVM直控功能，实现移动端远程操作电脑主机里的文件和内容，如使用触摸板一样操作鼠标移动和点击，提供CNAS认可的第三方机构出具的检测报告复印件；</w:t>
            </w:r>
          </w:p>
          <w:p>
            <w:pPr>
              <w:widowControl/>
              <w:jc w:val="left"/>
            </w:pPr>
            <w:r>
              <w:t>6</w:t>
            </w:r>
            <w:r>
              <w:rPr>
                <w:rFonts w:hint="eastAsia"/>
              </w:rPr>
              <w:t xml:space="preserve">. </w:t>
            </w:r>
            <w:r>
              <w:rPr>
                <w:rFonts w:hint="eastAsia" w:ascii="宋体" w:hAnsi="宋体" w:cs="宋体"/>
                <w:szCs w:val="21"/>
              </w:rPr>
              <w:t>支持与保密通讯系统联动，支持KVM与保密通讯系统联动，支持Ukey、数据等与业务流程无缝衔接配合</w:t>
            </w:r>
            <w:r>
              <w:rPr>
                <w:rFonts w:hint="eastAsia"/>
              </w:rPr>
              <w:t>，</w:t>
            </w:r>
            <w:r>
              <w:rPr>
                <w:rFonts w:hint="eastAsia" w:ascii="宋体" w:cs="宋体"/>
                <w:szCs w:val="21"/>
              </w:rPr>
              <w:t>提供国家授权认可的具有</w:t>
            </w:r>
            <w:r>
              <w:rPr>
                <w:rFonts w:hint="eastAsia"/>
              </w:rPr>
              <w:t>集成电路产品检测资质和嵌入式软件产品检验资质的权威检测机构出具的具有CMA、ilac-MRA及CNAS标识的</w:t>
            </w:r>
            <w:r>
              <w:rPr>
                <w:rFonts w:hint="eastAsia" w:ascii="宋体" w:hAnsi="宋体" w:cs="宋体"/>
                <w:kern w:val="0"/>
                <w:szCs w:val="21"/>
                <w:lang w:bidi="ar"/>
              </w:rPr>
              <w:t>检测报告复印件；</w:t>
            </w:r>
          </w:p>
          <w:p>
            <w:pPr>
              <w:widowControl/>
              <w:jc w:val="left"/>
            </w:pPr>
            <w:r>
              <w:t>7</w:t>
            </w:r>
            <w:r>
              <w:rPr>
                <w:rFonts w:hint="eastAsia"/>
              </w:rPr>
              <w:t>.</w:t>
            </w:r>
            <w:r>
              <w:rPr>
                <w:rFonts w:hint="eastAsia" w:ascii="Times New Roman" w:hAnsi="Times New Roman"/>
                <w:szCs w:val="21"/>
              </w:rPr>
              <w:t xml:space="preserve"> 数据存储、数据接收和数据获取均符合《KVM适配器信息安全性测试方案》的相关要求，不可存储传输用户数据且无法执行HID攻击，投标时提供公安部或者国家认证认可监督管理委员会认可的国家级信息安全认证机构出具的产品安全测试报告。</w:t>
            </w:r>
          </w:p>
        </w:tc>
      </w:tr>
    </w:tbl>
    <w:p/>
    <w:p>
      <w:pPr>
        <w:pStyle w:val="141"/>
        <w:numPr>
          <w:ilvl w:val="3"/>
          <w:numId w:val="7"/>
        </w:numPr>
        <w:tabs>
          <w:tab w:val="clear" w:pos="851"/>
        </w:tabs>
        <w:outlineLvl w:val="4"/>
        <w:rPr>
          <w:rFonts w:ascii="宋体" w:hAnsi="宋体" w:eastAsia="宋体" w:cs="宋体"/>
          <w:color w:val="auto"/>
          <w:sz w:val="24"/>
          <w:szCs w:val="24"/>
        </w:rPr>
      </w:pPr>
      <w:bookmarkStart w:id="138" w:name="_Toc46242004"/>
      <w:r>
        <w:rPr>
          <w:rFonts w:hint="eastAsia" w:ascii="宋体" w:hAnsi="宋体" w:eastAsia="宋体" w:cs="宋体"/>
          <w:color w:val="auto"/>
          <w:sz w:val="24"/>
          <w:szCs w:val="24"/>
        </w:rPr>
        <w:t>分布式4K KVM输出节点</w:t>
      </w:r>
      <w:bookmarkEnd w:id="138"/>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4"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952" w:type="dxa"/>
            <w:shd w:val="clear" w:color="auto" w:fill="auto"/>
            <w:vAlign w:val="center"/>
          </w:tcPr>
          <w:p>
            <w:pPr>
              <w:widowControl/>
              <w:jc w:val="left"/>
            </w:pPr>
            <w:r>
              <w:rPr>
                <w:rFonts w:hint="eastAsia"/>
              </w:rPr>
              <w:t>1.</w:t>
            </w:r>
            <w:r>
              <w:rPr>
                <w:rFonts w:hint="eastAsia" w:ascii="宋体" w:hAnsi="宋体" w:cs="宋体"/>
                <w:kern w:val="0"/>
                <w:szCs w:val="21"/>
                <w:lang w:bidi="ar"/>
              </w:rPr>
              <w:t xml:space="preserve"> 分布式架构：系统要求完全分布式架构，无需配置服务器即可构建去中心化分布式资源网络，本模块为4K模块</w:t>
            </w:r>
          </w:p>
          <w:p>
            <w:pPr>
              <w:widowControl/>
              <w:jc w:val="left"/>
              <w:rPr>
                <w:rFonts w:ascii="宋体" w:hAnsi="宋体" w:cs="宋体"/>
                <w:kern w:val="0"/>
                <w:szCs w:val="21"/>
                <w:lang w:bidi="ar"/>
              </w:rPr>
            </w:pPr>
            <w:r>
              <w:rPr>
                <w:rFonts w:hint="eastAsia"/>
              </w:rPr>
              <w:t xml:space="preserve">2. </w:t>
            </w:r>
            <w:r>
              <w:rPr>
                <w:rFonts w:hint="eastAsia" w:ascii="宋体" w:hAnsi="宋体" w:cs="宋体"/>
                <w:kern w:val="0"/>
                <w:szCs w:val="21"/>
                <w:lang w:bidi="ar"/>
              </w:rPr>
              <w:t>具备一路数字Audio，1路模拟Audio输入输出，1路,MIC，1路RS232，输出支持HDMI2.0,4K@60输出，向下兼容。</w:t>
            </w:r>
          </w:p>
          <w:p>
            <w:pPr>
              <w:widowControl/>
              <w:jc w:val="left"/>
            </w:pPr>
            <w:r>
              <w:t>3</w:t>
            </w:r>
            <w:r>
              <w:rPr>
                <w:rFonts w:hint="eastAsia"/>
              </w:rPr>
              <w:t xml:space="preserve">. </w:t>
            </w:r>
            <w:r>
              <w:rPr>
                <w:rFonts w:hint="eastAsia" w:ascii="宋体" w:hAnsi="宋体" w:cs="宋体"/>
                <w:szCs w:val="21"/>
              </w:rPr>
              <w:t>编码节点（模块）提供无压缩的传输通道或AAC编语音通道；支持同步或者异步传输；支持多达16个席位多方通话；音频采样频率48K 24位以上；多个模块组成的席位，可通过快捷键呼出通话菜单，展示坐席排列图，获得当前席位用户信息，并进行双向可视语音通话或者仅语音通话；最多可实现16方同时通话，任意一方可听到另外15方的语音，实现如通播、点名等场景。具备MIC输出端口，方便席位间的语音交互；</w:t>
            </w:r>
            <w:r>
              <w:rPr>
                <w:rFonts w:hint="eastAsia" w:ascii="宋体" w:hAnsi="宋体" w:cs="宋体"/>
                <w:kern w:val="0"/>
                <w:szCs w:val="21"/>
                <w:lang w:bidi="ar"/>
              </w:rPr>
              <w:t>操作软件支持国产硬件和操作系统 提供跨平台操作能力，操作终端可完美支持龙芯、飞腾、申威、MPRC以及麒麟、磐石等国产操作系统之上；支持浏览器作为操作终端，支持IE.火狐.Safari，Google浏览器；</w:t>
            </w:r>
            <w:r>
              <w:rPr>
                <w:rFonts w:hint="eastAsia" w:ascii="宋体" w:cs="宋体"/>
                <w:szCs w:val="21"/>
              </w:rPr>
              <w:t>提供国家授权认可的具有</w:t>
            </w:r>
            <w:r>
              <w:rPr>
                <w:rFonts w:hint="eastAsia"/>
              </w:rPr>
              <w:t>集成电路产品检测资质和嵌入式软件产品检验资质的权威检测机构出具的具有CMA、ilac-MRA及CNAS标识的</w:t>
            </w:r>
            <w:r>
              <w:rPr>
                <w:rFonts w:hint="eastAsia" w:ascii="宋体" w:hAnsi="宋体" w:cs="宋体"/>
                <w:kern w:val="0"/>
                <w:szCs w:val="21"/>
                <w:lang w:bidi="ar"/>
              </w:rPr>
              <w:t>检测报告复印件；</w:t>
            </w:r>
          </w:p>
          <w:p>
            <w:pPr>
              <w:widowControl/>
              <w:jc w:val="left"/>
            </w:pPr>
            <w:r>
              <w:t>4</w:t>
            </w:r>
            <w:r>
              <w:rPr>
                <w:rFonts w:hint="eastAsia"/>
              </w:rPr>
              <w:t xml:space="preserve">. </w:t>
            </w:r>
            <w:r>
              <w:rPr>
                <w:rFonts w:hint="eastAsia" w:ascii="宋体" w:hAnsi="宋体" w:cs="宋体"/>
                <w:kern w:val="0"/>
                <w:szCs w:val="21"/>
                <w:lang w:bidi="ar"/>
              </w:rPr>
              <w:t>中文OSD菜单以及可定制化菜单 应具备坐席本地操作人员通过用户终端的中文OSD菜单进行本地信号切换调用，且OSD菜单为中文界面、可显示各信号源在线状态；菜单可定制化。</w:t>
            </w:r>
          </w:p>
          <w:p>
            <w:pPr>
              <w:widowControl/>
              <w:jc w:val="left"/>
            </w:pPr>
            <w:r>
              <w:t>5</w:t>
            </w:r>
            <w:r>
              <w:rPr>
                <w:rFonts w:hint="eastAsia"/>
              </w:rPr>
              <w:t>.</w:t>
            </w:r>
            <w:r>
              <w:rPr>
                <w:rFonts w:hint="eastAsia" w:ascii="宋体" w:hAnsi="宋体" w:cs="宋体"/>
                <w:kern w:val="0"/>
                <w:szCs w:val="21"/>
                <w:lang w:bidi="ar"/>
              </w:rPr>
              <w:t xml:space="preserve"> 操作员获得指挥员指令后，可将当前接管画面直接推送到大屏幕上，以醒目的红框示廓。要求大屏幕可推送的画面不少于64个，以适应轮巡监视场景下的画面推送</w:t>
            </w:r>
          </w:p>
          <w:p>
            <w:pPr>
              <w:widowControl/>
              <w:jc w:val="left"/>
            </w:pPr>
            <w:r>
              <w:t>6</w:t>
            </w:r>
            <w:r>
              <w:rPr>
                <w:rFonts w:hint="eastAsia"/>
              </w:rPr>
              <w:t xml:space="preserve">. </w:t>
            </w:r>
            <w:r>
              <w:rPr>
                <w:rFonts w:hint="eastAsia" w:ascii="宋体" w:hAnsi="宋体" w:cs="宋体"/>
                <w:kern w:val="0"/>
                <w:szCs w:val="21"/>
                <w:lang w:bidi="ar"/>
              </w:rPr>
              <w:t>支持移动触控端KVM直控功能，实现移动端远程操作电脑主机里的文件和内容，如使用触摸板一样操作鼠标移动和点击，</w:t>
            </w:r>
            <w:r>
              <w:rPr>
                <w:rFonts w:hint="eastAsia" w:ascii="宋体" w:cs="宋体"/>
                <w:szCs w:val="21"/>
              </w:rPr>
              <w:t>提供</w:t>
            </w:r>
            <w:r>
              <w:rPr>
                <w:rFonts w:hint="eastAsia"/>
              </w:rPr>
              <w:t>CNAS认可的第三方检测机构出具的</w:t>
            </w:r>
            <w:r>
              <w:rPr>
                <w:rFonts w:hint="eastAsia" w:ascii="宋体" w:hAnsi="宋体" w:cs="宋体"/>
                <w:kern w:val="0"/>
                <w:szCs w:val="21"/>
                <w:lang w:bidi="ar"/>
              </w:rPr>
              <w:t>检测报告复印件；</w:t>
            </w:r>
          </w:p>
          <w:p>
            <w:pPr>
              <w:widowControl/>
              <w:jc w:val="left"/>
              <w:rPr>
                <w:rFonts w:ascii="Segoe UI Symbol" w:hAnsi="Segoe UI Symbol" w:cs="Arial"/>
                <w:kern w:val="0"/>
                <w:sz w:val="20"/>
                <w:szCs w:val="20"/>
              </w:rPr>
            </w:pPr>
            <w:r>
              <w:t>7</w:t>
            </w:r>
            <w:r>
              <w:rPr>
                <w:rFonts w:hint="eastAsia"/>
              </w:rPr>
              <w:t>．</w:t>
            </w:r>
            <w:r>
              <w:rPr>
                <w:rFonts w:hint="eastAsia" w:ascii="宋体" w:hAnsi="宋体" w:cs="宋体"/>
                <w:kern w:val="0"/>
                <w:szCs w:val="21"/>
                <w:lang w:bidi="ar"/>
              </w:rPr>
              <w:t>支持B/S方式对系统进行可视化展示，包括在线模块（节点）状态、使用时长、用户在线数量、网络超限、中断等进行监测，以便对系统健康进行管理及运维，支持用户自定义屏幕，并以B/S方式进行屏幕分配、布局、排列和信号拖放，</w:t>
            </w:r>
            <w:r>
              <w:rPr>
                <w:rFonts w:hint="eastAsia" w:ascii="宋体" w:cs="宋体"/>
                <w:szCs w:val="21"/>
              </w:rPr>
              <w:t>提供</w:t>
            </w:r>
            <w:r>
              <w:rPr>
                <w:rFonts w:hint="eastAsia"/>
              </w:rPr>
              <w:t>CNAS认可的第三方检测机构出具的</w:t>
            </w:r>
            <w:r>
              <w:rPr>
                <w:rFonts w:hint="eastAsia" w:ascii="宋体" w:hAnsi="宋体" w:cs="宋体"/>
                <w:kern w:val="0"/>
                <w:szCs w:val="21"/>
                <w:lang w:bidi="ar"/>
              </w:rPr>
              <w:t>检测报告复印件；</w:t>
            </w:r>
          </w:p>
        </w:tc>
      </w:tr>
    </w:tbl>
    <w:p>
      <w:pPr>
        <w:pStyle w:val="141"/>
        <w:numPr>
          <w:ilvl w:val="3"/>
          <w:numId w:val="7"/>
        </w:numPr>
        <w:tabs>
          <w:tab w:val="clear" w:pos="851"/>
        </w:tabs>
        <w:outlineLvl w:val="4"/>
        <w:rPr>
          <w:rFonts w:ascii="宋体" w:hAnsi="宋体" w:eastAsia="宋体" w:cs="宋体"/>
          <w:color w:val="auto"/>
          <w:sz w:val="24"/>
          <w:szCs w:val="24"/>
        </w:rPr>
      </w:pPr>
      <w:bookmarkStart w:id="139" w:name="_Toc46242005"/>
      <w:r>
        <w:rPr>
          <w:rFonts w:hint="eastAsia" w:ascii="宋体" w:hAnsi="宋体" w:eastAsia="宋体" w:cs="宋体"/>
          <w:color w:val="auto"/>
          <w:sz w:val="24"/>
          <w:szCs w:val="24"/>
        </w:rPr>
        <w:t>分布式网络控制节点</w:t>
      </w:r>
      <w:bookmarkEnd w:id="139"/>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952" w:type="dxa"/>
            <w:shd w:val="clear" w:color="auto" w:fill="auto"/>
            <w:vAlign w:val="center"/>
          </w:tcPr>
          <w:p>
            <w:pPr>
              <w:widowControl/>
              <w:jc w:val="left"/>
              <w:rPr>
                <w:rFonts w:ascii="宋体" w:cs="宋体"/>
                <w:kern w:val="0"/>
                <w:szCs w:val="21"/>
              </w:rPr>
            </w:pPr>
            <w:r>
              <w:rPr>
                <w:rFonts w:hint="eastAsia" w:ascii="宋体" w:cs="宋体"/>
                <w:kern w:val="0"/>
                <w:szCs w:val="21"/>
              </w:rPr>
              <w:t>1</w:t>
            </w:r>
            <w:r>
              <w:rPr>
                <w:rFonts w:ascii="宋体" w:cs="宋体"/>
                <w:kern w:val="0"/>
                <w:szCs w:val="21"/>
              </w:rPr>
              <w:t>.</w:t>
            </w:r>
            <w:r>
              <w:rPr>
                <w:rFonts w:hint="eastAsia" w:ascii="宋体" w:cs="宋体"/>
                <w:kern w:val="0"/>
                <w:szCs w:val="21"/>
              </w:rPr>
              <w:t>分布式架构：非传统服务器，主机采用纯硬件嵌入式架构，无操作系统，</w:t>
            </w:r>
            <w:r>
              <w:rPr>
                <w:rFonts w:ascii="宋体" w:cs="宋体"/>
                <w:kern w:val="0"/>
                <w:szCs w:val="21"/>
              </w:rPr>
              <w:t xml:space="preserve"> </w:t>
            </w:r>
            <w:r>
              <w:rPr>
                <w:rFonts w:hint="eastAsia" w:ascii="宋体" w:cs="宋体"/>
                <w:kern w:val="0"/>
                <w:szCs w:val="21"/>
              </w:rPr>
              <w:t>嵌入式CPU不低于32</w:t>
            </w:r>
            <w:r>
              <w:rPr>
                <w:rFonts w:ascii="宋体" w:cs="宋体"/>
                <w:kern w:val="0"/>
                <w:szCs w:val="21"/>
              </w:rPr>
              <w:t xml:space="preserve"> </w:t>
            </w:r>
            <w:r>
              <w:rPr>
                <w:rFonts w:hint="eastAsia" w:ascii="宋体" w:cs="宋体"/>
                <w:kern w:val="0"/>
                <w:szCs w:val="21"/>
              </w:rPr>
              <w:t>位，主频不低于</w:t>
            </w:r>
            <w:r>
              <w:rPr>
                <w:rFonts w:ascii="宋体" w:cs="宋体"/>
                <w:kern w:val="0"/>
                <w:szCs w:val="21"/>
              </w:rPr>
              <w:t xml:space="preserve"> 1G. </w:t>
            </w:r>
            <w:r>
              <w:rPr>
                <w:rFonts w:hint="eastAsia" w:ascii="宋体" w:cs="宋体"/>
                <w:kern w:val="0"/>
                <w:szCs w:val="21"/>
              </w:rPr>
              <w:t>内存</w:t>
            </w:r>
            <w:r>
              <w:rPr>
                <w:rFonts w:ascii="宋体" w:cs="宋体"/>
                <w:kern w:val="0"/>
                <w:szCs w:val="21"/>
              </w:rPr>
              <w:t xml:space="preserve"> </w:t>
            </w:r>
            <w:r>
              <w:rPr>
                <w:rFonts w:hint="eastAsia" w:ascii="宋体" w:cs="宋体"/>
                <w:kern w:val="0"/>
                <w:szCs w:val="21"/>
              </w:rPr>
              <w:t>不低于4G，提供CNAS认可的第三方机构出具的检测报告复印件；</w:t>
            </w:r>
          </w:p>
          <w:p>
            <w:pPr>
              <w:widowControl/>
              <w:jc w:val="left"/>
            </w:pPr>
            <w:r>
              <w:rPr>
                <w:rFonts w:hint="eastAsia" w:ascii="宋体" w:cs="宋体"/>
                <w:kern w:val="0"/>
                <w:szCs w:val="21"/>
              </w:rPr>
              <w:t>2</w:t>
            </w:r>
            <w:r>
              <w:rPr>
                <w:rFonts w:ascii="宋体" w:cs="宋体"/>
                <w:kern w:val="0"/>
                <w:szCs w:val="21"/>
              </w:rPr>
              <w:t>.</w:t>
            </w:r>
            <w:r>
              <w:rPr>
                <w:rFonts w:hint="eastAsia" w:ascii="宋体" w:cs="宋体"/>
                <w:kern w:val="0"/>
                <w:szCs w:val="21"/>
              </w:rPr>
              <w:t>串口不低于10个，IR口不低于8个，输入IO端口不低于8路，模拟输入不低于4路，模拟输出不低于1路，网络接口不低于2个，以及可视化HDMI高清调试监控接口，会场环境状态一键保存，一键恢复，提供CNAS认可的第三方机构出具的检测报告复印件；</w:t>
            </w:r>
          </w:p>
          <w:p>
            <w:pPr>
              <w:widowControl/>
              <w:jc w:val="left"/>
            </w:pPr>
            <w:r>
              <w:rPr>
                <w:rFonts w:ascii="宋体" w:cs="宋体"/>
                <w:kern w:val="0"/>
                <w:szCs w:val="21"/>
              </w:rPr>
              <w:t>3.</w:t>
            </w:r>
            <w:r>
              <w:rPr>
                <w:rFonts w:hint="eastAsia" w:ascii="宋体" w:cs="宋体"/>
                <w:kern w:val="0"/>
                <w:szCs w:val="21"/>
              </w:rPr>
              <w:t>图像处理：具备全屏，单屏，4/6/9/16或以上分屏，灵活易用，具备图像开窗、窗口叠加、漫游、缩放、字符叠加、高清地图和底图功能；</w:t>
            </w:r>
          </w:p>
          <w:p>
            <w:pPr>
              <w:widowControl/>
              <w:jc w:val="left"/>
            </w:pPr>
            <w:r>
              <w:rPr>
                <w:rFonts w:ascii="宋体" w:cs="宋体"/>
                <w:kern w:val="0"/>
                <w:szCs w:val="21"/>
              </w:rPr>
              <w:t>4.</w:t>
            </w:r>
            <w:r>
              <w:rPr>
                <w:rFonts w:hint="eastAsia" w:ascii="宋体" w:cs="宋体"/>
                <w:kern w:val="0"/>
                <w:szCs w:val="21"/>
              </w:rPr>
              <w:t>控制模式：支持PC端、IPAD、Android触摸屏、墙上面板灯控制，并支持IE浏览器（无需WEB服务器），跨平台多操作终端实时同步界面反馈,其中一个触屏操作，实时反馈在另外几个触屏上，真正做到协同操作，提供CNAS认可的第三方机构出具的检测报告复印件；</w:t>
            </w:r>
          </w:p>
        </w:tc>
      </w:tr>
    </w:tbl>
    <w:p/>
    <w:p>
      <w:pPr>
        <w:pStyle w:val="141"/>
        <w:numPr>
          <w:ilvl w:val="3"/>
          <w:numId w:val="7"/>
        </w:numPr>
        <w:tabs>
          <w:tab w:val="clear" w:pos="851"/>
        </w:tabs>
        <w:outlineLvl w:val="4"/>
        <w:rPr>
          <w:rFonts w:ascii="宋体" w:hAnsi="宋体" w:eastAsia="宋体" w:cs="宋体"/>
          <w:color w:val="auto"/>
          <w:sz w:val="24"/>
          <w:szCs w:val="24"/>
        </w:rPr>
      </w:pPr>
      <w:bookmarkStart w:id="140" w:name="_Toc46242006"/>
      <w:r>
        <w:rPr>
          <w:rFonts w:hint="eastAsia" w:ascii="宋体" w:hAnsi="宋体" w:eastAsia="宋体" w:cs="宋体"/>
          <w:color w:val="auto"/>
          <w:sz w:val="24"/>
          <w:szCs w:val="24"/>
        </w:rPr>
        <w:t>区域中心分布式管理平台</w:t>
      </w:r>
      <w:bookmarkEnd w:id="140"/>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8"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952" w:type="dxa"/>
            <w:shd w:val="clear" w:color="auto" w:fill="auto"/>
            <w:vAlign w:val="center"/>
          </w:tcPr>
          <w:p>
            <w:pPr>
              <w:widowControl/>
              <w:tabs>
                <w:tab w:val="left" w:pos="425"/>
              </w:tabs>
              <w:jc w:val="left"/>
            </w:pPr>
            <w:r>
              <w:rPr>
                <w:rFonts w:ascii="宋体" w:hAnsi="宋体" w:cs="宋体"/>
                <w:kern w:val="0"/>
                <w:szCs w:val="21"/>
                <w:lang w:bidi="ar"/>
              </w:rPr>
              <w:t>1.</w:t>
            </w:r>
            <w:r>
              <w:rPr>
                <w:rFonts w:hint="eastAsia" w:ascii="宋体" w:hAnsi="宋体" w:cs="宋体"/>
                <w:kern w:val="0"/>
                <w:szCs w:val="21"/>
                <w:lang w:bidi="ar"/>
              </w:rPr>
              <w:t>坐席任意主副屏跟随调取场景：坐席人员使用键盘的 OSD 快捷操作菜单中的热键方式，将多显卡任意数据信息实现不同组合同步输出，实现主主、主副、副主、副副的坐席信息跟随和不跟随调取的功能；</w:t>
            </w:r>
          </w:p>
          <w:p>
            <w:pPr>
              <w:textAlignment w:val="center"/>
              <w:rPr>
                <w:rFonts w:ascii="宋体" w:hAnsi="宋体" w:cs="宋体"/>
                <w:kern w:val="0"/>
                <w:szCs w:val="21"/>
                <w:lang w:bidi="ar"/>
              </w:rPr>
            </w:pPr>
            <w:r>
              <w:rPr>
                <w:rFonts w:hint="eastAsia" w:ascii="宋体" w:hAnsi="宋体" w:cs="宋体"/>
                <w:kern w:val="0"/>
                <w:szCs w:val="21"/>
                <w:lang w:bidi="ar"/>
              </w:rPr>
              <w:t>坐席跨多平台实时操作场景：键盘鼠标的操作可以从一个显示器直接滑向另外一个显示器实现跨屏操作，且跨屏操作延时不高于 10ms，具有极高的同步性。系统支持跨多平台（windows、Linux、Android、unix、MAC、国产 Kylin 等）实时操作且跨屏数量不限，任意坐席经授权后可设置跨屏参数，跨屏操作时，可实时提示当前激活信号源，提供CNAS认可的第三方机构出具的检测报告复印件；</w:t>
            </w:r>
          </w:p>
          <w:p>
            <w:pPr>
              <w:widowControl/>
              <w:tabs>
                <w:tab w:val="left" w:pos="425"/>
              </w:tabs>
              <w:jc w:val="left"/>
            </w:pPr>
            <w:r>
              <w:rPr>
                <w:rFonts w:ascii="宋体" w:hAnsi="宋体" w:cs="宋体"/>
                <w:kern w:val="0"/>
                <w:szCs w:val="21"/>
                <w:lang w:bidi="ar"/>
              </w:rPr>
              <w:t>2.</w:t>
            </w:r>
            <w:r>
              <w:rPr>
                <w:rFonts w:hint="eastAsia" w:ascii="宋体" w:hAnsi="宋体" w:cs="宋体"/>
                <w:kern w:val="0"/>
                <w:szCs w:val="21"/>
                <w:lang w:bidi="ar"/>
              </w:rPr>
              <w:t>坐席一人多机场景：每个坐席人员通过一套键盘鼠标即可对后台不同数据业务信息主机远程同时接管调用，在操作台上的对应显示器端实现操作，实现一人多机的应用。同时，每个坐席人员操作台操作的显示器数量无限制，简化桌面环境，提高应急指挥调度工作效率；</w:t>
            </w:r>
          </w:p>
          <w:p>
            <w:pPr>
              <w:widowControl/>
              <w:jc w:val="left"/>
            </w:pPr>
            <w:r>
              <w:rPr>
                <w:rFonts w:ascii="宋体" w:hAnsi="宋体" w:cs="宋体"/>
                <w:kern w:val="0"/>
                <w:szCs w:val="21"/>
                <w:lang w:bidi="ar"/>
              </w:rPr>
              <w:t>3.</w:t>
            </w:r>
            <w:r>
              <w:rPr>
                <w:rFonts w:hint="eastAsia" w:ascii="宋体" w:hAnsi="宋体" w:cs="宋体"/>
                <w:kern w:val="0"/>
                <w:szCs w:val="21"/>
                <w:lang w:bidi="ar"/>
              </w:rPr>
              <w:t>坐席数据轮巡监控场景：通过坐席协作管理界面，支持自定义轮巡，可设置轮巡开关、轮巡时间与轮巡通道等。坐席人员使用 OSD 快捷操作菜单中的热键，可实现一键数据轮巡监控，一键存储轮巡应用模式，提供中华人民共和国国家版权局颁发的数据轮巡监控软件计算机软件著作权登记证书复印件；</w:t>
            </w:r>
          </w:p>
          <w:p>
            <w:pPr>
              <w:widowControl/>
              <w:tabs>
                <w:tab w:val="left" w:pos="425"/>
              </w:tabs>
              <w:jc w:val="left"/>
            </w:pPr>
            <w:r>
              <w:rPr>
                <w:rFonts w:ascii="宋体" w:hAnsi="宋体" w:cs="宋体"/>
                <w:kern w:val="0"/>
                <w:szCs w:val="21"/>
                <w:lang w:bidi="ar"/>
              </w:rPr>
              <w:t>4.</w:t>
            </w:r>
            <w:r>
              <w:rPr>
                <w:rFonts w:hint="eastAsia" w:ascii="宋体" w:hAnsi="宋体" w:cs="宋体"/>
                <w:kern w:val="0"/>
                <w:szCs w:val="21"/>
                <w:lang w:bidi="ar"/>
              </w:rPr>
              <w:t>跨区域远程协作场景：通过坐席协作管理系统广电级光纤级联堆叠机制，既可实现本区域的团队协作，又可以实现跨区域远程实时通讯协作，跨区域远程协作支持异地远程，且各区域间采用一根通用光纤/网络线缆，无须任何转接设备或光纤KVM扩展器，即可实现端对端堆叠的无缝跨区互联互通应用场景，且跨区协作路数不限；</w:t>
            </w:r>
          </w:p>
          <w:p>
            <w:pPr>
              <w:widowControl/>
              <w:tabs>
                <w:tab w:val="left" w:pos="425"/>
              </w:tabs>
              <w:jc w:val="left"/>
              <w:rPr>
                <w:rFonts w:ascii="宋体" w:hAnsi="宋体" w:cs="宋体"/>
                <w:kern w:val="0"/>
                <w:szCs w:val="21"/>
                <w:lang w:bidi="ar"/>
              </w:rPr>
            </w:pPr>
            <w:r>
              <w:rPr>
                <w:rFonts w:ascii="宋体" w:hAnsi="宋体" w:cs="宋体"/>
                <w:kern w:val="0"/>
                <w:szCs w:val="21"/>
                <w:lang w:bidi="ar"/>
              </w:rPr>
              <w:t>5.</w:t>
            </w:r>
            <w:r>
              <w:rPr>
                <w:rFonts w:hint="eastAsia" w:ascii="宋体" w:hAnsi="宋体" w:cs="宋体"/>
                <w:kern w:val="0"/>
                <w:szCs w:val="21"/>
                <w:lang w:bidi="ar"/>
              </w:rPr>
              <w:t>集中统一管理：对所有系统内的设备模块（节点）进行集中统一管理，支持查看设备节点当前运行状态，快速标记故障设备节点，并快速精准定位故障更换，实现系统检测直接精准到故障点，支持系统固件在线升级，系统扩容无需人工干预快速识别新加入设备节点，并使之进入正常工作状态，并实现系统的实时在线灾备、任务定时执行、云存储备份和手手势操作等，提供CNAS认可的第三方机构出具的检测报告复印件；</w:t>
            </w:r>
          </w:p>
          <w:p>
            <w:pPr>
              <w:widowControl/>
              <w:tabs>
                <w:tab w:val="left" w:pos="425"/>
              </w:tabs>
              <w:jc w:val="left"/>
            </w:pPr>
            <w:r>
              <w:rPr>
                <w:rFonts w:hint="eastAsia" w:ascii="宋体" w:hAnsi="宋体" w:cs="宋体"/>
                <w:kern w:val="0"/>
                <w:szCs w:val="21"/>
                <w:lang w:bidi="ar"/>
              </w:rPr>
              <w:t>6</w:t>
            </w:r>
            <w:r>
              <w:rPr>
                <w:rFonts w:ascii="宋体" w:hAnsi="宋体" w:cs="宋体"/>
                <w:kern w:val="0"/>
                <w:szCs w:val="21"/>
                <w:lang w:bidi="ar"/>
              </w:rPr>
              <w:t>.</w:t>
            </w:r>
            <w:r>
              <w:rPr>
                <w:rFonts w:hint="eastAsia" w:ascii="宋体" w:hAnsi="宋体" w:cs="Arial"/>
                <w:bCs/>
                <w:kern w:val="0"/>
                <w:sz w:val="20"/>
                <w:szCs w:val="20"/>
              </w:rPr>
              <w:t xml:space="preserve"> 区域中心分布式管理平台须与省环境监测中心现有魅视控制中心软件系统对接，实现支持iOS/Windows跨系统交换式控制并同步，支持IE浏览器无需web服务器，基于控制中心软件系统集成音频控制、视频会议控制、视频显示控制、环境灯光控制等，集成可视化管理和一体化控制为一体。</w:t>
            </w:r>
            <w:r>
              <w:rPr>
                <w:rFonts w:hint="eastAsia" w:ascii="宋体" w:hAnsi="宋体" w:cs="宋体"/>
                <w:kern w:val="0"/>
                <w:szCs w:val="21"/>
                <w:lang w:bidi="ar"/>
              </w:rPr>
              <w:t>（</w:t>
            </w:r>
            <w:r>
              <w:rPr>
                <w:rFonts w:ascii="宋体" w:hAnsi="宋体" w:cs="宋体"/>
                <w:kern w:val="0"/>
                <w:szCs w:val="21"/>
                <w:lang w:bidi="ar"/>
              </w:rPr>
              <w:t>提供承诺函</w:t>
            </w:r>
            <w:r>
              <w:rPr>
                <w:rFonts w:hint="eastAsia" w:ascii="宋体" w:hAnsi="宋体" w:cs="宋体"/>
                <w:kern w:val="0"/>
                <w:szCs w:val="21"/>
                <w:lang w:bidi="ar"/>
              </w:rPr>
              <w:t>，</w:t>
            </w:r>
            <w:r>
              <w:rPr>
                <w:rFonts w:ascii="宋体" w:hAnsi="宋体" w:cs="宋体"/>
                <w:kern w:val="0"/>
                <w:szCs w:val="21"/>
                <w:lang w:bidi="ar"/>
              </w:rPr>
              <w:t>格式自拟</w:t>
            </w:r>
            <w:r>
              <w:rPr>
                <w:rFonts w:hint="eastAsia" w:ascii="宋体" w:hAnsi="宋体" w:cs="宋体"/>
                <w:kern w:val="0"/>
                <w:szCs w:val="21"/>
                <w:lang w:bidi="ar"/>
              </w:rPr>
              <w:t>）</w:t>
            </w:r>
          </w:p>
        </w:tc>
      </w:tr>
    </w:tbl>
    <w:p>
      <w:pPr>
        <w:pStyle w:val="141"/>
        <w:numPr>
          <w:ilvl w:val="3"/>
          <w:numId w:val="7"/>
        </w:numPr>
        <w:tabs>
          <w:tab w:val="clear" w:pos="851"/>
        </w:tabs>
        <w:outlineLvl w:val="4"/>
        <w:rPr>
          <w:rFonts w:ascii="宋体" w:hAnsi="宋体" w:eastAsia="宋体" w:cs="宋体"/>
          <w:color w:val="auto"/>
          <w:sz w:val="24"/>
          <w:szCs w:val="24"/>
        </w:rPr>
      </w:pPr>
      <w:bookmarkStart w:id="141" w:name="_Toc46242007"/>
      <w:r>
        <w:rPr>
          <w:rFonts w:hint="eastAsia" w:ascii="宋体" w:hAnsi="宋体" w:eastAsia="宋体" w:cs="宋体"/>
          <w:color w:val="auto"/>
          <w:sz w:val="24"/>
          <w:szCs w:val="24"/>
        </w:rPr>
        <w:t>分布式高清节点</w:t>
      </w:r>
      <w:bookmarkEnd w:id="141"/>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4"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952" w:type="dxa"/>
            <w:shd w:val="clear" w:color="auto" w:fill="auto"/>
            <w:vAlign w:val="center"/>
          </w:tcPr>
          <w:p>
            <w:pPr>
              <w:widowControl/>
              <w:jc w:val="left"/>
              <w:rPr>
                <w:rFonts w:ascii="Segoe UI Symbol" w:hAnsi="Segoe UI Symbol" w:cs="Arial"/>
                <w:kern w:val="0"/>
                <w:sz w:val="20"/>
                <w:szCs w:val="20"/>
              </w:rPr>
            </w:pPr>
            <w:r>
              <w:rPr>
                <w:rFonts w:hint="eastAsia" w:ascii="Segoe UI Symbol" w:hAnsi="Segoe UI Symbol" w:cs="Arial"/>
                <w:kern w:val="0"/>
                <w:sz w:val="20"/>
                <w:szCs w:val="20"/>
              </w:rPr>
              <w:t>1、</w:t>
            </w:r>
            <w:r>
              <w:rPr>
                <w:rFonts w:hint="eastAsia" w:ascii="宋体" w:cs="宋体"/>
                <w:szCs w:val="21"/>
              </w:rPr>
              <w:t>支持4k@60Hz信号输出，确保图像细节和流畅性；分辨率和帧率向下兼容；兼容H.264/H.265混合解码，单路输出支持4路4K，或者16路1080P解码同时输出，16个分辨率都为1920*1080的不同画面，并实现实现16画面分割功能；支持HDMI2.0，支持画质调整功能，能对输出的亮度、对比度、色调、饱和度以及增益进行调整，提供具有国家授权认可的</w:t>
            </w:r>
            <w:r>
              <w:rPr>
                <w:rFonts w:hint="eastAsia"/>
              </w:rPr>
              <w:t>集成电路产品检测资质和嵌入式软件产品检验资质的第三方检测机构出具的</w:t>
            </w:r>
            <w:r>
              <w:rPr>
                <w:rFonts w:hint="eastAsia" w:ascii="宋体" w:hAnsi="宋体" w:cs="宋体"/>
                <w:kern w:val="0"/>
                <w:szCs w:val="21"/>
                <w:lang w:bidi="ar"/>
              </w:rPr>
              <w:t>检测报告复印件；</w:t>
            </w:r>
          </w:p>
          <w:p>
            <w:pPr>
              <w:textAlignment w:val="center"/>
              <w:rPr>
                <w:rFonts w:ascii="宋体" w:hAnsi="宋体" w:cs="宋体"/>
                <w:kern w:val="0"/>
                <w:szCs w:val="21"/>
                <w:lang w:bidi="ar"/>
              </w:rPr>
            </w:pPr>
            <w:r>
              <w:rPr>
                <w:rFonts w:ascii="Segoe UI Symbol" w:hAnsi="Segoe UI Symbol" w:cs="Arial"/>
                <w:kern w:val="0"/>
                <w:sz w:val="20"/>
                <w:szCs w:val="20"/>
              </w:rPr>
              <w:t>2</w:t>
            </w:r>
            <w:r>
              <w:rPr>
                <w:rFonts w:hint="eastAsia" w:ascii="Segoe UI Symbol" w:hAnsi="Segoe UI Symbol" w:cs="Arial"/>
                <w:kern w:val="0"/>
                <w:sz w:val="20"/>
                <w:szCs w:val="20"/>
              </w:rPr>
              <w:t>、</w:t>
            </w:r>
            <w:r>
              <w:rPr>
                <w:rFonts w:hint="eastAsia" w:ascii="宋体" w:cs="宋体"/>
                <w:kern w:val="0"/>
                <w:szCs w:val="21"/>
              </w:rPr>
              <w:t>为保证图控系统的高分辨率显示告诉同步性与减少系统多重转换带来的图像损失和故障点，要求单元具备拼接能力，支持LED拼接无需拼接器，要求端对端传输延时≤31ms，且拼接效果无画面撕裂；支持同屏功能：可通过客户端软件将A电视墙的场景，一键等比例镜像至不同大小比例的B屏，A、B屏显示内容、分割模式同步，</w:t>
            </w:r>
            <w:r>
              <w:rPr>
                <w:rFonts w:hint="eastAsia"/>
              </w:rPr>
              <w:t>，</w:t>
            </w:r>
            <w:r>
              <w:rPr>
                <w:rFonts w:hint="eastAsia" w:ascii="宋体" w:cs="宋体"/>
                <w:szCs w:val="21"/>
              </w:rPr>
              <w:t>提供国家授权认可的具有</w:t>
            </w:r>
            <w:r>
              <w:rPr>
                <w:rFonts w:hint="eastAsia"/>
              </w:rPr>
              <w:t>集成电路产品检测资质和嵌入式软件产品检验资质的权威检测机构出具的具有CMA、ilac-MRA及CNAS标识的</w:t>
            </w:r>
            <w:r>
              <w:rPr>
                <w:rFonts w:hint="eastAsia" w:ascii="宋体" w:hAnsi="宋体" w:cs="宋体"/>
                <w:kern w:val="0"/>
                <w:szCs w:val="21"/>
                <w:lang w:bidi="ar"/>
              </w:rPr>
              <w:t>检测报告复印件，并加盖制造商公章；</w:t>
            </w:r>
          </w:p>
          <w:p>
            <w:pPr>
              <w:widowControl/>
              <w:jc w:val="left"/>
              <w:rPr>
                <w:rFonts w:ascii="Segoe UI Symbol" w:hAnsi="Segoe UI Symbol" w:cs="Arial"/>
                <w:kern w:val="0"/>
                <w:sz w:val="20"/>
                <w:szCs w:val="20"/>
              </w:rPr>
            </w:pPr>
            <w:r>
              <w:rPr>
                <w:rFonts w:hint="eastAsia" w:ascii="宋体" w:hAnsi="宋体" w:cs="宋体"/>
                <w:kern w:val="0"/>
                <w:szCs w:val="21"/>
                <w:lang w:bidi="ar"/>
              </w:rPr>
              <w:t>模块（节点）间采用单播协议，无需交换机和接入网络具备组播支持情况下可支持超过200路以上并发，无论单播还是组播，均有完善的流控措施，不存在任何花屏或者马赛克情况，</w:t>
            </w:r>
            <w:r>
              <w:rPr>
                <w:rFonts w:hint="eastAsia" w:ascii="宋体" w:cs="宋体"/>
                <w:szCs w:val="21"/>
              </w:rPr>
              <w:t>提供具有</w:t>
            </w:r>
            <w:r>
              <w:rPr>
                <w:rFonts w:hint="eastAsia"/>
              </w:rPr>
              <w:t>集成电路产品检测资质和嵌入式软件产品检验资质的第三方检测机构出具的</w:t>
            </w:r>
            <w:r>
              <w:rPr>
                <w:rFonts w:hint="eastAsia" w:ascii="宋体" w:hAnsi="宋体" w:cs="宋体"/>
                <w:kern w:val="0"/>
                <w:szCs w:val="21"/>
                <w:lang w:bidi="ar"/>
              </w:rPr>
              <w:t>检测报告复印件；</w:t>
            </w:r>
          </w:p>
          <w:p>
            <w:pPr>
              <w:widowControl/>
              <w:jc w:val="left"/>
              <w:rPr>
                <w:rFonts w:ascii="Segoe UI Symbol" w:hAnsi="Segoe UI Symbol" w:cs="Arial"/>
                <w:kern w:val="0"/>
                <w:sz w:val="20"/>
                <w:szCs w:val="20"/>
              </w:rPr>
            </w:pPr>
            <w:r>
              <w:rPr>
                <w:rFonts w:ascii="Segoe UI Symbol" w:hAnsi="Segoe UI Symbol" w:cs="Arial"/>
                <w:kern w:val="0"/>
                <w:sz w:val="20"/>
                <w:szCs w:val="20"/>
              </w:rPr>
              <w:t>3</w:t>
            </w:r>
            <w:r>
              <w:rPr>
                <w:rFonts w:hint="eastAsia" w:ascii="Segoe UI Symbol" w:hAnsi="Segoe UI Symbol" w:cs="Arial"/>
                <w:kern w:val="0"/>
                <w:sz w:val="20"/>
                <w:szCs w:val="20"/>
              </w:rPr>
              <w:t>、</w:t>
            </w:r>
            <w:r>
              <w:rPr>
                <w:rFonts w:hint="eastAsia" w:ascii="宋体" w:cs="宋体"/>
                <w:kern w:val="0"/>
                <w:szCs w:val="21"/>
              </w:rPr>
              <w:t>图像处理：具备全屏，单屏，4/6/9/16或以上分屏，灵活易用，具备图像开窗、窗口叠加、漫游、缩放、字符叠加、高清地图和底图功能；</w:t>
            </w:r>
          </w:p>
          <w:p>
            <w:pPr>
              <w:widowControl/>
              <w:jc w:val="left"/>
              <w:rPr>
                <w:rFonts w:ascii="Segoe UI Symbol" w:hAnsi="Segoe UI Symbol" w:cs="Arial"/>
                <w:kern w:val="0"/>
                <w:sz w:val="20"/>
                <w:szCs w:val="20"/>
              </w:rPr>
            </w:pPr>
            <w:r>
              <w:rPr>
                <w:rFonts w:ascii="Segoe UI Symbol" w:hAnsi="Segoe UI Symbol" w:cs="Arial"/>
                <w:kern w:val="0"/>
                <w:sz w:val="20"/>
                <w:szCs w:val="20"/>
              </w:rPr>
              <w:t>4</w:t>
            </w:r>
            <w:r>
              <w:rPr>
                <w:rFonts w:hint="eastAsia" w:ascii="Segoe UI Symbol" w:hAnsi="Segoe UI Symbol" w:cs="Arial"/>
                <w:kern w:val="0"/>
                <w:sz w:val="20"/>
                <w:szCs w:val="20"/>
              </w:rPr>
              <w:t>、</w:t>
            </w:r>
            <w:r>
              <w:rPr>
                <w:rFonts w:hint="eastAsia" w:ascii="宋体" w:cs="宋体"/>
                <w:kern w:val="0"/>
                <w:szCs w:val="21"/>
              </w:rPr>
              <w:t>场景保存及调用 支持场景一键保存及一键调用，无需额外编程</w:t>
            </w:r>
            <w:r>
              <w:rPr>
                <w:rFonts w:hint="eastAsia" w:ascii="宋体" w:hAnsi="宋体" w:cs="宋体"/>
                <w:kern w:val="0"/>
                <w:szCs w:val="21"/>
                <w:lang w:bidi="ar"/>
              </w:rPr>
              <w:t>；</w:t>
            </w:r>
            <w:r>
              <w:rPr>
                <w:rFonts w:hint="eastAsia" w:ascii="Segoe UI Symbol" w:hAnsi="Segoe UI Symbol" w:cs="Arial"/>
                <w:kern w:val="0"/>
                <w:sz w:val="20"/>
                <w:szCs w:val="20"/>
              </w:rPr>
              <w:t xml:space="preserve"> </w:t>
            </w:r>
          </w:p>
          <w:p>
            <w:pPr>
              <w:widowControl/>
              <w:jc w:val="left"/>
              <w:rPr>
                <w:rFonts w:ascii="Segoe UI Symbol" w:hAnsi="Segoe UI Symbol" w:cs="Arial"/>
                <w:kern w:val="0"/>
                <w:sz w:val="20"/>
                <w:szCs w:val="20"/>
              </w:rPr>
            </w:pPr>
            <w:r>
              <w:rPr>
                <w:rFonts w:ascii="Segoe UI Symbol" w:hAnsi="Segoe UI Symbol" w:cs="Arial"/>
                <w:kern w:val="0"/>
                <w:sz w:val="20"/>
                <w:szCs w:val="20"/>
              </w:rPr>
              <w:t>5</w:t>
            </w:r>
            <w:r>
              <w:rPr>
                <w:rFonts w:hint="eastAsia" w:ascii="Segoe UI Symbol" w:hAnsi="Segoe UI Symbol" w:cs="Arial"/>
                <w:kern w:val="0"/>
                <w:sz w:val="20"/>
                <w:szCs w:val="20"/>
              </w:rPr>
              <w:t>、</w:t>
            </w:r>
            <w:r>
              <w:rPr>
                <w:rFonts w:hint="eastAsia" w:ascii="宋体" w:cs="宋体"/>
                <w:kern w:val="0"/>
                <w:szCs w:val="21"/>
              </w:rPr>
              <w:t>分布式架构：系统要求完全分布式架构，无需配置服务器即可构建去中心化分布式资源网络</w:t>
            </w:r>
          </w:p>
          <w:p>
            <w:pPr>
              <w:textAlignment w:val="center"/>
              <w:rPr>
                <w:rFonts w:ascii="宋体" w:cs="宋体"/>
                <w:kern w:val="0"/>
                <w:szCs w:val="21"/>
              </w:rPr>
            </w:pPr>
            <w:r>
              <w:rPr>
                <w:rFonts w:ascii="宋体" w:hAnsi="宋体" w:cs="宋体"/>
                <w:kern w:val="0"/>
                <w:szCs w:val="21"/>
                <w:lang w:bidi="ar"/>
              </w:rPr>
              <w:t>6</w:t>
            </w:r>
            <w:r>
              <w:rPr>
                <w:rFonts w:hint="eastAsia" w:ascii="宋体" w:hAnsi="宋体" w:cs="宋体"/>
                <w:kern w:val="0"/>
                <w:szCs w:val="21"/>
                <w:lang w:bidi="ar"/>
              </w:rPr>
              <w:t>、</w:t>
            </w:r>
            <w:r>
              <w:rPr>
                <w:rFonts w:hint="eastAsia" w:ascii="宋体" w:cs="宋体"/>
                <w:kern w:val="0"/>
                <w:szCs w:val="21"/>
              </w:rPr>
              <w:t>支持RTSP等标准流媒体协议，系统可支持IPC网络摄像头信号接入直接输出显示到大屏，无需第三方提供转码服务器；可输出显示海康、大华等国标协议的网络摄像机信号，支持H.265/264直接接入，支持IPC码流转发100路以上，以增强IPC多路并发数量；提供平台SDK，可直接对接海康、大华、宇视、科达等主流安防平台，或支持GB28181的安防平台、或对接华为视频云、宝利通等平台，无需任何编解码器，即可软件端完整克隆安防平台内摄像头的组织架构，并以拖动方式拖到大屏，及进行云台控制，提供CNAS认可的第三方机构出具的检测报告复印件；</w:t>
            </w:r>
          </w:p>
          <w:p>
            <w:pPr>
              <w:textAlignment w:val="center"/>
              <w:rPr>
                <w:rFonts w:ascii="宋体" w:cs="宋体"/>
                <w:kern w:val="0"/>
                <w:szCs w:val="21"/>
              </w:rPr>
            </w:pPr>
            <w:r>
              <w:rPr>
                <w:rFonts w:ascii="宋体" w:cs="宋体"/>
                <w:kern w:val="0"/>
                <w:szCs w:val="21"/>
              </w:rPr>
              <w:t>7</w:t>
            </w:r>
            <w:r>
              <w:rPr>
                <w:rFonts w:hint="eastAsia" w:ascii="宋体" w:cs="宋体"/>
                <w:kern w:val="0"/>
                <w:szCs w:val="21"/>
              </w:rPr>
              <w:t>、可采用无服务器终端接入方式，或C/S方式，支持任意位置的本地终端及远程终端控制，各控制终端间支持同步回显，所见即所得的控制方式，对大屏进行控制和管理；</w:t>
            </w:r>
          </w:p>
          <w:p>
            <w:pPr>
              <w:widowControl/>
              <w:jc w:val="left"/>
              <w:rPr>
                <w:rFonts w:ascii="Segoe UI Symbol" w:hAnsi="Segoe UI Symbol" w:cs="Arial"/>
                <w:kern w:val="0"/>
                <w:sz w:val="20"/>
                <w:szCs w:val="20"/>
              </w:rPr>
            </w:pPr>
            <w:r>
              <w:rPr>
                <w:rFonts w:ascii="Segoe UI Symbol" w:hAnsi="Segoe UI Symbol" w:cs="Arial"/>
                <w:kern w:val="0"/>
                <w:sz w:val="20"/>
                <w:szCs w:val="20"/>
              </w:rPr>
              <w:t>8</w:t>
            </w:r>
            <w:r>
              <w:rPr>
                <w:rFonts w:hint="eastAsia" w:ascii="Segoe UI Symbol" w:hAnsi="Segoe UI Symbol" w:cs="Arial"/>
                <w:kern w:val="0"/>
                <w:sz w:val="20"/>
                <w:szCs w:val="20"/>
              </w:rPr>
              <w:t>、</w:t>
            </w:r>
            <w:r>
              <w:rPr>
                <w:rFonts w:hint="eastAsia" w:ascii="宋体" w:cs="宋体"/>
                <w:kern w:val="0"/>
                <w:szCs w:val="21"/>
              </w:rPr>
              <w:t>硬件超分功能：支持多头显卡（不少于4头）输出全屏动态信号，软件编组后作为一个整体信号上墙，画面完全同步不撕裂；</w:t>
            </w:r>
          </w:p>
        </w:tc>
      </w:tr>
    </w:tbl>
    <w:p>
      <w:pPr>
        <w:pStyle w:val="141"/>
        <w:numPr>
          <w:ilvl w:val="3"/>
          <w:numId w:val="7"/>
        </w:numPr>
        <w:tabs>
          <w:tab w:val="clear" w:pos="851"/>
        </w:tabs>
        <w:outlineLvl w:val="4"/>
        <w:rPr>
          <w:rFonts w:ascii="宋体" w:hAnsi="宋体" w:eastAsia="宋体" w:cs="宋体"/>
          <w:color w:val="auto"/>
          <w:sz w:val="24"/>
          <w:szCs w:val="24"/>
        </w:rPr>
      </w:pPr>
      <w:bookmarkStart w:id="142" w:name="_Toc46242008"/>
      <w:r>
        <w:rPr>
          <w:rFonts w:hint="eastAsia" w:ascii="宋体" w:hAnsi="宋体" w:eastAsia="宋体" w:cs="宋体"/>
          <w:color w:val="auto"/>
          <w:sz w:val="24"/>
          <w:szCs w:val="24"/>
        </w:rPr>
        <w:t>分布式音视频控制软件</w:t>
      </w:r>
      <w:bookmarkEnd w:id="142"/>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指标项</w:t>
            </w:r>
          </w:p>
        </w:tc>
        <w:tc>
          <w:tcPr>
            <w:tcW w:w="7952"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指</w:t>
            </w:r>
            <w:r>
              <w:rPr>
                <w:rFonts w:ascii="Times New Roman" w:hAnsi="Times New Roman"/>
                <w:bCs/>
                <w:kern w:val="0"/>
                <w:sz w:val="20"/>
                <w:szCs w:val="20"/>
              </w:rPr>
              <w:t xml:space="preserve"> </w:t>
            </w:r>
            <w:r>
              <w:rPr>
                <w:rFonts w:hint="eastAsia" w:ascii="宋体" w:hAnsi="宋体" w:cs="Arial"/>
                <w:bCs/>
                <w:kern w:val="0"/>
                <w:sz w:val="20"/>
                <w:szCs w:val="20"/>
              </w:rPr>
              <w:t>标</w:t>
            </w:r>
            <w:r>
              <w:rPr>
                <w:rFonts w:ascii="Times New Roman" w:hAnsi="Times New Roman"/>
                <w:bCs/>
                <w:kern w:val="0"/>
                <w:sz w:val="20"/>
                <w:szCs w:val="20"/>
              </w:rPr>
              <w:t xml:space="preserve"> </w:t>
            </w:r>
            <w:r>
              <w:rPr>
                <w:rFonts w:hint="eastAsia" w:ascii="宋体" w:hAnsi="宋体" w:cs="Arial"/>
                <w:bCs/>
                <w:kern w:val="0"/>
                <w:sz w:val="20"/>
                <w:szCs w:val="20"/>
              </w:rPr>
              <w:t>要</w:t>
            </w:r>
            <w:r>
              <w:rPr>
                <w:rFonts w:ascii="Times New Roman" w:hAnsi="Times New Roman"/>
                <w:bCs/>
                <w:kern w:val="0"/>
                <w:sz w:val="20"/>
                <w:szCs w:val="20"/>
              </w:rPr>
              <w:t xml:space="preserve"> </w:t>
            </w:r>
            <w:r>
              <w:rPr>
                <w:rFonts w:hint="eastAsia" w:ascii="宋体" w:hAnsi="宋体" w:cs="Arial"/>
                <w:bCs/>
                <w:kern w:val="0"/>
                <w:sz w:val="20"/>
                <w:szCs w:val="20"/>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trPr>
        <w:tc>
          <w:tcPr>
            <w:tcW w:w="1450" w:type="dxa"/>
            <w:shd w:val="clear" w:color="auto" w:fill="auto"/>
            <w:vAlign w:val="center"/>
          </w:tcPr>
          <w:p>
            <w:pPr>
              <w:widowControl/>
              <w:jc w:val="center"/>
              <w:rPr>
                <w:rFonts w:ascii="宋体" w:hAnsi="宋体" w:cs="Arial"/>
                <w:bCs/>
                <w:kern w:val="0"/>
                <w:sz w:val="20"/>
                <w:szCs w:val="20"/>
              </w:rPr>
            </w:pPr>
            <w:r>
              <w:rPr>
                <w:rFonts w:hint="eastAsia" w:ascii="宋体" w:hAnsi="宋体" w:cs="Arial"/>
                <w:bCs/>
                <w:kern w:val="0"/>
                <w:sz w:val="20"/>
                <w:szCs w:val="20"/>
              </w:rPr>
              <w:t>总体要求</w:t>
            </w:r>
          </w:p>
          <w:p>
            <w:pPr>
              <w:widowControl/>
              <w:jc w:val="center"/>
              <w:rPr>
                <w:rFonts w:ascii="宋体" w:hAnsi="宋体" w:cs="Arial"/>
                <w:bCs/>
                <w:kern w:val="0"/>
                <w:sz w:val="20"/>
                <w:szCs w:val="20"/>
              </w:rPr>
            </w:pPr>
            <w:r>
              <w:rPr>
                <w:rFonts w:hint="eastAsia" w:ascii="宋体" w:hAnsi="宋体" w:cs="Arial"/>
                <w:bCs/>
                <w:kern w:val="0"/>
                <w:sz w:val="20"/>
                <w:szCs w:val="20"/>
              </w:rPr>
              <w:t>　</w:t>
            </w:r>
          </w:p>
        </w:tc>
        <w:tc>
          <w:tcPr>
            <w:tcW w:w="7952" w:type="dxa"/>
            <w:shd w:val="clear" w:color="auto" w:fill="auto"/>
            <w:vAlign w:val="center"/>
          </w:tcPr>
          <w:p>
            <w:pPr>
              <w:widowControl/>
              <w:jc w:val="left"/>
              <w:rPr>
                <w:rFonts w:ascii="Segoe UI Symbol" w:hAnsi="Segoe UI Symbol" w:cs="Arial"/>
                <w:kern w:val="0"/>
                <w:sz w:val="20"/>
                <w:szCs w:val="20"/>
              </w:rPr>
            </w:pPr>
            <w:r>
              <w:rPr>
                <w:rFonts w:hint="eastAsia" w:ascii="Segoe UI Symbol" w:hAnsi="Segoe UI Symbol" w:cs="Arial"/>
                <w:kern w:val="0"/>
                <w:sz w:val="20"/>
                <w:szCs w:val="20"/>
              </w:rPr>
              <w:t>实现多个单元跨区域远程互联，进行视频信号获取或者推送；</w:t>
            </w:r>
          </w:p>
          <w:p>
            <w:pPr>
              <w:widowControl/>
              <w:jc w:val="left"/>
              <w:rPr>
                <w:rFonts w:ascii="Segoe UI Symbol" w:hAnsi="Segoe UI Symbol" w:cs="Arial"/>
                <w:kern w:val="0"/>
                <w:sz w:val="20"/>
                <w:szCs w:val="20"/>
              </w:rPr>
            </w:pPr>
            <w:r>
              <w:rPr>
                <w:rFonts w:hint="eastAsia" w:ascii="Segoe UI Symbol" w:hAnsi="Segoe UI Symbol" w:cs="Arial"/>
                <w:kern w:val="0"/>
                <w:sz w:val="20"/>
                <w:szCs w:val="20"/>
              </w:rPr>
              <w:t>具有发现协议和对时协议，确保单个视频流在多个单元分割输出显示时帧同步；</w:t>
            </w:r>
          </w:p>
        </w:tc>
      </w:tr>
    </w:tbl>
    <w:p/>
    <w:p>
      <w:pPr>
        <w:pStyle w:val="141"/>
        <w:numPr>
          <w:ilvl w:val="3"/>
          <w:numId w:val="7"/>
        </w:numPr>
        <w:tabs>
          <w:tab w:val="clear" w:pos="851"/>
        </w:tabs>
        <w:outlineLvl w:val="4"/>
        <w:rPr>
          <w:rFonts w:ascii="宋体" w:hAnsi="宋体" w:eastAsia="宋体" w:cs="宋体"/>
          <w:color w:val="auto"/>
          <w:sz w:val="24"/>
          <w:szCs w:val="24"/>
        </w:rPr>
      </w:pPr>
      <w:bookmarkStart w:id="143" w:name="_Toc46242009"/>
      <w:r>
        <w:rPr>
          <w:rFonts w:hint="eastAsia" w:ascii="宋体" w:hAnsi="宋体" w:eastAsia="宋体" w:cs="宋体"/>
          <w:color w:val="auto"/>
          <w:sz w:val="24"/>
          <w:szCs w:val="24"/>
        </w:rPr>
        <w:t>省监测中心路由器</w:t>
      </w:r>
      <w:bookmarkEnd w:id="143"/>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7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tcPr>
          <w:p>
            <w:pPr>
              <w:jc w:val="center"/>
              <w:rPr>
                <w:rFonts w:asciiTheme="minorEastAsia" w:hAnsiTheme="minorEastAsia"/>
                <w:b/>
                <w:szCs w:val="21"/>
              </w:rPr>
            </w:pPr>
            <w:r>
              <w:rPr>
                <w:rFonts w:hint="eastAsia" w:asciiTheme="minorEastAsia" w:hAnsiTheme="minorEastAsia"/>
                <w:b/>
                <w:szCs w:val="21"/>
              </w:rPr>
              <w:t>指标项</w:t>
            </w:r>
          </w:p>
        </w:tc>
        <w:tc>
          <w:tcPr>
            <w:tcW w:w="7774" w:type="dxa"/>
          </w:tcPr>
          <w:p>
            <w:pPr>
              <w:jc w:val="center"/>
              <w:rPr>
                <w:rFonts w:asciiTheme="minorEastAsia" w:hAnsiTheme="minorEastAsia"/>
                <w:b/>
                <w:szCs w:val="21"/>
              </w:rPr>
            </w:pPr>
            <w:r>
              <w:rPr>
                <w:rFonts w:hint="eastAsia" w:asciiTheme="minorEastAsia" w:hAnsiTheme="minorEastAsia"/>
                <w:b/>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Align w:val="center"/>
          </w:tcPr>
          <w:p>
            <w:pPr>
              <w:jc w:val="center"/>
              <w:rPr>
                <w:rFonts w:asciiTheme="minorEastAsia" w:hAnsiTheme="minorEastAsia"/>
                <w:szCs w:val="21"/>
              </w:rPr>
            </w:pPr>
            <w:r>
              <w:rPr>
                <w:rFonts w:hint="eastAsia" w:cs="宋体" w:asciiTheme="minorEastAsia" w:hAnsiTheme="minorEastAsia"/>
                <w:szCs w:val="21"/>
              </w:rPr>
              <w:t>设备架构</w:t>
            </w:r>
          </w:p>
        </w:tc>
        <w:tc>
          <w:tcPr>
            <w:tcW w:w="7774" w:type="dxa"/>
            <w:vAlign w:val="center"/>
          </w:tcPr>
          <w:p>
            <w:pPr>
              <w:rPr>
                <w:rFonts w:cs="宋体" w:asciiTheme="minorEastAsia" w:hAnsiTheme="minorEastAsia"/>
                <w:szCs w:val="21"/>
              </w:rPr>
            </w:pPr>
            <w:r>
              <w:rPr>
                <w:rFonts w:hint="eastAsia" w:cs="宋体" w:asciiTheme="minorEastAsia" w:hAnsiTheme="minorEastAsia"/>
                <w:szCs w:val="21"/>
              </w:rPr>
              <w:t>整机交换容量</w:t>
            </w:r>
            <w:r>
              <w:rPr>
                <w:rFonts w:hint="eastAsia" w:asciiTheme="minorEastAsia" w:hAnsiTheme="minorEastAsia"/>
                <w:szCs w:val="21"/>
              </w:rPr>
              <w:t>≥</w:t>
            </w:r>
            <w:r>
              <w:rPr>
                <w:rFonts w:asciiTheme="minorEastAsia" w:hAnsiTheme="minorEastAsia"/>
                <w:szCs w:val="21"/>
              </w:rPr>
              <w:t>110</w:t>
            </w:r>
            <w:r>
              <w:rPr>
                <w:rFonts w:hint="eastAsia" w:asciiTheme="minorEastAsia" w:hAnsiTheme="minorEastAsia"/>
                <w:szCs w:val="21"/>
              </w:rPr>
              <w:t>T,包转发率≥1</w:t>
            </w:r>
            <w:r>
              <w:rPr>
                <w:rFonts w:asciiTheme="minorEastAsia" w:hAnsiTheme="minorEastAsia"/>
                <w:szCs w:val="21"/>
              </w:rPr>
              <w:t>4</w:t>
            </w:r>
            <w:r>
              <w:rPr>
                <w:rFonts w:hint="eastAsia" w:asciiTheme="minorEastAsia" w:hAnsiTheme="minorEastAsia"/>
                <w:szCs w:val="21"/>
              </w:rPr>
              <w:t>000Mpps，整机可配置端口容量≥1</w:t>
            </w:r>
            <w:r>
              <w:rPr>
                <w:rFonts w:asciiTheme="minorEastAsia" w:hAnsiTheme="minorEastAsia"/>
                <w:szCs w:val="21"/>
              </w:rPr>
              <w:t>.2T</w:t>
            </w:r>
            <w:r>
              <w:rPr>
                <w:rFonts w:hint="eastAsia" w:asciiTheme="minorEastAsia" w:hAnsiTheme="minorEastAsia"/>
                <w:szCs w:val="21"/>
              </w:rPr>
              <w:t>，</w:t>
            </w:r>
            <w:r>
              <w:rPr>
                <w:rFonts w:hint="eastAsia" w:cs="宋体" w:asciiTheme="minorEastAsia" w:hAnsiTheme="minorEastAsia"/>
                <w:szCs w:val="21"/>
              </w:rPr>
              <w:t>设备支持双主控且满配，支持电源冗余且满配，可供使用的业务</w:t>
            </w:r>
            <w:r>
              <w:rPr>
                <w:rFonts w:cs="宋体" w:asciiTheme="minorEastAsia" w:hAnsiTheme="minorEastAsia"/>
                <w:szCs w:val="21"/>
              </w:rPr>
              <w:t>插槽</w:t>
            </w:r>
            <w:r>
              <w:rPr>
                <w:rFonts w:hint="eastAsia" w:cs="宋体" w:asciiTheme="minorEastAsia" w:hAnsiTheme="minorEastAsia"/>
                <w:szCs w:val="21"/>
              </w:rPr>
              <w:t>数（非子卡槽位，不含主控和交换网板槽）≥6（提供官网硬件规格截图证明），要求所有业务板卡及电源、风扇均可热插拔，实配千兆光口≥10个，千兆多模模块≥8，光转电模块≥4。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restart"/>
            <w:vAlign w:val="center"/>
          </w:tcPr>
          <w:p>
            <w:pPr>
              <w:jc w:val="center"/>
              <w:rPr>
                <w:rFonts w:cs="宋体" w:asciiTheme="minorEastAsia" w:hAnsiTheme="minorEastAsia"/>
                <w:szCs w:val="21"/>
              </w:rPr>
            </w:pPr>
            <w:r>
              <w:rPr>
                <w:rFonts w:cs="宋体" w:asciiTheme="minorEastAsia" w:hAnsiTheme="minorEastAsia"/>
                <w:szCs w:val="21"/>
              </w:rPr>
              <w:t>硬件特性</w:t>
            </w:r>
          </w:p>
        </w:tc>
        <w:tc>
          <w:tcPr>
            <w:tcW w:w="7774" w:type="dxa"/>
            <w:vAlign w:val="center"/>
          </w:tcPr>
          <w:p>
            <w:pPr>
              <w:rPr>
                <w:rFonts w:cs="宋体" w:asciiTheme="minorEastAsia" w:hAnsiTheme="minorEastAsia"/>
                <w:szCs w:val="21"/>
              </w:rPr>
            </w:pPr>
            <w:r>
              <w:rPr>
                <w:rFonts w:hint="eastAsia" w:cs="宋体" w:asciiTheme="minorEastAsia" w:hAnsiTheme="minorEastAsia"/>
                <w:szCs w:val="21"/>
              </w:rPr>
              <w:t xml:space="preserve">设备单槽位最大支持200G线速转发不丢包，提供第三方测试报告及运营商用户使用说明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cs="宋体" w:asciiTheme="minorEastAsia" w:hAnsiTheme="minorEastAsia"/>
                <w:szCs w:val="21"/>
              </w:rPr>
            </w:pPr>
          </w:p>
        </w:tc>
        <w:tc>
          <w:tcPr>
            <w:tcW w:w="7774" w:type="dxa"/>
            <w:vAlign w:val="center"/>
          </w:tcPr>
          <w:p>
            <w:pPr>
              <w:rPr>
                <w:rFonts w:cs="宋体" w:asciiTheme="minorEastAsia" w:hAnsiTheme="minorEastAsia"/>
                <w:szCs w:val="21"/>
              </w:rPr>
            </w:pPr>
            <w:r>
              <w:rPr>
                <w:rFonts w:hint="eastAsia" w:cs="宋体" w:asciiTheme="minorEastAsia" w:hAnsiTheme="minorEastAsia"/>
                <w:szCs w:val="21"/>
              </w:rPr>
              <w:t>设备支持100GE、50GE、25GE、10GE、GE、FE、E1、CPOS等接口类型（提供原厂官网截图）。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cs="宋体" w:asciiTheme="minorEastAsia" w:hAnsiTheme="minorEastAsia"/>
                <w:szCs w:val="21"/>
              </w:rPr>
            </w:pPr>
          </w:p>
        </w:tc>
        <w:tc>
          <w:tcPr>
            <w:tcW w:w="7774" w:type="dxa"/>
            <w:vAlign w:val="center"/>
          </w:tcPr>
          <w:p>
            <w:pPr>
              <w:rPr>
                <w:rFonts w:cs="宋体" w:asciiTheme="minorEastAsia" w:hAnsiTheme="minorEastAsia"/>
                <w:szCs w:val="21"/>
              </w:rPr>
            </w:pPr>
            <w:r>
              <w:rPr>
                <w:rFonts w:hint="eastAsia" w:cs="宋体" w:asciiTheme="minorEastAsia" w:hAnsiTheme="minorEastAsia"/>
                <w:szCs w:val="21"/>
              </w:rPr>
              <w:t>▲设备的CPU、NP、TM等关键芯片国产化（提供第三方测试报告）。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Align w:val="center"/>
          </w:tcPr>
          <w:p>
            <w:pPr>
              <w:jc w:val="center"/>
              <w:rPr>
                <w:rFonts w:asciiTheme="minorEastAsia" w:hAnsiTheme="minorEastAsia"/>
                <w:szCs w:val="21"/>
              </w:rPr>
            </w:pPr>
            <w:r>
              <w:rPr>
                <w:rFonts w:hint="eastAsia" w:cs="宋体" w:asciiTheme="minorEastAsia" w:hAnsiTheme="minorEastAsia"/>
                <w:szCs w:val="21"/>
              </w:rPr>
              <w:t>隧道技术</w:t>
            </w:r>
          </w:p>
        </w:tc>
        <w:tc>
          <w:tcPr>
            <w:tcW w:w="7774" w:type="dxa"/>
          </w:tcPr>
          <w:p>
            <w:pPr>
              <w:rPr>
                <w:rFonts w:asciiTheme="minorEastAsia" w:hAnsiTheme="minorEastAsia"/>
                <w:szCs w:val="21"/>
              </w:rPr>
            </w:pPr>
            <w:r>
              <w:rPr>
                <w:rFonts w:hint="eastAsia" w:cs="宋体" w:asciiTheme="minorEastAsia" w:hAnsiTheme="minorEastAsia"/>
                <w:szCs w:val="21"/>
              </w:rPr>
              <w:t>支持VXLAN、智能隧道CBTS等隧道技术。</w:t>
            </w:r>
          </w:p>
        </w:tc>
      </w:tr>
      <w:tr>
        <w:tblPrEx>
          <w:tblLayout w:type="fixed"/>
          <w:tblCellMar>
            <w:top w:w="0" w:type="dxa"/>
            <w:left w:w="108" w:type="dxa"/>
            <w:bottom w:w="0" w:type="dxa"/>
            <w:right w:w="108" w:type="dxa"/>
          </w:tblCellMar>
        </w:tblPrEx>
        <w:tc>
          <w:tcPr>
            <w:tcW w:w="1628" w:type="dxa"/>
            <w:vAlign w:val="center"/>
          </w:tcPr>
          <w:p>
            <w:pPr>
              <w:jc w:val="center"/>
              <w:rPr>
                <w:rFonts w:asciiTheme="minorEastAsia" w:hAnsiTheme="minorEastAsia"/>
                <w:szCs w:val="21"/>
              </w:rPr>
            </w:pPr>
            <w:r>
              <w:rPr>
                <w:rFonts w:hint="eastAsia" w:cs="宋体" w:asciiTheme="minorEastAsia" w:hAnsiTheme="minorEastAsia"/>
                <w:szCs w:val="21"/>
              </w:rPr>
              <w:t>快路由收敛</w:t>
            </w:r>
          </w:p>
        </w:tc>
        <w:tc>
          <w:tcPr>
            <w:tcW w:w="7774" w:type="dxa"/>
          </w:tcPr>
          <w:p>
            <w:pPr>
              <w:rPr>
                <w:rFonts w:asciiTheme="minorEastAsia" w:hAnsiTheme="minorEastAsia"/>
                <w:szCs w:val="21"/>
              </w:rPr>
            </w:pPr>
            <w:r>
              <w:rPr>
                <w:rFonts w:hint="eastAsia" w:cs="宋体" w:asciiTheme="minorEastAsia" w:hAnsiTheme="minorEastAsia"/>
                <w:szCs w:val="21"/>
              </w:rPr>
              <w:t>具备快速IGP路由收敛能力，ISIS路由收敛时间，正切≤400ms，回切不丢包；</w:t>
            </w:r>
          </w:p>
        </w:tc>
      </w:tr>
      <w:tr>
        <w:tblPrEx>
          <w:tblLayout w:type="fixed"/>
          <w:tblCellMar>
            <w:top w:w="0" w:type="dxa"/>
            <w:left w:w="108" w:type="dxa"/>
            <w:bottom w:w="0" w:type="dxa"/>
            <w:right w:w="108" w:type="dxa"/>
          </w:tblCellMar>
        </w:tblPrEx>
        <w:tc>
          <w:tcPr>
            <w:tcW w:w="1628" w:type="dxa"/>
            <w:vMerge w:val="restart"/>
            <w:vAlign w:val="center"/>
          </w:tcPr>
          <w:p>
            <w:pPr>
              <w:jc w:val="center"/>
              <w:rPr>
                <w:rFonts w:asciiTheme="minorEastAsia" w:hAnsiTheme="minorEastAsia"/>
                <w:szCs w:val="21"/>
              </w:rPr>
            </w:pPr>
            <w:r>
              <w:rPr>
                <w:rFonts w:hint="eastAsia" w:cs="宋体" w:asciiTheme="minorEastAsia" w:hAnsiTheme="minorEastAsia"/>
                <w:szCs w:val="21"/>
              </w:rPr>
              <w:t>协议功能</w:t>
            </w:r>
          </w:p>
        </w:tc>
        <w:tc>
          <w:tcPr>
            <w:tcW w:w="7774" w:type="dxa"/>
            <w:vAlign w:val="center"/>
          </w:tcPr>
          <w:p>
            <w:pPr>
              <w:spacing w:line="0" w:lineRule="atLeast"/>
              <w:jc w:val="left"/>
              <w:rPr>
                <w:rFonts w:cs="宋体" w:asciiTheme="minorEastAsia" w:hAnsiTheme="minorEastAsia"/>
                <w:szCs w:val="21"/>
              </w:rPr>
            </w:pPr>
            <w:r>
              <w:rPr>
                <w:rFonts w:hint="eastAsia" w:cs="宋体" w:asciiTheme="minorEastAsia" w:hAnsiTheme="minorEastAsia"/>
                <w:szCs w:val="21"/>
              </w:rPr>
              <w:t>支持RIP、OSPF、IS-IS、BGP等路由协议</w:t>
            </w:r>
          </w:p>
          <w:p>
            <w:pPr>
              <w:spacing w:line="0" w:lineRule="atLeast"/>
              <w:jc w:val="left"/>
              <w:rPr>
                <w:rFonts w:cs="宋体" w:asciiTheme="minorEastAsia" w:hAnsiTheme="minorEastAsia"/>
                <w:szCs w:val="21"/>
              </w:rPr>
            </w:pPr>
            <w:r>
              <w:rPr>
                <w:rFonts w:hint="eastAsia" w:cs="宋体" w:asciiTheme="minorEastAsia" w:hAnsiTheme="minorEastAsia"/>
                <w:szCs w:val="21"/>
              </w:rPr>
              <w:t>支持L2VPN、L3VPN、EVPN等VPN技术</w:t>
            </w:r>
          </w:p>
          <w:p>
            <w:pPr>
              <w:rPr>
                <w:rFonts w:asciiTheme="minorEastAsia" w:hAnsiTheme="minorEastAsia"/>
                <w:szCs w:val="21"/>
              </w:rPr>
            </w:pPr>
            <w:r>
              <w:rPr>
                <w:rFonts w:hint="eastAsia" w:cs="宋体" w:asciiTheme="minorEastAsia" w:hAnsiTheme="minorEastAsia"/>
                <w:szCs w:val="21"/>
              </w:rPr>
              <w:t>支持LDP LSP、RSVP-TE、SR-TE等MPLS技术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asciiTheme="minorEastAsia" w:hAnsiTheme="minorEastAsia"/>
                <w:szCs w:val="21"/>
              </w:rPr>
            </w:pPr>
          </w:p>
        </w:tc>
        <w:tc>
          <w:tcPr>
            <w:tcW w:w="7774" w:type="dxa"/>
            <w:vAlign w:val="center"/>
          </w:tcPr>
          <w:p>
            <w:pPr>
              <w:rPr>
                <w:rFonts w:asciiTheme="minorEastAsia" w:hAnsiTheme="minorEastAsia"/>
                <w:szCs w:val="21"/>
              </w:rPr>
            </w:pPr>
            <w:r>
              <w:rPr>
                <w:rFonts w:hint="eastAsia" w:cs="宋体" w:asciiTheme="minorEastAsia" w:hAnsiTheme="minorEastAsia"/>
                <w:szCs w:val="21"/>
              </w:rPr>
              <w:t>支持IPv4路由表容量≥1</w:t>
            </w:r>
            <w:r>
              <w:rPr>
                <w:rFonts w:cs="宋体" w:asciiTheme="minorEastAsia" w:hAnsiTheme="minorEastAsia"/>
                <w:szCs w:val="21"/>
              </w:rPr>
              <w:t>0</w:t>
            </w:r>
            <w:r>
              <w:rPr>
                <w:rFonts w:hint="eastAsia" w:cs="宋体" w:asciiTheme="minorEastAsia" w:hAnsiTheme="minorEastAsia"/>
                <w:szCs w:val="21"/>
              </w:rPr>
              <w:t>M,IPv6路由表容量≥5</w:t>
            </w:r>
            <w:r>
              <w:rPr>
                <w:rFonts w:cs="宋体" w:asciiTheme="minorEastAsia" w:hAnsiTheme="minorEastAsia"/>
                <w:szCs w:val="21"/>
              </w:rPr>
              <w:t>M</w:t>
            </w:r>
            <w:r>
              <w:rPr>
                <w:rFonts w:hint="eastAsia" w:cs="宋体" w:asciiTheme="minorEastAsia" w:hAnsiTheme="minorEastAsia"/>
                <w:szCs w:val="21"/>
              </w:rPr>
              <w:t>，IPv4转发表容量≥4M,IPv6转发表容量≥2</w:t>
            </w:r>
            <w:r>
              <w:rPr>
                <w:rFonts w:cs="宋体" w:asciiTheme="minorEastAsia" w:hAnsiTheme="minorEastAsia"/>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asciiTheme="minorEastAsia" w:hAnsiTheme="minorEastAsia"/>
                <w:szCs w:val="21"/>
              </w:rPr>
            </w:pPr>
          </w:p>
        </w:tc>
        <w:tc>
          <w:tcPr>
            <w:tcW w:w="7774" w:type="dxa"/>
          </w:tcPr>
          <w:p>
            <w:pPr>
              <w:rPr>
                <w:rFonts w:asciiTheme="minorEastAsia" w:hAnsiTheme="minorEastAsia"/>
                <w:szCs w:val="21"/>
              </w:rPr>
            </w:pPr>
            <w:r>
              <w:rPr>
                <w:rFonts w:hint="eastAsia" w:cs="宋体" w:asciiTheme="minorEastAsia" w:hAnsiTheme="minorEastAsia"/>
                <w:szCs w:val="21"/>
              </w:rPr>
              <w:t>IPv6线速转发不丢包，满足IPv6网络改造要求（提供第三方检测报告）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Align w:val="center"/>
          </w:tcPr>
          <w:p>
            <w:pPr>
              <w:jc w:val="center"/>
              <w:rPr>
                <w:rFonts w:asciiTheme="minorEastAsia" w:hAnsiTheme="minorEastAsia"/>
                <w:szCs w:val="21"/>
              </w:rPr>
            </w:pPr>
            <w:r>
              <w:rPr>
                <w:rFonts w:hint="eastAsia" w:cs="宋体" w:asciiTheme="minorEastAsia" w:hAnsiTheme="minorEastAsia"/>
                <w:szCs w:val="21"/>
              </w:rPr>
              <w:t>Q</w:t>
            </w:r>
            <w:r>
              <w:rPr>
                <w:rFonts w:cs="宋体" w:asciiTheme="minorEastAsia" w:hAnsiTheme="minorEastAsia"/>
                <w:szCs w:val="21"/>
              </w:rPr>
              <w:t>OS</w:t>
            </w:r>
          </w:p>
        </w:tc>
        <w:tc>
          <w:tcPr>
            <w:tcW w:w="7774" w:type="dxa"/>
          </w:tcPr>
          <w:p>
            <w:pPr>
              <w:rPr>
                <w:rFonts w:asciiTheme="minorEastAsia" w:hAnsiTheme="minorEastAsia"/>
                <w:szCs w:val="21"/>
              </w:rPr>
            </w:pPr>
            <w:r>
              <w:rPr>
                <w:rFonts w:hint="eastAsia" w:cs="宋体" w:asciiTheme="minorEastAsia" w:hAnsiTheme="minorEastAsia"/>
                <w:szCs w:val="21"/>
              </w:rPr>
              <w:t xml:space="preserve">支持5级H-QoS调度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restart"/>
            <w:vAlign w:val="center"/>
          </w:tcPr>
          <w:p>
            <w:pPr>
              <w:jc w:val="center"/>
              <w:rPr>
                <w:rFonts w:asciiTheme="minorEastAsia" w:hAnsiTheme="minorEastAsia"/>
                <w:szCs w:val="21"/>
              </w:rPr>
            </w:pPr>
            <w:r>
              <w:rPr>
                <w:rFonts w:hint="eastAsia" w:cs="宋体" w:asciiTheme="minorEastAsia" w:hAnsiTheme="minorEastAsia"/>
                <w:szCs w:val="21"/>
              </w:rPr>
              <w:t>可靠性</w:t>
            </w:r>
          </w:p>
        </w:tc>
        <w:tc>
          <w:tcPr>
            <w:tcW w:w="7774" w:type="dxa"/>
          </w:tcPr>
          <w:p>
            <w:pPr>
              <w:rPr>
                <w:rFonts w:asciiTheme="minorEastAsia" w:hAnsiTheme="minorEastAsia"/>
                <w:szCs w:val="21"/>
              </w:rPr>
            </w:pPr>
            <w:r>
              <w:rPr>
                <w:rFonts w:hint="eastAsia" w:cs="宋体" w:asciiTheme="minorEastAsia" w:hAnsiTheme="minorEastAsia"/>
                <w:szCs w:val="21"/>
              </w:rPr>
              <w:t>支持基于硬件的BFD故障探测技术，支持最小发包间隔5ms、支持单臂BFD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asciiTheme="minorEastAsia" w:hAnsiTheme="minorEastAsia"/>
                <w:szCs w:val="21"/>
              </w:rPr>
            </w:pPr>
          </w:p>
        </w:tc>
        <w:tc>
          <w:tcPr>
            <w:tcW w:w="7774" w:type="dxa"/>
          </w:tcPr>
          <w:p>
            <w:pPr>
              <w:rPr>
                <w:rFonts w:asciiTheme="minorEastAsia" w:hAnsiTheme="minorEastAsia"/>
                <w:szCs w:val="21"/>
              </w:rPr>
            </w:pPr>
            <w:r>
              <w:rPr>
                <w:rFonts w:hint="eastAsia" w:cs="宋体" w:asciiTheme="minorEastAsia" w:hAnsiTheme="minorEastAsia"/>
                <w:szCs w:val="21"/>
              </w:rPr>
              <w:t>支持全面的快速重路由FRR功能IP/IPv6/LDP/TE/VPN/VPNv6 FRR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asciiTheme="minorEastAsia" w:hAnsiTheme="minorEastAsia"/>
                <w:szCs w:val="21"/>
              </w:rPr>
            </w:pPr>
          </w:p>
        </w:tc>
        <w:tc>
          <w:tcPr>
            <w:tcW w:w="7774" w:type="dxa"/>
          </w:tcPr>
          <w:p>
            <w:pPr>
              <w:rPr>
                <w:rFonts w:asciiTheme="minorEastAsia" w:hAnsiTheme="minorEastAsia"/>
                <w:szCs w:val="21"/>
              </w:rPr>
            </w:pPr>
            <w:r>
              <w:rPr>
                <w:rFonts w:hint="eastAsia" w:cs="宋体" w:asciiTheme="minorEastAsia" w:hAnsiTheme="minorEastAsia"/>
                <w:szCs w:val="21"/>
              </w:rPr>
              <w:t>支持LDP, VRRP, OSPF, ISIS, BGP, VRRP6, OSPFv3, ISIS6, BGP4+,MPLS L3VPN, MPLS TE, PIM SM的NSR（不中断路由技术），主备倒换不丢包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Align w:val="center"/>
          </w:tcPr>
          <w:p>
            <w:pPr>
              <w:jc w:val="center"/>
              <w:rPr>
                <w:rFonts w:asciiTheme="minorEastAsia" w:hAnsiTheme="minorEastAsia"/>
                <w:szCs w:val="21"/>
              </w:rPr>
            </w:pPr>
            <w:r>
              <w:rPr>
                <w:rFonts w:hint="eastAsia" w:cs="宋体" w:asciiTheme="minorEastAsia" w:hAnsiTheme="minorEastAsia"/>
                <w:szCs w:val="21"/>
              </w:rPr>
              <w:t>增值业务</w:t>
            </w:r>
          </w:p>
        </w:tc>
        <w:tc>
          <w:tcPr>
            <w:tcW w:w="7774" w:type="dxa"/>
          </w:tcPr>
          <w:p>
            <w:pPr>
              <w:rPr>
                <w:rFonts w:asciiTheme="minorEastAsia" w:hAnsiTheme="minorEastAsia"/>
                <w:szCs w:val="21"/>
              </w:rPr>
            </w:pPr>
            <w:r>
              <w:rPr>
                <w:rFonts w:hint="eastAsia" w:cs="宋体" w:asciiTheme="minorEastAsia" w:hAnsiTheme="minorEastAsia"/>
                <w:szCs w:val="21"/>
              </w:rPr>
              <w:t>随板支持Netstream，GRE功能，不需要配置业务卡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Align w:val="center"/>
          </w:tcPr>
          <w:p>
            <w:pPr>
              <w:jc w:val="center"/>
              <w:rPr>
                <w:rFonts w:cs="宋体" w:asciiTheme="minorEastAsia" w:hAnsiTheme="minorEastAsia"/>
                <w:szCs w:val="21"/>
              </w:rPr>
            </w:pPr>
            <w:bookmarkStart w:id="144" w:name="_Hlk41505836"/>
            <w:r>
              <w:rPr>
                <w:rFonts w:hint="eastAsia" w:cs="宋体" w:asciiTheme="minorEastAsia" w:hAnsiTheme="minorEastAsia"/>
                <w:szCs w:val="21"/>
              </w:rPr>
              <w:t>S</w:t>
            </w:r>
            <w:r>
              <w:rPr>
                <w:rFonts w:cs="宋体" w:asciiTheme="minorEastAsia" w:hAnsiTheme="minorEastAsia"/>
                <w:szCs w:val="21"/>
              </w:rPr>
              <w:t>DN</w:t>
            </w:r>
          </w:p>
        </w:tc>
        <w:tc>
          <w:tcPr>
            <w:tcW w:w="7774" w:type="dxa"/>
          </w:tcPr>
          <w:p>
            <w:pPr>
              <w:rPr>
                <w:rFonts w:cs="宋体" w:asciiTheme="minorEastAsia" w:hAnsiTheme="minorEastAsia"/>
                <w:szCs w:val="21"/>
              </w:rPr>
            </w:pPr>
            <w:r>
              <w:rPr>
                <w:rFonts w:hint="eastAsia" w:cs="宋体" w:asciiTheme="minorEastAsia" w:hAnsiTheme="minorEastAsia"/>
                <w:szCs w:val="21"/>
              </w:rPr>
              <w:t>支持广域网智能调优，支持单域及跨域的VPN端到端自动发放</w:t>
            </w:r>
          </w:p>
        </w:tc>
      </w:tr>
      <w:bookmarkEnd w:id="1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Align w:val="center"/>
          </w:tcPr>
          <w:p>
            <w:pPr>
              <w:jc w:val="center"/>
              <w:rPr>
                <w:rFonts w:asciiTheme="minorEastAsia" w:hAnsiTheme="minorEastAsia"/>
                <w:szCs w:val="21"/>
              </w:rPr>
            </w:pPr>
            <w:r>
              <w:rPr>
                <w:rFonts w:hint="eastAsia" w:cs="宋体" w:asciiTheme="minorEastAsia" w:hAnsiTheme="minorEastAsia"/>
                <w:szCs w:val="21"/>
              </w:rPr>
              <w:t>分段路由</w:t>
            </w:r>
          </w:p>
        </w:tc>
        <w:tc>
          <w:tcPr>
            <w:tcW w:w="7774" w:type="dxa"/>
          </w:tcPr>
          <w:p>
            <w:pPr>
              <w:rPr>
                <w:rFonts w:asciiTheme="minorEastAsia" w:hAnsiTheme="minorEastAsia"/>
                <w:szCs w:val="21"/>
              </w:rPr>
            </w:pPr>
            <w:r>
              <w:rPr>
                <w:rFonts w:hint="eastAsia" w:cs="宋体" w:asciiTheme="minorEastAsia" w:hAnsiTheme="minorEastAsia"/>
                <w:szCs w:val="21"/>
              </w:rPr>
              <w:t>支持单域及跨BGP域的Segment Routing技术,支持SRv6，支持SRv6承载VPN业务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restart"/>
            <w:vAlign w:val="center"/>
          </w:tcPr>
          <w:p>
            <w:pPr>
              <w:jc w:val="center"/>
              <w:rPr>
                <w:rFonts w:asciiTheme="minorEastAsia" w:hAnsiTheme="minorEastAsia"/>
                <w:szCs w:val="21"/>
              </w:rPr>
            </w:pPr>
            <w:r>
              <w:rPr>
                <w:rFonts w:hint="eastAsia" w:cs="宋体" w:asciiTheme="minorEastAsia" w:hAnsiTheme="minorEastAsia"/>
                <w:szCs w:val="21"/>
              </w:rPr>
              <w:t>安全</w:t>
            </w:r>
          </w:p>
        </w:tc>
        <w:tc>
          <w:tcPr>
            <w:tcW w:w="7774" w:type="dxa"/>
          </w:tcPr>
          <w:p>
            <w:pPr>
              <w:rPr>
                <w:rFonts w:asciiTheme="minorEastAsia" w:hAnsiTheme="minorEastAsia"/>
                <w:szCs w:val="21"/>
              </w:rPr>
            </w:pPr>
            <w:r>
              <w:rPr>
                <w:rFonts w:hint="eastAsia" w:cs="宋体" w:asciiTheme="minorEastAsia" w:hAnsiTheme="minorEastAsia"/>
                <w:szCs w:val="21"/>
              </w:rPr>
              <w:t>支持CPU攻击溯源功能，可记录攻击源的MAC、IP等详细字段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asciiTheme="minorEastAsia" w:hAnsiTheme="minorEastAsia"/>
                <w:szCs w:val="21"/>
              </w:rPr>
            </w:pPr>
          </w:p>
        </w:tc>
        <w:tc>
          <w:tcPr>
            <w:tcW w:w="7774" w:type="dxa"/>
          </w:tcPr>
          <w:p>
            <w:pPr>
              <w:rPr>
                <w:rFonts w:asciiTheme="minorEastAsia" w:hAnsiTheme="minorEastAsia"/>
                <w:szCs w:val="21"/>
              </w:rPr>
            </w:pPr>
            <w:r>
              <w:rPr>
                <w:rFonts w:hint="eastAsia" w:cs="宋体" w:asciiTheme="minorEastAsia" w:hAnsiTheme="minorEastAsia"/>
                <w:szCs w:val="21"/>
              </w:rPr>
              <w:t>支持BGP Flow Specification及BGPv6 Flow Specification技术, 支持MACSec加密技术（提供第三方检测报告）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restart"/>
            <w:vAlign w:val="center"/>
          </w:tcPr>
          <w:p>
            <w:pPr>
              <w:jc w:val="center"/>
              <w:rPr>
                <w:rFonts w:asciiTheme="minorEastAsia" w:hAnsiTheme="minorEastAsia"/>
                <w:szCs w:val="21"/>
              </w:rPr>
            </w:pPr>
            <w:r>
              <w:rPr>
                <w:rFonts w:hint="eastAsia" w:cs="宋体" w:asciiTheme="minorEastAsia" w:hAnsiTheme="minorEastAsia"/>
                <w:szCs w:val="21"/>
              </w:rPr>
              <w:t>系统管理</w:t>
            </w:r>
          </w:p>
        </w:tc>
        <w:tc>
          <w:tcPr>
            <w:tcW w:w="7774" w:type="dxa"/>
          </w:tcPr>
          <w:p>
            <w:pPr>
              <w:rPr>
                <w:rFonts w:asciiTheme="minorEastAsia" w:hAnsiTheme="minorEastAsia"/>
                <w:szCs w:val="21"/>
              </w:rPr>
            </w:pPr>
            <w:r>
              <w:rPr>
                <w:rFonts w:hint="eastAsia" w:cs="宋体" w:asciiTheme="minorEastAsia" w:hAnsiTheme="minorEastAsia"/>
                <w:szCs w:val="21"/>
              </w:rPr>
              <w:t>支持Console、Telnet、SSH等管理方式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Merge w:val="continue"/>
            <w:vAlign w:val="center"/>
          </w:tcPr>
          <w:p>
            <w:pPr>
              <w:jc w:val="center"/>
              <w:rPr>
                <w:rFonts w:asciiTheme="minorEastAsia" w:hAnsiTheme="minorEastAsia"/>
                <w:szCs w:val="21"/>
              </w:rPr>
            </w:pPr>
          </w:p>
        </w:tc>
        <w:tc>
          <w:tcPr>
            <w:tcW w:w="7774" w:type="dxa"/>
          </w:tcPr>
          <w:p>
            <w:pPr>
              <w:rPr>
                <w:rFonts w:asciiTheme="minorEastAsia" w:hAnsiTheme="minorEastAsia"/>
                <w:szCs w:val="21"/>
              </w:rPr>
            </w:pPr>
            <w:r>
              <w:rPr>
                <w:rFonts w:hint="eastAsia" w:cs="宋体" w:asciiTheme="minorEastAsia" w:hAnsiTheme="minorEastAsia"/>
                <w:szCs w:val="21"/>
              </w:rPr>
              <w:t>支持随流的性能检测技术，即不额外发送检测报文，对用户业务流进行直接的丢包、时延的监测，得到业务端到端或逐跳的丢包和时延信息，支持通过telemetry上送获得的性能数据，</w:t>
            </w:r>
            <w:r>
              <w:rPr>
                <w:rFonts w:cs="宋体" w:asciiTheme="minorEastAsia" w:hAnsiTheme="minorEastAsia"/>
                <w:szCs w:val="21"/>
              </w:rPr>
              <w:t>提供官网截图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vAlign w:val="center"/>
          </w:tcPr>
          <w:p>
            <w:pPr>
              <w:jc w:val="center"/>
              <w:rPr>
                <w:rFonts w:asciiTheme="minorEastAsia" w:hAnsiTheme="minorEastAsia"/>
                <w:szCs w:val="21"/>
              </w:rPr>
            </w:pPr>
            <w:r>
              <w:rPr>
                <w:rFonts w:cs="宋体" w:asciiTheme="minorEastAsia" w:hAnsiTheme="minorEastAsia"/>
                <w:szCs w:val="21"/>
              </w:rPr>
              <w:t>资质要求</w:t>
            </w:r>
          </w:p>
        </w:tc>
        <w:tc>
          <w:tcPr>
            <w:tcW w:w="7774" w:type="dxa"/>
            <w:vAlign w:val="center"/>
          </w:tcPr>
          <w:p>
            <w:pPr>
              <w:rPr>
                <w:rFonts w:asciiTheme="minorEastAsia" w:hAnsiTheme="minorEastAsia"/>
                <w:szCs w:val="21"/>
              </w:rPr>
            </w:pPr>
            <w:r>
              <w:rPr>
                <w:rFonts w:hint="eastAsia" w:cs="宋体" w:asciiTheme="minorEastAsia" w:hAnsiTheme="minorEastAsia"/>
                <w:szCs w:val="21"/>
              </w:rPr>
              <w:t>▲投标设备满足9级烈度的抗震等级，须提供工信部抗震检验报告</w:t>
            </w:r>
          </w:p>
        </w:tc>
      </w:tr>
    </w:tbl>
    <w:p/>
    <w:p>
      <w:pPr>
        <w:pStyle w:val="141"/>
        <w:numPr>
          <w:ilvl w:val="3"/>
          <w:numId w:val="7"/>
        </w:numPr>
        <w:tabs>
          <w:tab w:val="clear" w:pos="851"/>
        </w:tabs>
        <w:outlineLvl w:val="4"/>
        <w:rPr>
          <w:rFonts w:ascii="宋体" w:hAnsi="宋体" w:eastAsia="宋体" w:cs="宋体"/>
          <w:color w:val="auto"/>
          <w:sz w:val="24"/>
          <w:szCs w:val="24"/>
        </w:rPr>
      </w:pPr>
      <w:bookmarkStart w:id="145" w:name="_Toc46242010"/>
      <w:r>
        <w:rPr>
          <w:rFonts w:hint="eastAsia" w:ascii="宋体" w:hAnsi="宋体" w:eastAsia="宋体" w:cs="宋体"/>
          <w:color w:val="auto"/>
          <w:sz w:val="24"/>
          <w:szCs w:val="24"/>
        </w:rPr>
        <w:t>省监测中心接入交换机</w:t>
      </w:r>
      <w:bookmarkEnd w:id="145"/>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7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tcPr>
          <w:p>
            <w:pPr>
              <w:jc w:val="center"/>
              <w:rPr>
                <w:rFonts w:cs="宋体" w:asciiTheme="minorEastAsia" w:hAnsiTheme="minorEastAsia"/>
                <w:szCs w:val="21"/>
              </w:rPr>
            </w:pPr>
            <w:r>
              <w:rPr>
                <w:rFonts w:hint="eastAsia" w:asciiTheme="minorEastAsia" w:hAnsiTheme="minorEastAsia"/>
                <w:b/>
                <w:szCs w:val="21"/>
              </w:rPr>
              <w:t>指标项</w:t>
            </w:r>
          </w:p>
        </w:tc>
        <w:tc>
          <w:tcPr>
            <w:tcW w:w="7713" w:type="dxa"/>
          </w:tcPr>
          <w:p>
            <w:pPr>
              <w:jc w:val="center"/>
              <w:rPr>
                <w:rFonts w:cs="宋体" w:asciiTheme="minorEastAsia" w:hAnsiTheme="minorEastAsia"/>
                <w:szCs w:val="21"/>
              </w:rPr>
            </w:pPr>
            <w:r>
              <w:rPr>
                <w:rFonts w:hint="eastAsia" w:asciiTheme="minorEastAsia" w:hAnsiTheme="minorEastAsia"/>
                <w:b/>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jc w:val="center"/>
              <w:rPr>
                <w:rFonts w:cs="宋体" w:asciiTheme="minorEastAsia" w:hAnsiTheme="minorEastAsia"/>
                <w:szCs w:val="21"/>
              </w:rPr>
            </w:pPr>
            <w:r>
              <w:rPr>
                <w:rFonts w:hint="eastAsia" w:cs="宋体" w:asciiTheme="minorEastAsia" w:hAnsiTheme="minorEastAsia"/>
                <w:szCs w:val="21"/>
              </w:rPr>
              <w:t>性能要求</w:t>
            </w:r>
          </w:p>
        </w:tc>
        <w:tc>
          <w:tcPr>
            <w:tcW w:w="7713" w:type="dxa"/>
          </w:tcPr>
          <w:p>
            <w:pPr>
              <w:rPr>
                <w:rFonts w:cs="宋体" w:asciiTheme="minorEastAsia" w:hAnsiTheme="minorEastAsia"/>
                <w:szCs w:val="21"/>
              </w:rPr>
            </w:pPr>
            <w:r>
              <w:rPr>
                <w:rFonts w:cs="Arial" w:asciiTheme="minorEastAsia" w:hAnsiTheme="minorEastAsia"/>
                <w:szCs w:val="21"/>
              </w:rPr>
              <w:t>交换容量≥</w:t>
            </w:r>
            <w:r>
              <w:rPr>
                <w:rFonts w:hint="eastAsia" w:cs="Arial" w:asciiTheme="minorEastAsia" w:hAnsiTheme="minorEastAsia"/>
                <w:szCs w:val="21"/>
              </w:rPr>
              <w:t>670</w:t>
            </w:r>
            <w:r>
              <w:rPr>
                <w:rFonts w:cs="Arial" w:asciiTheme="minorEastAsia" w:hAnsiTheme="minorEastAsia"/>
                <w:szCs w:val="21"/>
              </w:rPr>
              <w:t>G</w:t>
            </w:r>
            <w:r>
              <w:rPr>
                <w:rFonts w:hint="eastAsia" w:cs="Arial" w:asciiTheme="minorEastAsia" w:hAnsiTheme="minorEastAsia"/>
                <w:szCs w:val="21"/>
              </w:rPr>
              <w:t>bps，包转发率</w:t>
            </w:r>
            <w:r>
              <w:rPr>
                <w:rFonts w:cs="Arial" w:asciiTheme="minorEastAsia" w:hAnsiTheme="minorEastAsia"/>
                <w:szCs w:val="21"/>
              </w:rPr>
              <w:t>≥1</w:t>
            </w:r>
            <w:r>
              <w:rPr>
                <w:rFonts w:hint="eastAsia" w:cs="Arial" w:asciiTheme="minorEastAsia" w:hAnsiTheme="minorEastAsia"/>
                <w:szCs w:val="21"/>
              </w:rPr>
              <w:t>44</w:t>
            </w:r>
            <w:r>
              <w:rPr>
                <w:rFonts w:cs="Arial" w:asciiTheme="minorEastAsia" w:hAnsiTheme="minorEastAsia"/>
                <w:szCs w:val="21"/>
              </w:rPr>
              <w:t>Mpps</w:t>
            </w:r>
            <w:r>
              <w:rPr>
                <w:rFonts w:hint="eastAsia" w:cs="Arial"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jc w:val="center"/>
              <w:rPr>
                <w:rFonts w:cs="宋体" w:asciiTheme="minorEastAsia" w:hAnsiTheme="minorEastAsia"/>
                <w:szCs w:val="21"/>
              </w:rPr>
            </w:pPr>
            <w:r>
              <w:rPr>
                <w:rFonts w:hint="eastAsia" w:cs="宋体" w:asciiTheme="minorEastAsia" w:hAnsiTheme="minorEastAsia"/>
                <w:szCs w:val="21"/>
              </w:rPr>
              <w:t>硬件</w:t>
            </w:r>
          </w:p>
        </w:tc>
        <w:tc>
          <w:tcPr>
            <w:tcW w:w="7713" w:type="dxa"/>
            <w:vAlign w:val="center"/>
          </w:tcPr>
          <w:p>
            <w:pPr>
              <w:rPr>
                <w:rFonts w:cs="宋体" w:asciiTheme="minorEastAsia" w:hAnsiTheme="minorEastAsia"/>
                <w:szCs w:val="21"/>
              </w:rPr>
            </w:pPr>
            <w:r>
              <w:rPr>
                <w:rFonts w:hint="eastAsia" w:cs="宋体" w:asciiTheme="minorEastAsia" w:hAnsiTheme="minorEastAsia"/>
                <w:szCs w:val="21"/>
              </w:rPr>
              <w:t>支持</w:t>
            </w:r>
            <w:r>
              <w:rPr>
                <w:rFonts w:cs="宋体" w:asciiTheme="minorEastAsia" w:hAnsiTheme="minorEastAsia"/>
                <w:szCs w:val="21"/>
              </w:rPr>
              <w:t>48</w:t>
            </w:r>
            <w:r>
              <w:rPr>
                <w:rFonts w:hint="eastAsia" w:cs="宋体" w:asciiTheme="minorEastAsia" w:hAnsiTheme="minorEastAsia"/>
                <w:szCs w:val="21"/>
              </w:rPr>
              <w:t>个</w:t>
            </w:r>
            <w:r>
              <w:rPr>
                <w:rFonts w:cs="宋体" w:asciiTheme="minorEastAsia" w:hAnsiTheme="minorEastAsia"/>
                <w:szCs w:val="21"/>
              </w:rPr>
              <w:t>10/100/1000Base-T</w:t>
            </w:r>
            <w:r>
              <w:rPr>
                <w:rFonts w:hint="eastAsia" w:cs="宋体" w:asciiTheme="minorEastAsia" w:hAnsiTheme="minorEastAsia"/>
                <w:szCs w:val="21"/>
              </w:rPr>
              <w:t>以太网端口，</w:t>
            </w:r>
            <w:r>
              <w:rPr>
                <w:rFonts w:cs="宋体" w:asciiTheme="minorEastAsia" w:hAnsiTheme="minorEastAsia"/>
                <w:szCs w:val="21"/>
              </w:rPr>
              <w:t>4</w:t>
            </w:r>
            <w:r>
              <w:rPr>
                <w:rFonts w:hint="eastAsia" w:cs="宋体" w:asciiTheme="minorEastAsia" w:hAnsiTheme="minorEastAsia"/>
                <w:szCs w:val="21"/>
              </w:rPr>
              <w:t>个万兆</w:t>
            </w:r>
            <w:r>
              <w:rPr>
                <w:rFonts w:cs="宋体" w:asciiTheme="minorEastAsia" w:hAnsiTheme="minorEastAsia"/>
                <w:szCs w:val="21"/>
              </w:rPr>
              <w:t>SFP+</w:t>
            </w:r>
            <w:r>
              <w:rPr>
                <w:rFonts w:hint="eastAsia" w:cs="宋体" w:asciiTheme="minorEastAsia" w:hAnsiTheme="minorEastAsia"/>
                <w:szCs w:val="21"/>
              </w:rPr>
              <w:t>，实配模块化双电源，万兆多模模块≥4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restart"/>
            <w:vAlign w:val="center"/>
          </w:tcPr>
          <w:p>
            <w:pPr>
              <w:jc w:val="center"/>
              <w:rPr>
                <w:rFonts w:cs="宋体" w:asciiTheme="minorEastAsia" w:hAnsiTheme="minorEastAsia"/>
                <w:szCs w:val="21"/>
              </w:rPr>
            </w:pPr>
            <w:r>
              <w:rPr>
                <w:rFonts w:hint="eastAsia" w:cs="宋体" w:asciiTheme="minorEastAsia" w:hAnsiTheme="minorEastAsia"/>
                <w:szCs w:val="21"/>
              </w:rPr>
              <w:t>二层</w:t>
            </w:r>
          </w:p>
        </w:tc>
        <w:tc>
          <w:tcPr>
            <w:tcW w:w="7713" w:type="dxa"/>
            <w:vAlign w:val="center"/>
          </w:tcPr>
          <w:p>
            <w:pPr>
              <w:rPr>
                <w:rFonts w:cs="宋体" w:asciiTheme="minorEastAsia" w:hAnsiTheme="minorEastAsia"/>
                <w:szCs w:val="21"/>
              </w:rPr>
            </w:pPr>
            <w:r>
              <w:rPr>
                <w:rFonts w:hint="eastAsia" w:cs="Arial" w:asciiTheme="minorEastAsia" w:hAnsiTheme="minorEastAsia"/>
                <w:szCs w:val="21"/>
              </w:rPr>
              <w:t>支持MAC地址≥</w:t>
            </w:r>
            <w:r>
              <w:rPr>
                <w:rFonts w:cs="Arial" w:asciiTheme="minorEastAsia" w:hAnsiTheme="minorEastAsia"/>
                <w:szCs w:val="21"/>
              </w:rPr>
              <w:t>32K</w:t>
            </w:r>
            <w:r>
              <w:rPr>
                <w:rFonts w:hint="eastAsia" w:cs="Arial" w:asciiTheme="minorEastAsia" w:hAnsiTheme="minorEastAsia"/>
                <w:szCs w:val="21"/>
              </w:rPr>
              <w:t>（提供第三方检测报告）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continue"/>
            <w:vAlign w:val="center"/>
          </w:tcPr>
          <w:p>
            <w:pPr>
              <w:jc w:val="center"/>
              <w:rPr>
                <w:rFonts w:cs="宋体" w:asciiTheme="minorEastAsia" w:hAnsiTheme="minorEastAsia"/>
                <w:szCs w:val="21"/>
              </w:rPr>
            </w:pPr>
          </w:p>
        </w:tc>
        <w:tc>
          <w:tcPr>
            <w:tcW w:w="7713" w:type="dxa"/>
            <w:vAlign w:val="center"/>
          </w:tcPr>
          <w:p>
            <w:pPr>
              <w:widowControl/>
              <w:spacing w:before="46" w:beforeLines="15" w:after="46" w:afterLines="15"/>
              <w:textAlignment w:val="baseline"/>
              <w:rPr>
                <w:rFonts w:cs="Arial" w:asciiTheme="minorEastAsia" w:hAnsiTheme="minorEastAsia"/>
                <w:szCs w:val="21"/>
              </w:rPr>
            </w:pPr>
            <w:r>
              <w:rPr>
                <w:rFonts w:cs="Arial" w:asciiTheme="minorEastAsia" w:hAnsiTheme="minorEastAsia"/>
                <w:szCs w:val="21"/>
              </w:rPr>
              <w:t>支持4K VLAN</w:t>
            </w:r>
            <w:r>
              <w:rPr>
                <w:rFonts w:hint="eastAsia" w:cs="Arial" w:asciiTheme="minorEastAsia" w:hAnsiTheme="minorEastAsia"/>
                <w:szCs w:val="21"/>
              </w:rPr>
              <w:t>，</w:t>
            </w:r>
            <w:r>
              <w:rPr>
                <w:rFonts w:cs="Arial" w:asciiTheme="minorEastAsia" w:hAnsiTheme="minorEastAsia"/>
                <w:szCs w:val="21"/>
              </w:rPr>
              <w:t>支持QinQ，灵活QinQ</w:t>
            </w:r>
            <w:r>
              <w:rPr>
                <w:rFonts w:hint="eastAsia" w:cs="Arial" w:asciiTheme="minorEastAsia" w:hAnsiTheme="minorEastAsia"/>
                <w:szCs w:val="21"/>
              </w:rPr>
              <w:t>、</w:t>
            </w:r>
            <w:r>
              <w:rPr>
                <w:rFonts w:cs="Arial" w:asciiTheme="minorEastAsia" w:hAnsiTheme="minorEastAsia"/>
                <w:szCs w:val="21"/>
              </w:rPr>
              <w:t>支持端口VLAN</w:t>
            </w:r>
            <w:r>
              <w:rPr>
                <w:rFonts w:hint="eastAsia" w:cs="Arial" w:asciiTheme="minorEastAsia" w:hAnsiTheme="minorEastAsia"/>
                <w:szCs w:val="21"/>
              </w:rPr>
              <w:t>、</w:t>
            </w:r>
            <w:r>
              <w:rPr>
                <w:rFonts w:cs="Arial" w:asciiTheme="minorEastAsia" w:hAnsiTheme="minorEastAsia"/>
                <w:szCs w:val="21"/>
              </w:rPr>
              <w:t>协议VLAN</w:t>
            </w:r>
            <w:r>
              <w:rPr>
                <w:rFonts w:hint="eastAsia" w:cs="Arial" w:asciiTheme="minorEastAsia" w:hAnsiTheme="minorEastAsia"/>
                <w:szCs w:val="21"/>
              </w:rPr>
              <w:t>、</w:t>
            </w:r>
            <w:r>
              <w:rPr>
                <w:rFonts w:cs="Arial" w:asciiTheme="minorEastAsia" w:hAnsiTheme="minorEastAsia"/>
                <w:szCs w:val="21"/>
              </w:rPr>
              <w:t>IP子网VLAN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restart"/>
            <w:vAlign w:val="center"/>
          </w:tcPr>
          <w:p>
            <w:pPr>
              <w:jc w:val="center"/>
              <w:rPr>
                <w:rFonts w:cs="宋体" w:asciiTheme="minorEastAsia" w:hAnsiTheme="minorEastAsia"/>
                <w:szCs w:val="21"/>
              </w:rPr>
            </w:pPr>
            <w:r>
              <w:rPr>
                <w:rFonts w:cs="Arial" w:asciiTheme="minorEastAsia" w:hAnsiTheme="minorEastAsia"/>
                <w:szCs w:val="21"/>
              </w:rPr>
              <w:t>三层</w:t>
            </w:r>
          </w:p>
        </w:tc>
        <w:tc>
          <w:tcPr>
            <w:tcW w:w="7713" w:type="dxa"/>
          </w:tcPr>
          <w:p>
            <w:pPr>
              <w:rPr>
                <w:rFonts w:cs="宋体" w:asciiTheme="minorEastAsia" w:hAnsiTheme="minorEastAsia"/>
                <w:szCs w:val="21"/>
              </w:rPr>
            </w:pPr>
            <w:r>
              <w:rPr>
                <w:rFonts w:hint="eastAsia" w:cs="Arial" w:asciiTheme="minorEastAsia" w:hAnsiTheme="minorEastAsia"/>
                <w:szCs w:val="21"/>
              </w:rPr>
              <w:t>支持</w:t>
            </w:r>
            <w:r>
              <w:rPr>
                <w:rFonts w:cs="Arial" w:asciiTheme="minorEastAsia" w:hAnsiTheme="minorEastAsia"/>
                <w:szCs w:val="21"/>
              </w:rPr>
              <w:t>静态路由</w:t>
            </w:r>
            <w:r>
              <w:rPr>
                <w:rFonts w:hint="eastAsia" w:cs="Arial" w:asciiTheme="minorEastAsia" w:hAnsiTheme="minorEastAsia"/>
                <w:szCs w:val="21"/>
              </w:rPr>
              <w:t>、</w:t>
            </w:r>
            <w:r>
              <w:rPr>
                <w:rFonts w:cs="Arial" w:asciiTheme="minorEastAsia" w:hAnsiTheme="minorEastAsia"/>
                <w:szCs w:val="21"/>
              </w:rPr>
              <w:t>RIP v1/v2</w:t>
            </w:r>
            <w:r>
              <w:rPr>
                <w:rFonts w:hint="eastAsia" w:cs="Arial" w:asciiTheme="minorEastAsia" w:hAnsiTheme="minorEastAsia"/>
                <w:szCs w:val="21"/>
              </w:rPr>
              <w:t>、</w:t>
            </w:r>
            <w:r>
              <w:rPr>
                <w:rFonts w:cs="Arial" w:asciiTheme="minorEastAsia" w:hAnsiTheme="minorEastAsia"/>
                <w:szCs w:val="21"/>
              </w:rPr>
              <w:t>OSPF</w:t>
            </w:r>
            <w:r>
              <w:rPr>
                <w:rFonts w:hint="eastAsia" w:cs="Arial" w:asciiTheme="minorEastAsia" w:hAnsiTheme="minorEastAsia"/>
                <w:szCs w:val="21"/>
              </w:rPr>
              <w:t>、</w:t>
            </w:r>
            <w:r>
              <w:rPr>
                <w:rFonts w:cs="Arial" w:asciiTheme="minorEastAsia" w:hAnsiTheme="minorEastAsia"/>
                <w:szCs w:val="21"/>
              </w:rPr>
              <w:t>BGP</w:t>
            </w:r>
            <w:r>
              <w:rPr>
                <w:rFonts w:hint="eastAsia" w:cs="Arial" w:asciiTheme="minorEastAsia" w:hAnsiTheme="minorEastAsia"/>
                <w:szCs w:val="21"/>
              </w:rPr>
              <w:t>、</w:t>
            </w:r>
            <w:r>
              <w:rPr>
                <w:rFonts w:cs="Arial" w:asciiTheme="minorEastAsia" w:hAnsiTheme="minorEastAsia"/>
                <w:szCs w:val="21"/>
              </w:rPr>
              <w:t>ISIS</w:t>
            </w:r>
            <w:r>
              <w:rPr>
                <w:rFonts w:hint="eastAsia" w:cs="Arial" w:asciiTheme="minorEastAsia" w:hAnsiTheme="minorEastAsia"/>
                <w:szCs w:val="21"/>
              </w:rPr>
              <w:t>、</w:t>
            </w:r>
            <w:r>
              <w:rPr>
                <w:rFonts w:cs="Arial" w:asciiTheme="minorEastAsia" w:hAnsiTheme="minorEastAsia"/>
                <w:szCs w:val="21"/>
              </w:rPr>
              <w:t>RIPng</w:t>
            </w:r>
            <w:r>
              <w:rPr>
                <w:rFonts w:hint="eastAsia" w:cs="Arial" w:asciiTheme="minorEastAsia" w:hAnsiTheme="minorEastAsia"/>
                <w:szCs w:val="21"/>
              </w:rPr>
              <w:t>、</w:t>
            </w:r>
            <w:r>
              <w:rPr>
                <w:rFonts w:cs="Arial" w:asciiTheme="minorEastAsia" w:hAnsiTheme="minorEastAsia"/>
                <w:szCs w:val="21"/>
              </w:rPr>
              <w:t>OSPFv3</w:t>
            </w:r>
            <w:r>
              <w:rPr>
                <w:rFonts w:hint="eastAsia" w:cs="Arial" w:asciiTheme="minorEastAsia" w:hAnsiTheme="minorEastAsia"/>
                <w:szCs w:val="21"/>
              </w:rPr>
              <w:t>、</w:t>
            </w:r>
            <w:r>
              <w:rPr>
                <w:rFonts w:cs="Arial" w:asciiTheme="minorEastAsia" w:hAnsiTheme="minorEastAsia"/>
                <w:szCs w:val="21"/>
              </w:rPr>
              <w:t>ISISv6</w:t>
            </w:r>
            <w:r>
              <w:rPr>
                <w:rFonts w:hint="eastAsia" w:cs="Arial" w:asciiTheme="minorEastAsia" w:hAnsiTheme="minorEastAsia"/>
                <w:szCs w:val="21"/>
              </w:rPr>
              <w:t>、</w:t>
            </w:r>
            <w:r>
              <w:rPr>
                <w:rFonts w:cs="Arial" w:asciiTheme="minorEastAsia" w:hAnsiTheme="minorEastAsia"/>
                <w:szCs w:val="21"/>
              </w:rPr>
              <w:t>BGP4+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continue"/>
            <w:vAlign w:val="center"/>
          </w:tcPr>
          <w:p>
            <w:pPr>
              <w:jc w:val="center"/>
              <w:rPr>
                <w:rFonts w:cs="宋体" w:asciiTheme="minorEastAsia" w:hAnsiTheme="minorEastAsia"/>
                <w:szCs w:val="21"/>
              </w:rPr>
            </w:pPr>
          </w:p>
        </w:tc>
        <w:tc>
          <w:tcPr>
            <w:tcW w:w="7713" w:type="dxa"/>
            <w:vAlign w:val="center"/>
          </w:tcPr>
          <w:p>
            <w:pPr>
              <w:rPr>
                <w:rFonts w:cs="宋体" w:asciiTheme="minorEastAsia" w:hAnsiTheme="minorEastAsia"/>
                <w:szCs w:val="21"/>
              </w:rPr>
            </w:pPr>
            <w:r>
              <w:rPr>
                <w:rFonts w:hint="eastAsia" w:cs="Arial" w:asciiTheme="minorEastAsia" w:hAnsiTheme="minorEastAsia"/>
                <w:szCs w:val="21"/>
              </w:rPr>
              <w:t>支持IP</w:t>
            </w:r>
            <w:r>
              <w:rPr>
                <w:rFonts w:cs="Arial" w:asciiTheme="minorEastAsia" w:hAnsiTheme="minorEastAsia"/>
                <w:szCs w:val="21"/>
              </w:rPr>
              <w:t xml:space="preserve">v4 </w:t>
            </w:r>
            <w:r>
              <w:rPr>
                <w:rFonts w:hint="eastAsia" w:cs="Arial" w:asciiTheme="minorEastAsia" w:hAnsiTheme="minorEastAsia"/>
                <w:szCs w:val="21"/>
              </w:rPr>
              <w:t>路由表≥16K，支持IP</w:t>
            </w:r>
            <w:r>
              <w:rPr>
                <w:rFonts w:cs="Arial" w:asciiTheme="minorEastAsia" w:hAnsiTheme="minorEastAsia"/>
                <w:szCs w:val="21"/>
              </w:rPr>
              <w:t xml:space="preserve">v6 </w:t>
            </w:r>
            <w:r>
              <w:rPr>
                <w:rFonts w:hint="eastAsia" w:cs="Arial" w:asciiTheme="minorEastAsia" w:hAnsiTheme="minorEastAsia"/>
                <w:szCs w:val="21"/>
              </w:rPr>
              <w:t>路由表≥8K（提供第三方检测报告）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jc w:val="center"/>
              <w:rPr>
                <w:rFonts w:cs="宋体" w:asciiTheme="minorEastAsia" w:hAnsiTheme="minorEastAsia"/>
                <w:szCs w:val="21"/>
              </w:rPr>
            </w:pPr>
            <w:r>
              <w:rPr>
                <w:rFonts w:hint="eastAsia" w:cs="宋体" w:asciiTheme="minorEastAsia" w:hAnsiTheme="minorEastAsia"/>
                <w:szCs w:val="21"/>
              </w:rPr>
              <w:t>I</w:t>
            </w:r>
            <w:r>
              <w:rPr>
                <w:rFonts w:cs="宋体" w:asciiTheme="minorEastAsia" w:hAnsiTheme="minorEastAsia"/>
                <w:szCs w:val="21"/>
              </w:rPr>
              <w:t>PV6</w:t>
            </w:r>
          </w:p>
        </w:tc>
        <w:tc>
          <w:tcPr>
            <w:tcW w:w="7713" w:type="dxa"/>
            <w:vAlign w:val="center"/>
          </w:tcPr>
          <w:p>
            <w:pPr>
              <w:rPr>
                <w:rFonts w:cs="宋体" w:asciiTheme="minorEastAsia" w:hAnsiTheme="minorEastAsia"/>
                <w:szCs w:val="21"/>
              </w:rPr>
            </w:pPr>
            <w:r>
              <w:rPr>
                <w:rFonts w:hint="eastAsia" w:cs="宋体" w:asciiTheme="minorEastAsia" w:hAnsiTheme="minorEastAsia"/>
                <w:szCs w:val="21"/>
              </w:rPr>
              <w:t>支持IPv4/IPv6双协议栈、IPv6 over IPv4隧道，IPv4 over IPv6隧道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jc w:val="center"/>
              <w:rPr>
                <w:rFonts w:cs="宋体" w:asciiTheme="minorEastAsia" w:hAnsiTheme="minorEastAsia"/>
                <w:szCs w:val="21"/>
              </w:rPr>
            </w:pPr>
            <w:r>
              <w:rPr>
                <w:rFonts w:cs="Arial" w:asciiTheme="minorEastAsia" w:hAnsiTheme="minorEastAsia"/>
                <w:szCs w:val="21"/>
              </w:rPr>
              <w:t>镜像功能</w:t>
            </w:r>
          </w:p>
        </w:tc>
        <w:tc>
          <w:tcPr>
            <w:tcW w:w="7713" w:type="dxa"/>
            <w:vAlign w:val="center"/>
          </w:tcPr>
          <w:p>
            <w:pPr>
              <w:widowControl/>
              <w:spacing w:before="46" w:beforeLines="15" w:after="46" w:afterLines="15"/>
              <w:textAlignment w:val="baseline"/>
              <w:rPr>
                <w:rFonts w:cs="Arial" w:asciiTheme="minorEastAsia" w:hAnsiTheme="minorEastAsia"/>
                <w:szCs w:val="21"/>
              </w:rPr>
            </w:pPr>
            <w:r>
              <w:rPr>
                <w:rFonts w:cs="Arial" w:asciiTheme="minorEastAsia" w:hAnsiTheme="minorEastAsia"/>
                <w:szCs w:val="21"/>
              </w:rPr>
              <w:t>支持多个物理端口的流量镜像到一个端口</w:t>
            </w:r>
          </w:p>
          <w:p>
            <w:pPr>
              <w:rPr>
                <w:rFonts w:cs="宋体" w:asciiTheme="minorEastAsia" w:hAnsiTheme="minorEastAsia"/>
                <w:szCs w:val="21"/>
              </w:rPr>
            </w:pPr>
            <w:r>
              <w:rPr>
                <w:rFonts w:cs="Arial" w:asciiTheme="minorEastAsia" w:hAnsiTheme="minorEastAsia"/>
                <w:szCs w:val="21"/>
              </w:rPr>
              <w:t>支持流镜像</w:t>
            </w:r>
            <w:r>
              <w:rPr>
                <w:rFonts w:hint="eastAsia" w:cs="Arial" w:asciiTheme="minorEastAsia" w:hAnsiTheme="minorEastAsia"/>
                <w:szCs w:val="21"/>
              </w:rPr>
              <w:t>、</w:t>
            </w:r>
            <w:r>
              <w:rPr>
                <w:rFonts w:cs="Arial" w:asciiTheme="minorEastAsia" w:hAnsiTheme="minorEastAsia"/>
                <w:szCs w:val="21"/>
              </w:rPr>
              <w:t>远程端口镜像（RSPAN）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jc w:val="center"/>
              <w:rPr>
                <w:rFonts w:cs="宋体" w:asciiTheme="minorEastAsia" w:hAnsiTheme="minorEastAsia"/>
                <w:szCs w:val="21"/>
              </w:rPr>
            </w:pPr>
            <w:r>
              <w:rPr>
                <w:rFonts w:hint="eastAsia" w:cs="Arial" w:asciiTheme="minorEastAsia" w:hAnsiTheme="minorEastAsia"/>
                <w:szCs w:val="21"/>
              </w:rPr>
              <w:t>V</w:t>
            </w:r>
            <w:r>
              <w:rPr>
                <w:rFonts w:cs="Arial" w:asciiTheme="minorEastAsia" w:hAnsiTheme="minorEastAsia"/>
                <w:szCs w:val="21"/>
              </w:rPr>
              <w:t>xLAN</w:t>
            </w:r>
          </w:p>
        </w:tc>
        <w:tc>
          <w:tcPr>
            <w:tcW w:w="7713" w:type="dxa"/>
            <w:vAlign w:val="center"/>
          </w:tcPr>
          <w:p>
            <w:pPr>
              <w:rPr>
                <w:rFonts w:cs="宋体" w:asciiTheme="minorEastAsia" w:hAnsiTheme="minorEastAsia"/>
                <w:szCs w:val="21"/>
              </w:rPr>
            </w:pPr>
            <w:r>
              <w:rPr>
                <w:rFonts w:hint="eastAsia" w:cs="宋体" w:asciiTheme="minorEastAsia" w:hAnsiTheme="minorEastAsia"/>
                <w:szCs w:val="21"/>
              </w:rPr>
              <w:t>支持VxLAN功能，支持VxLAN二层网关、三层网关，支持BGP EVPN，实现自动建立隧道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restart"/>
            <w:vAlign w:val="center"/>
          </w:tcPr>
          <w:p>
            <w:pPr>
              <w:jc w:val="center"/>
              <w:rPr>
                <w:rFonts w:cs="宋体" w:asciiTheme="minorEastAsia" w:hAnsiTheme="minorEastAsia"/>
                <w:szCs w:val="21"/>
              </w:rPr>
            </w:pPr>
            <w:r>
              <w:rPr>
                <w:rFonts w:cs="Arial" w:asciiTheme="minorEastAsia" w:hAnsiTheme="minorEastAsia"/>
                <w:szCs w:val="21"/>
              </w:rPr>
              <w:t>安全</w:t>
            </w:r>
          </w:p>
        </w:tc>
        <w:tc>
          <w:tcPr>
            <w:tcW w:w="7713" w:type="dxa"/>
            <w:vAlign w:val="center"/>
          </w:tcPr>
          <w:p>
            <w:pPr>
              <w:rPr>
                <w:rFonts w:cs="宋体" w:asciiTheme="minorEastAsia" w:hAnsiTheme="minorEastAsia"/>
                <w:szCs w:val="21"/>
              </w:rPr>
            </w:pPr>
            <w:r>
              <w:rPr>
                <w:rFonts w:cs="Arial" w:asciiTheme="minorEastAsia" w:hAnsiTheme="minorEastAsia"/>
                <w:szCs w:val="21"/>
              </w:rPr>
              <w:t>支持DHCP Snooping</w:t>
            </w:r>
            <w:r>
              <w:rPr>
                <w:rFonts w:hint="eastAsia" w:cs="Arial" w:asciiTheme="minorEastAsia" w:hAnsiTheme="minorEastAsia"/>
                <w:szCs w:val="21"/>
              </w:rPr>
              <w:t>，</w:t>
            </w:r>
            <w:r>
              <w:rPr>
                <w:rFonts w:cs="Arial" w:asciiTheme="minorEastAsia" w:hAnsiTheme="minorEastAsia"/>
                <w:szCs w:val="21"/>
              </w:rPr>
              <w:t>IP Source Guard</w:t>
            </w:r>
            <w:r>
              <w:rPr>
                <w:rFonts w:hint="eastAsia" w:cs="Arial" w:asciiTheme="minorEastAsia" w:hAnsiTheme="minorEastAsia"/>
                <w:szCs w:val="21"/>
              </w:rPr>
              <w:t>，SAVI等</w:t>
            </w:r>
            <w:r>
              <w:rPr>
                <w:rFonts w:cs="Arial" w:asciiTheme="minorEastAsia" w:hAnsiTheme="minorEastAsia"/>
                <w:szCs w:val="21"/>
              </w:rPr>
              <w:t>安全</w:t>
            </w:r>
            <w:r>
              <w:rPr>
                <w:rFonts w:hint="eastAsia" w:cs="Arial" w:asciiTheme="minorEastAsia" w:hAnsiTheme="minorEastAsia"/>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continue"/>
            <w:vAlign w:val="center"/>
          </w:tcPr>
          <w:p>
            <w:pPr>
              <w:jc w:val="center"/>
              <w:rPr>
                <w:rFonts w:cs="宋体" w:asciiTheme="minorEastAsia" w:hAnsiTheme="minorEastAsia"/>
                <w:szCs w:val="21"/>
              </w:rPr>
            </w:pPr>
          </w:p>
        </w:tc>
        <w:tc>
          <w:tcPr>
            <w:tcW w:w="7713" w:type="dxa"/>
            <w:vAlign w:val="center"/>
          </w:tcPr>
          <w:p>
            <w:pPr>
              <w:rPr>
                <w:rFonts w:cs="宋体" w:asciiTheme="minorEastAsia" w:hAnsiTheme="minorEastAsia"/>
                <w:szCs w:val="21"/>
              </w:rPr>
            </w:pPr>
            <w:r>
              <w:rPr>
                <w:rFonts w:hint="eastAsia" w:cs="Arial" w:asciiTheme="minorEastAsia" w:hAnsiTheme="minorEastAsia"/>
                <w:szCs w:val="21"/>
              </w:rPr>
              <w:t>支持</w:t>
            </w:r>
            <w:r>
              <w:rPr>
                <w:rFonts w:cs="Arial" w:asciiTheme="minorEastAsia" w:hAnsiTheme="minorEastAsia"/>
                <w:szCs w:val="21"/>
              </w:rPr>
              <w:t>防ARP攻击、DOS攻击、</w:t>
            </w:r>
            <w:r>
              <w:rPr>
                <w:rFonts w:hint="eastAsia" w:cs="Arial" w:asciiTheme="minorEastAsia" w:hAnsiTheme="minorEastAsia"/>
                <w:szCs w:val="21"/>
              </w:rPr>
              <w:t>ICMP防</w:t>
            </w:r>
            <w:r>
              <w:rPr>
                <w:rFonts w:cs="Arial" w:asciiTheme="minorEastAsia" w:hAnsiTheme="minorEastAsia"/>
                <w:szCs w:val="21"/>
              </w:rPr>
              <w:t>攻击</w:t>
            </w:r>
            <w:r>
              <w:rPr>
                <w:rFonts w:hint="eastAsia" w:cs="Arial" w:asciiTheme="minorEastAsia" w:hAnsiTheme="minorEastAsia"/>
                <w:szCs w:val="21"/>
              </w:rPr>
              <w:t>、CP</w:t>
            </w:r>
            <w:r>
              <w:rPr>
                <w:rFonts w:cs="Arial" w:asciiTheme="minorEastAsia" w:hAnsiTheme="minorEastAsia"/>
                <w:szCs w:val="21"/>
              </w:rPr>
              <w:t>U</w:t>
            </w:r>
            <w:r>
              <w:rPr>
                <w:rFonts w:hint="eastAsia" w:cs="Arial" w:asciiTheme="minorEastAsia" w:hAnsiTheme="minorEastAsia"/>
                <w:szCs w:val="21"/>
              </w:rPr>
              <w:t>防攻击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Merge w:val="continue"/>
            <w:vAlign w:val="center"/>
          </w:tcPr>
          <w:p>
            <w:pPr>
              <w:jc w:val="center"/>
              <w:rPr>
                <w:rFonts w:cs="宋体" w:asciiTheme="minorEastAsia" w:hAnsiTheme="minorEastAsia"/>
                <w:szCs w:val="21"/>
              </w:rPr>
            </w:pPr>
          </w:p>
        </w:tc>
        <w:tc>
          <w:tcPr>
            <w:tcW w:w="7713" w:type="dxa"/>
            <w:vAlign w:val="center"/>
          </w:tcPr>
          <w:p>
            <w:pPr>
              <w:rPr>
                <w:rFonts w:cs="宋体" w:asciiTheme="minorEastAsia" w:hAnsiTheme="minorEastAsia"/>
                <w:szCs w:val="21"/>
              </w:rPr>
            </w:pPr>
            <w:r>
              <w:rPr>
                <w:rFonts w:hint="eastAsia" w:cs="宋体" w:asciiTheme="minorEastAsia" w:hAnsiTheme="minorEastAsia"/>
                <w:szCs w:val="21"/>
              </w:rPr>
              <w:t>支持安全诱捕功能，将IP和端口扫描流量重定向网络安全智能系统进行诱捕，与网络安全智能系统和SDN控制器联动实施反制措施，以实现网络安全协防，提供第三方测试报告。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vAlign w:val="center"/>
          </w:tcPr>
          <w:p>
            <w:pPr>
              <w:jc w:val="center"/>
              <w:rPr>
                <w:rFonts w:cs="宋体" w:asciiTheme="minorEastAsia" w:hAnsiTheme="minorEastAsia"/>
                <w:szCs w:val="21"/>
              </w:rPr>
            </w:pPr>
            <w:r>
              <w:rPr>
                <w:rFonts w:cs="宋体" w:asciiTheme="minorEastAsia" w:hAnsiTheme="minorEastAsia"/>
                <w:szCs w:val="21"/>
              </w:rPr>
              <w:t>管理和维护</w:t>
            </w:r>
          </w:p>
        </w:tc>
        <w:tc>
          <w:tcPr>
            <w:tcW w:w="7713" w:type="dxa"/>
            <w:vAlign w:val="center"/>
          </w:tcPr>
          <w:p>
            <w:pPr>
              <w:rPr>
                <w:rFonts w:asciiTheme="minorEastAsia" w:hAnsiTheme="minorEastAsia"/>
                <w:szCs w:val="21"/>
              </w:rPr>
            </w:pPr>
            <w:r>
              <w:rPr>
                <w:rFonts w:hint="eastAsia" w:asciiTheme="minorEastAsia" w:hAnsiTheme="minorEastAsia"/>
                <w:szCs w:val="21"/>
              </w:rPr>
              <w:t>支持SNMP v1/v2/v3、Telnet、RMON、SSH</w:t>
            </w:r>
          </w:p>
        </w:tc>
      </w:tr>
    </w:tbl>
    <w:p/>
    <w:p>
      <w:pPr>
        <w:pStyle w:val="141"/>
        <w:numPr>
          <w:ilvl w:val="3"/>
          <w:numId w:val="7"/>
        </w:numPr>
        <w:tabs>
          <w:tab w:val="clear" w:pos="851"/>
        </w:tabs>
        <w:outlineLvl w:val="4"/>
        <w:rPr>
          <w:rFonts w:ascii="宋体" w:hAnsi="宋体" w:eastAsia="宋体" w:cs="宋体"/>
          <w:color w:val="auto"/>
          <w:sz w:val="24"/>
          <w:szCs w:val="24"/>
        </w:rPr>
      </w:pPr>
      <w:bookmarkStart w:id="146" w:name="_Toc46242011"/>
      <w:r>
        <w:rPr>
          <w:rFonts w:hint="eastAsia" w:ascii="宋体" w:hAnsi="宋体" w:eastAsia="宋体" w:cs="宋体"/>
          <w:color w:val="auto"/>
          <w:sz w:val="24"/>
          <w:szCs w:val="24"/>
        </w:rPr>
        <w:t>网络管理系统</w:t>
      </w:r>
      <w:bookmarkEnd w:id="146"/>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7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tcPr>
          <w:p>
            <w:pPr>
              <w:jc w:val="center"/>
              <w:rPr>
                <w:rFonts w:cs="宋体" w:asciiTheme="minorEastAsia" w:hAnsiTheme="minorEastAsia"/>
                <w:szCs w:val="21"/>
              </w:rPr>
            </w:pPr>
            <w:r>
              <w:rPr>
                <w:rFonts w:hint="eastAsia" w:asciiTheme="minorEastAsia" w:hAnsiTheme="minorEastAsia"/>
                <w:b/>
                <w:szCs w:val="21"/>
              </w:rPr>
              <w:t>指标项</w:t>
            </w:r>
          </w:p>
        </w:tc>
        <w:tc>
          <w:tcPr>
            <w:tcW w:w="7764" w:type="dxa"/>
          </w:tcPr>
          <w:p>
            <w:pPr>
              <w:jc w:val="center"/>
              <w:rPr>
                <w:rFonts w:cs="宋体" w:asciiTheme="minorEastAsia" w:hAnsiTheme="minorEastAsia"/>
                <w:szCs w:val="21"/>
              </w:rPr>
            </w:pPr>
            <w:r>
              <w:rPr>
                <w:rFonts w:hint="eastAsia" w:asciiTheme="minorEastAsia" w:hAnsiTheme="minorEastAsia"/>
                <w:b/>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Align w:val="center"/>
          </w:tcPr>
          <w:p>
            <w:pPr>
              <w:rPr>
                <w:rFonts w:cs="宋体" w:asciiTheme="minorEastAsia" w:hAnsiTheme="minorEastAsia"/>
                <w:szCs w:val="21"/>
              </w:rPr>
            </w:pPr>
            <w:r>
              <w:rPr>
                <w:rFonts w:hint="eastAsia" w:cs="宋体" w:asciiTheme="minorEastAsia" w:hAnsiTheme="minorEastAsia"/>
                <w:szCs w:val="21"/>
              </w:rPr>
              <w:t>配置要求</w:t>
            </w:r>
          </w:p>
        </w:tc>
        <w:tc>
          <w:tcPr>
            <w:tcW w:w="7764" w:type="dxa"/>
            <w:vAlign w:val="center"/>
          </w:tcPr>
          <w:p>
            <w:pPr>
              <w:rPr>
                <w:rFonts w:cs="宋体" w:asciiTheme="minorEastAsia" w:hAnsiTheme="minorEastAsia"/>
                <w:szCs w:val="21"/>
              </w:rPr>
            </w:pPr>
            <w:r>
              <w:rPr>
                <w:rFonts w:hint="eastAsia" w:cs="宋体" w:asciiTheme="minorEastAsia" w:hAnsiTheme="minorEastAsia"/>
                <w:szCs w:val="21"/>
              </w:rPr>
              <w:t>提供专用的硬件平台，C</w:t>
            </w:r>
            <w:r>
              <w:rPr>
                <w:rFonts w:cs="宋体" w:asciiTheme="minorEastAsia" w:hAnsiTheme="minorEastAsia"/>
                <w:szCs w:val="21"/>
              </w:rPr>
              <w:t>PU</w:t>
            </w:r>
            <w:r>
              <w:rPr>
                <w:rFonts w:hint="eastAsia" w:cs="宋体" w:asciiTheme="minorEastAsia" w:hAnsiTheme="minorEastAsia"/>
                <w:szCs w:val="21"/>
              </w:rPr>
              <w:t>数≥2，单颗C</w:t>
            </w:r>
            <w:r>
              <w:rPr>
                <w:rFonts w:cs="宋体" w:asciiTheme="minorEastAsia" w:hAnsiTheme="minorEastAsia"/>
                <w:szCs w:val="21"/>
              </w:rPr>
              <w:t>PU</w:t>
            </w:r>
            <w:r>
              <w:rPr>
                <w:rFonts w:hint="eastAsia" w:cs="宋体" w:asciiTheme="minorEastAsia" w:hAnsiTheme="minorEastAsia"/>
                <w:szCs w:val="21"/>
              </w:rPr>
              <w:t>主频≥2.</w:t>
            </w:r>
            <w:r>
              <w:rPr>
                <w:rFonts w:cs="宋体" w:asciiTheme="minorEastAsia" w:hAnsiTheme="minorEastAsia"/>
                <w:szCs w:val="21"/>
              </w:rPr>
              <w:t>6</w:t>
            </w:r>
            <w:r>
              <w:rPr>
                <w:rFonts w:hint="eastAsia" w:cs="宋体" w:asciiTheme="minorEastAsia" w:hAnsiTheme="minorEastAsia"/>
                <w:szCs w:val="21"/>
              </w:rPr>
              <w:t>GHz,单颗C</w:t>
            </w:r>
            <w:r>
              <w:rPr>
                <w:rFonts w:cs="宋体" w:asciiTheme="minorEastAsia" w:hAnsiTheme="minorEastAsia"/>
                <w:szCs w:val="21"/>
              </w:rPr>
              <w:t>PU</w:t>
            </w:r>
            <w:r>
              <w:rPr>
                <w:rFonts w:hint="eastAsia" w:cs="宋体" w:asciiTheme="minorEastAsia" w:hAnsiTheme="minorEastAsia"/>
                <w:szCs w:val="21"/>
              </w:rPr>
              <w:t>器≥48物理核心，内存≥128</w:t>
            </w:r>
            <w:r>
              <w:rPr>
                <w:rFonts w:cs="宋体" w:asciiTheme="minorEastAsia" w:hAnsiTheme="minorEastAsia"/>
                <w:szCs w:val="21"/>
              </w:rPr>
              <w:t>G</w:t>
            </w:r>
            <w:r>
              <w:rPr>
                <w:rFonts w:hint="eastAsia" w:cs="宋体" w:asciiTheme="minorEastAsia" w:hAnsiTheme="minorEastAsia"/>
                <w:szCs w:val="21"/>
              </w:rPr>
              <w:t>，1.2</w:t>
            </w:r>
            <w:r>
              <w:rPr>
                <w:rFonts w:cs="宋体" w:asciiTheme="minorEastAsia" w:hAnsiTheme="minorEastAsia"/>
                <w:szCs w:val="21"/>
              </w:rPr>
              <w:t>T</w:t>
            </w:r>
            <w:r>
              <w:rPr>
                <w:rFonts w:hint="eastAsia" w:cs="宋体" w:asciiTheme="minorEastAsia" w:hAnsiTheme="minorEastAsia"/>
                <w:szCs w:val="21"/>
              </w:rPr>
              <w:t>硬盘≥2，配置100个网络设备管理授权。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Align w:val="center"/>
          </w:tcPr>
          <w:p>
            <w:pPr>
              <w:rPr>
                <w:rFonts w:cs="宋体" w:asciiTheme="minorEastAsia" w:hAnsiTheme="minorEastAsia"/>
                <w:szCs w:val="21"/>
              </w:rPr>
            </w:pPr>
            <w:r>
              <w:rPr>
                <w:rFonts w:hint="eastAsia" w:cs="Arial" w:asciiTheme="minorEastAsia" w:hAnsiTheme="minorEastAsia"/>
                <w:kern w:val="0"/>
                <w:szCs w:val="21"/>
              </w:rPr>
              <w:t>管理规模</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系统支持大规模设备管理能力，可最多管理20,000台网元。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Align w:val="center"/>
          </w:tcPr>
          <w:p>
            <w:pPr>
              <w:rPr>
                <w:rFonts w:cs="宋体" w:asciiTheme="minorEastAsia" w:hAnsiTheme="minorEastAsia"/>
                <w:szCs w:val="21"/>
              </w:rPr>
            </w:pPr>
            <w:r>
              <w:rPr>
                <w:rFonts w:hint="eastAsia" w:cs="Arial" w:asciiTheme="minorEastAsia" w:hAnsiTheme="minorEastAsia"/>
                <w:kern w:val="0"/>
                <w:szCs w:val="21"/>
              </w:rPr>
              <w:t>管理范围</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系统支持多种设备的管理，包括交换机、路由器、防火墙、WLAN、服务器、存储、IP话机、摄像头、eLTE、GPON设备。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Arial" w:asciiTheme="minorEastAsia" w:hAnsiTheme="minorEastAsia"/>
                <w:kern w:val="0"/>
                <w:szCs w:val="21"/>
              </w:rPr>
            </w:pPr>
            <w:r>
              <w:rPr>
                <w:rFonts w:hint="eastAsia" w:ascii="宋体" w:hAnsi="宋体" w:cs="Arial"/>
                <w:kern w:val="0"/>
                <w:szCs w:val="21"/>
              </w:rPr>
              <w:t>系统架构</w:t>
            </w: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系统使用B/S架构，支持IE、</w:t>
            </w:r>
            <w:r>
              <w:rPr>
                <w:rFonts w:cs="Arial" w:asciiTheme="minorEastAsia" w:hAnsiTheme="minorEastAsia"/>
                <w:kern w:val="0"/>
                <w:szCs w:val="21"/>
              </w:rPr>
              <w:t>Firefox</w:t>
            </w:r>
            <w:r>
              <w:rPr>
                <w:rFonts w:hint="eastAsia" w:cs="Arial" w:asciiTheme="minorEastAsia" w:hAnsiTheme="minorEastAsia"/>
                <w:kern w:val="0"/>
                <w:szCs w:val="21"/>
              </w:rPr>
              <w:t>、Chrome等主流浏览器。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Arial" w:asciiTheme="minorEastAsia" w:hAnsiTheme="minorEastAsia"/>
                <w:kern w:val="0"/>
                <w:szCs w:val="21"/>
              </w:rPr>
            </w:pP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系统应支持</w:t>
            </w:r>
            <w:r>
              <w:rPr>
                <w:rFonts w:cs="Arial" w:asciiTheme="minorEastAsia" w:hAnsiTheme="minorEastAsia"/>
                <w:kern w:val="0"/>
                <w:szCs w:val="21"/>
              </w:rPr>
              <w:t>完全自主的操作系统</w:t>
            </w:r>
            <w:r>
              <w:rPr>
                <w:rFonts w:hint="eastAsia" w:cs="Arial" w:asciiTheme="minorEastAsia" w:hAnsiTheme="minorEastAsia"/>
                <w:kern w:val="0"/>
                <w:szCs w:val="21"/>
              </w:rPr>
              <w:t>、</w:t>
            </w:r>
            <w:r>
              <w:rPr>
                <w:rFonts w:cs="Arial" w:asciiTheme="minorEastAsia" w:hAnsiTheme="minorEastAsia"/>
                <w:kern w:val="0"/>
                <w:szCs w:val="21"/>
              </w:rPr>
              <w:t>数据库</w:t>
            </w:r>
            <w:r>
              <w:rPr>
                <w:rFonts w:hint="eastAsia" w:cs="Arial" w:asciiTheme="minorEastAsia" w:hAnsiTheme="minorEastAsia"/>
                <w:kern w:val="0"/>
                <w:szCs w:val="21"/>
              </w:rPr>
              <w:t>，</w:t>
            </w:r>
            <w:r>
              <w:rPr>
                <w:rFonts w:cs="Arial" w:asciiTheme="minorEastAsia" w:hAnsiTheme="minorEastAsia"/>
                <w:kern w:val="0"/>
                <w:szCs w:val="21"/>
              </w:rPr>
              <w:t>并能集成交付</w:t>
            </w:r>
            <w:r>
              <w:rPr>
                <w:rFonts w:hint="eastAsia" w:cs="Arial" w:asciiTheme="minorEastAsia" w:hAnsiTheme="minor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Arial" w:asciiTheme="minorEastAsia" w:hAnsiTheme="minorEastAsia"/>
                <w:kern w:val="0"/>
                <w:szCs w:val="21"/>
              </w:rPr>
            </w:pPr>
            <w:r>
              <w:rPr>
                <w:rFonts w:hint="eastAsia" w:cs="Arial" w:asciiTheme="minorEastAsia" w:hAnsiTheme="minorEastAsia"/>
                <w:kern w:val="0"/>
                <w:szCs w:val="21"/>
              </w:rPr>
              <w:t>系统</w:t>
            </w:r>
            <w:r>
              <w:rPr>
                <w:rFonts w:cs="Arial" w:asciiTheme="minorEastAsia" w:hAnsiTheme="minorEastAsia"/>
                <w:kern w:val="0"/>
                <w:szCs w:val="21"/>
              </w:rPr>
              <w:t>安全性</w:t>
            </w: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系统提供分权分域功能，为不同的用户、角色分配不同的设备管理范围和操作权限。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Arial" w:asciiTheme="minorEastAsia" w:hAnsiTheme="minorEastAsia"/>
                <w:kern w:val="0"/>
                <w:szCs w:val="21"/>
              </w:rPr>
            </w:pP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系统应支持本地、RADIUS和LDAP用户认证管理，实现用户的集中管理。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Arial" w:asciiTheme="minorEastAsia" w:hAnsiTheme="minorEastAsia"/>
                <w:kern w:val="0"/>
                <w:szCs w:val="21"/>
              </w:rPr>
            </w:pP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系统应能设置帐号</w:t>
            </w:r>
            <w:r>
              <w:rPr>
                <w:rFonts w:cs="Arial" w:asciiTheme="minorEastAsia" w:hAnsiTheme="minorEastAsia"/>
                <w:kern w:val="0"/>
                <w:szCs w:val="21"/>
              </w:rPr>
              <w:t>策略、密码策略、IP地址访问控制策略和登录时间策略</w:t>
            </w:r>
            <w:r>
              <w:rPr>
                <w:rFonts w:hint="eastAsia" w:cs="Arial" w:asciiTheme="minorEastAsia" w:hAnsiTheme="minorEastAsia"/>
                <w:kern w:val="0"/>
                <w:szCs w:val="21"/>
              </w:rPr>
              <w:t>，并能够强制在线用户退出。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Arial" w:asciiTheme="minorEastAsia" w:hAnsiTheme="minorEastAsia"/>
                <w:kern w:val="0"/>
                <w:szCs w:val="21"/>
              </w:rPr>
            </w:pP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系统提供系统日志、操作日志、安全日志。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Arial" w:asciiTheme="minorEastAsia" w:hAnsiTheme="minorEastAsia"/>
                <w:kern w:val="0"/>
                <w:szCs w:val="21"/>
              </w:rPr>
            </w:pPr>
            <w:r>
              <w:rPr>
                <w:rFonts w:hint="eastAsia" w:cs="Arial" w:asciiTheme="minorEastAsia" w:hAnsiTheme="minorEastAsia"/>
                <w:kern w:val="0"/>
                <w:szCs w:val="21"/>
              </w:rPr>
              <w:t>系统开放性</w:t>
            </w: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系统提供三种北向接口（SNMP、FTP及</w:t>
            </w:r>
            <w:r>
              <w:rPr>
                <w:rFonts w:cs="Arial" w:asciiTheme="minorEastAsia" w:hAnsiTheme="minorEastAsia"/>
                <w:kern w:val="0"/>
                <w:szCs w:val="21"/>
              </w:rPr>
              <w:t>Restful</w:t>
            </w:r>
            <w:r>
              <w:rPr>
                <w:rFonts w:hint="eastAsia" w:cs="Arial" w:asciiTheme="minorEastAsia" w:hAnsiTheme="minorEastAsia"/>
                <w:kern w:val="0"/>
                <w:szCs w:val="21"/>
              </w:rPr>
              <w:t>接口），可通过北向接口向上层系统提供告警、性能以及资源数据。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Arial" w:asciiTheme="minorEastAsia" w:hAnsiTheme="minorEastAsia"/>
                <w:kern w:val="0"/>
                <w:szCs w:val="21"/>
              </w:rPr>
            </w:pP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系统应支持多种南向接口类型，包括SNMP、Telnet/STelnet、FTP/SFTP/FTPS、TR069、MML、IPMI、SMI-S、Modbus、HTTPS接口，方便管理多种设备类型。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宋体" w:asciiTheme="minorEastAsia" w:hAnsiTheme="minorEastAsia"/>
                <w:szCs w:val="21"/>
              </w:rPr>
            </w:pPr>
            <w:r>
              <w:rPr>
                <w:rFonts w:hint="eastAsia" w:cs="Arial" w:asciiTheme="minorEastAsia" w:hAnsiTheme="minorEastAsia"/>
                <w:kern w:val="0"/>
                <w:szCs w:val="21"/>
              </w:rPr>
              <w:t>资源管理</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系统支持单设备添加、按IP段添加、通过文件导入方式添加等多种资源发现方式，可定义任务自动发现设备。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系统支持基于LLDP协议、CDP协议进行链路的自动发现，并支持手动创建、调整链路。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系统提供全局资源搜索功能，能够对设备、接口、有线终端、无线用户等资源进行搜索。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宋体" w:asciiTheme="minorEastAsia" w:hAnsiTheme="minorEastAsia"/>
                <w:szCs w:val="21"/>
              </w:rPr>
            </w:pPr>
            <w:r>
              <w:rPr>
                <w:rFonts w:hint="eastAsia" w:cs="Arial" w:asciiTheme="minorEastAsia" w:hAnsiTheme="minorEastAsia"/>
                <w:kern w:val="0"/>
                <w:szCs w:val="21"/>
              </w:rPr>
              <w:t>拓扑管理</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系统支持以拓扑图的方式直观显示被管网元及其之间的连接关系和状态，提供左树右图的拓扑</w:t>
            </w:r>
            <w:r>
              <w:rPr>
                <w:rFonts w:cs="Arial" w:asciiTheme="minorEastAsia" w:hAnsiTheme="minorEastAsia"/>
                <w:kern w:val="0"/>
                <w:szCs w:val="21"/>
              </w:rPr>
              <w:t>展现</w:t>
            </w:r>
            <w:r>
              <w:rPr>
                <w:rFonts w:hint="eastAsia" w:cs="Arial" w:asciiTheme="minorEastAsia" w:hAnsiTheme="minorEastAsia"/>
                <w:kern w:val="0"/>
                <w:szCs w:val="21"/>
              </w:rPr>
              <w:t>方式，对拓扑对象通过子网进行分层展示。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cs="宋体" w:asciiTheme="minorEastAsia" w:hAnsiTheme="minorEastAsia"/>
                <w:szCs w:val="21"/>
              </w:rPr>
            </w:pPr>
            <w:r>
              <w:rPr>
                <w:rFonts w:cs="Arial" w:asciiTheme="minorEastAsia" w:hAnsiTheme="minorEastAsia"/>
                <w:kern w:val="0"/>
                <w:szCs w:val="21"/>
              </w:rPr>
              <w:t>系统支持用户自定义拓扑</w:t>
            </w:r>
            <w:r>
              <w:rPr>
                <w:rFonts w:hint="eastAsia" w:cs="Arial" w:asciiTheme="minorEastAsia" w:hAnsiTheme="minorEastAsia"/>
                <w:kern w:val="0"/>
                <w:szCs w:val="21"/>
              </w:rPr>
              <w:t>，</w:t>
            </w:r>
            <w:r>
              <w:rPr>
                <w:rFonts w:cs="Arial" w:asciiTheme="minorEastAsia" w:hAnsiTheme="minorEastAsia"/>
                <w:kern w:val="0"/>
                <w:szCs w:val="21"/>
              </w:rPr>
              <w:t>帮助用户定义关键设备</w:t>
            </w:r>
            <w:r>
              <w:rPr>
                <w:rFonts w:hint="eastAsia" w:cs="Arial" w:asciiTheme="minorEastAsia" w:hAnsiTheme="minorEastAsia"/>
                <w:kern w:val="0"/>
                <w:szCs w:val="21"/>
              </w:rPr>
              <w:t>和</w:t>
            </w:r>
            <w:r>
              <w:rPr>
                <w:rFonts w:cs="Arial" w:asciiTheme="minorEastAsia" w:hAnsiTheme="minorEastAsia"/>
                <w:kern w:val="0"/>
                <w:szCs w:val="21"/>
              </w:rPr>
              <w:t>关键链路的相关信息</w:t>
            </w:r>
            <w:r>
              <w:rPr>
                <w:rFonts w:hint="eastAsia" w:cs="Arial" w:asciiTheme="minorEastAsia" w:hAnsiTheme="minorEastAsia"/>
                <w:kern w:val="0"/>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Align w:val="center"/>
          </w:tcPr>
          <w:p>
            <w:pPr>
              <w:rPr>
                <w:rFonts w:cs="宋体" w:asciiTheme="minorEastAsia" w:hAnsiTheme="minorEastAsia"/>
                <w:szCs w:val="21"/>
              </w:rPr>
            </w:pPr>
            <w:r>
              <w:rPr>
                <w:rFonts w:hint="eastAsia" w:cs="Arial" w:asciiTheme="minorEastAsia" w:hAnsiTheme="minorEastAsia"/>
                <w:kern w:val="0"/>
                <w:szCs w:val="21"/>
              </w:rPr>
              <w:t>网络故障管理</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系统支持告警信息中包含与故障关联的信息（如端口故障需关联呈现端口信息、故障信息、链路拓扑信息、历史流量信息、维护经验等）。（提供截图证明）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宋体" w:asciiTheme="minorEastAsia" w:hAnsiTheme="minorEastAsia"/>
                <w:szCs w:val="21"/>
              </w:rPr>
            </w:pPr>
            <w:r>
              <w:rPr>
                <w:rFonts w:hint="eastAsia" w:cs="宋体" w:asciiTheme="minorEastAsia" w:hAnsiTheme="minorEastAsia"/>
                <w:szCs w:val="21"/>
              </w:rPr>
              <w:t>无线网络管理</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系统支持7*24小时WLAN网络监控能力，支持基于区域维度的拓扑可视化监控。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系统支持区域内用户的网络使用质量分析能力，并以区域维度进行信息汇聚（如区域内低速率用户占比、高丢包率AP占比、高掉线率AP占比等）在拓扑上呈现。（提供截图证明）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宋体" w:asciiTheme="minorEastAsia" w:hAnsiTheme="minorEastAsia"/>
                <w:szCs w:val="21"/>
              </w:rPr>
            </w:pPr>
            <w:r>
              <w:rPr>
                <w:rFonts w:hint="eastAsia" w:cs="Arial" w:asciiTheme="minorEastAsia" w:hAnsiTheme="minorEastAsia"/>
                <w:kern w:val="0"/>
                <w:szCs w:val="21"/>
              </w:rPr>
              <w:t>网络</w:t>
            </w:r>
            <w:r>
              <w:rPr>
                <w:rFonts w:cs="Arial" w:asciiTheme="minorEastAsia" w:hAnsiTheme="minorEastAsia"/>
                <w:kern w:val="0"/>
                <w:szCs w:val="21"/>
              </w:rPr>
              <w:t>质量监控</w:t>
            </w:r>
          </w:p>
        </w:tc>
        <w:tc>
          <w:tcPr>
            <w:tcW w:w="7764" w:type="dxa"/>
            <w:vAlign w:val="center"/>
          </w:tcPr>
          <w:p>
            <w:pPr>
              <w:rPr>
                <w:rFonts w:asciiTheme="minorEastAsia" w:hAnsiTheme="minorEastAsia"/>
                <w:szCs w:val="21"/>
              </w:rPr>
            </w:pPr>
            <w:r>
              <w:rPr>
                <w:rFonts w:hint="eastAsia" w:cs="Arial" w:asciiTheme="minorEastAsia" w:hAnsiTheme="minorEastAsia"/>
                <w:kern w:val="0"/>
                <w:szCs w:val="21"/>
              </w:rPr>
              <w:t>系统支持丢包率的阈值告警能力，当系统监测到丢包率超过阈值后，可实时通知系统管理员。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asciiTheme="minorEastAsia" w:hAnsiTheme="minorEastAsia"/>
                <w:szCs w:val="21"/>
              </w:rPr>
            </w:pPr>
            <w:r>
              <w:rPr>
                <w:rFonts w:hint="eastAsia" w:cs="Arial" w:asciiTheme="minorEastAsia" w:hAnsiTheme="minorEastAsia"/>
                <w:kern w:val="0"/>
                <w:szCs w:val="21"/>
              </w:rPr>
              <w:t>系统支持模拟报文监测能力，支持对网络中关键链路的丢包、时延、抖动等服务质量指标进行监测，</w:t>
            </w:r>
            <w:r>
              <w:rPr>
                <w:rFonts w:cs="Arial" w:asciiTheme="minorEastAsia" w:hAnsiTheme="minorEastAsia"/>
                <w:kern w:val="0"/>
                <w:szCs w:val="21"/>
              </w:rPr>
              <w:t>监测</w:t>
            </w:r>
            <w:r>
              <w:rPr>
                <w:rFonts w:hint="eastAsia" w:cs="Arial" w:asciiTheme="minorEastAsia" w:hAnsiTheme="minorEastAsia"/>
                <w:kern w:val="0"/>
                <w:szCs w:val="21"/>
              </w:rPr>
              <w:t>任务支持</w:t>
            </w:r>
            <w:r>
              <w:rPr>
                <w:rFonts w:cs="Arial" w:asciiTheme="minorEastAsia" w:hAnsiTheme="minorEastAsia"/>
                <w:kern w:val="0"/>
                <w:szCs w:val="21"/>
              </w:rPr>
              <w:t>批量创建。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cs="Arial" w:asciiTheme="minorEastAsia" w:hAnsiTheme="minorEastAsia"/>
                <w:kern w:val="0"/>
                <w:szCs w:val="21"/>
              </w:rPr>
            </w:pPr>
            <w:r>
              <w:rPr>
                <w:rFonts w:hint="eastAsia" w:cs="Arial" w:asciiTheme="minorEastAsia" w:hAnsiTheme="minorEastAsia"/>
                <w:kern w:val="0"/>
                <w:szCs w:val="21"/>
              </w:rPr>
              <w:t>系统支持基于真实流的IP网络实时监测能力（非模拟报文监测或者探针式监测），监测结果可实时在拓扑上显示。（提供截图证明）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宋体" w:asciiTheme="minorEastAsia" w:hAnsiTheme="minorEastAsia"/>
                <w:szCs w:val="21"/>
              </w:rPr>
            </w:pPr>
            <w:r>
              <w:rPr>
                <w:rFonts w:hint="eastAsia" w:cs="Arial" w:asciiTheme="minorEastAsia" w:hAnsiTheme="minorEastAsia"/>
                <w:kern w:val="0"/>
                <w:szCs w:val="21"/>
              </w:rPr>
              <w:t>网络流量分析</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系统支持网络流量分析能力，支持NetFlow和NetStream协议对网络中的流量进行深入分析，实时监控应用流量分布，及时发现网络中异常流量。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系统支持不同维度（设备、接口、应用、DSCP、主机、会话、接口组、IP组、应用组、DSCP组）的流量图表查看功能，并支持下钻一层深入详细分析流量数据。</w:t>
            </w:r>
            <w:r>
              <w:rPr>
                <w:rFonts w:cs="Arial" w:asciiTheme="minorEastAsia" w:hAnsiTheme="minorEastAsia"/>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bottom"/>
          </w:tcPr>
          <w:p>
            <w:pPr>
              <w:rPr>
                <w:rFonts w:cs="Arial" w:asciiTheme="minorEastAsia" w:hAnsiTheme="minorEastAsia"/>
                <w:kern w:val="0"/>
                <w:szCs w:val="21"/>
              </w:rPr>
            </w:pPr>
            <w:r>
              <w:rPr>
                <w:rFonts w:hint="eastAsia" w:cs="Arial" w:asciiTheme="minorEastAsia" w:hAnsiTheme="minorEastAsia"/>
                <w:kern w:val="0"/>
                <w:szCs w:val="21"/>
              </w:rPr>
              <w:t>用支持可定制用户所关注的流量报表，提供报表的导出，可通过报表，及时地了解网络中的流量分布信息。（提供功能截图证明）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restart"/>
            <w:vAlign w:val="center"/>
          </w:tcPr>
          <w:p>
            <w:pPr>
              <w:rPr>
                <w:rFonts w:cs="宋体" w:asciiTheme="minorEastAsia" w:hAnsiTheme="minorEastAsia"/>
                <w:szCs w:val="21"/>
              </w:rPr>
            </w:pPr>
            <w:r>
              <w:rPr>
                <w:rFonts w:hint="eastAsia" w:cs="宋体" w:asciiTheme="minorEastAsia" w:hAnsiTheme="minorEastAsia"/>
                <w:szCs w:val="21"/>
              </w:rPr>
              <w:t>视频监控管理</w:t>
            </w:r>
          </w:p>
        </w:tc>
        <w:tc>
          <w:tcPr>
            <w:tcW w:w="7764" w:type="dxa"/>
            <w:vAlign w:val="center"/>
          </w:tcPr>
          <w:p>
            <w:pPr>
              <w:rPr>
                <w:rFonts w:cs="宋体" w:asciiTheme="minorEastAsia" w:hAnsiTheme="minorEastAsia"/>
                <w:szCs w:val="21"/>
              </w:rPr>
            </w:pPr>
            <w:r>
              <w:rPr>
                <w:rFonts w:hint="eastAsia" w:cs="Arial" w:asciiTheme="minorEastAsia" w:hAnsiTheme="minorEastAsia"/>
                <w:kern w:val="0"/>
                <w:szCs w:val="21"/>
              </w:rPr>
              <w:t>系统支持</w:t>
            </w:r>
            <w:r>
              <w:rPr>
                <w:rFonts w:asciiTheme="minorEastAsia" w:hAnsiTheme="minorEastAsia"/>
                <w:szCs w:val="21"/>
              </w:rPr>
              <w:t>通过故障诊断功能可以还原摄像机与视频监控平台之间的网络拓扑，根据网络拓扑对摄像机离线故障和质量故障进行诊断，给出确认或者可能的故障原因。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38" w:type="dxa"/>
            <w:vMerge w:val="continue"/>
            <w:vAlign w:val="center"/>
          </w:tcPr>
          <w:p>
            <w:pPr>
              <w:rPr>
                <w:rFonts w:cs="宋体" w:asciiTheme="minorEastAsia" w:hAnsiTheme="minorEastAsia"/>
                <w:szCs w:val="21"/>
              </w:rPr>
            </w:pPr>
          </w:p>
        </w:tc>
        <w:tc>
          <w:tcPr>
            <w:tcW w:w="7764" w:type="dxa"/>
            <w:vAlign w:val="center"/>
          </w:tcPr>
          <w:p>
            <w:pPr>
              <w:rPr>
                <w:rFonts w:cs="宋体" w:asciiTheme="minorEastAsia" w:hAnsiTheme="minorEastAsia"/>
                <w:szCs w:val="21"/>
              </w:rPr>
            </w:pPr>
            <w:r>
              <w:rPr>
                <w:rFonts w:cs="Arial" w:asciiTheme="minorEastAsia" w:hAnsiTheme="minorEastAsia"/>
                <w:kern w:val="0"/>
                <w:szCs w:val="21"/>
              </w:rPr>
              <w:t>系统支持</w:t>
            </w:r>
            <w:r>
              <w:rPr>
                <w:rFonts w:asciiTheme="minorEastAsia" w:hAnsiTheme="minorEastAsia"/>
                <w:szCs w:val="21"/>
              </w:rPr>
              <w:t>在</w:t>
            </w:r>
            <w:r>
              <w:rPr>
                <w:rFonts w:hint="eastAsia" w:asciiTheme="minorEastAsia" w:hAnsiTheme="minorEastAsia"/>
                <w:szCs w:val="21"/>
              </w:rPr>
              <w:t>GIS</w:t>
            </w:r>
            <w:r>
              <w:rPr>
                <w:rFonts w:asciiTheme="minorEastAsia" w:hAnsiTheme="minorEastAsia"/>
                <w:szCs w:val="21"/>
              </w:rPr>
              <w:t>地图上显示</w:t>
            </w:r>
            <w:r>
              <w:rPr>
                <w:rFonts w:hint="eastAsia" w:asciiTheme="minorEastAsia" w:hAnsiTheme="minorEastAsia"/>
                <w:szCs w:val="21"/>
              </w:rPr>
              <w:t>摄像头设备，并支持</w:t>
            </w:r>
            <w:r>
              <w:rPr>
                <w:rFonts w:asciiTheme="minorEastAsia" w:hAnsiTheme="minorEastAsia"/>
                <w:szCs w:val="21"/>
              </w:rPr>
              <w:t>按实际区域对摄像机进行分组划分</w:t>
            </w:r>
            <w:r>
              <w:rPr>
                <w:rFonts w:hint="eastAsia" w:asciiTheme="minorEastAsia" w:hAnsiTheme="minorEastAsia"/>
                <w:szCs w:val="21"/>
              </w:rPr>
              <w:t>，</w:t>
            </w:r>
            <w:r>
              <w:rPr>
                <w:rFonts w:asciiTheme="minorEastAsia" w:hAnsiTheme="minorEastAsia"/>
                <w:szCs w:val="21"/>
              </w:rPr>
              <w:t>同时也可以将摄像机相关的接入设备、电源设备添加到摄像机所在的分组中。</w:t>
            </w:r>
          </w:p>
        </w:tc>
      </w:tr>
    </w:tbl>
    <w:p/>
    <w:p>
      <w:pPr>
        <w:pStyle w:val="141"/>
        <w:numPr>
          <w:ilvl w:val="3"/>
          <w:numId w:val="7"/>
        </w:numPr>
        <w:tabs>
          <w:tab w:val="clear" w:pos="851"/>
        </w:tabs>
        <w:outlineLvl w:val="4"/>
        <w:rPr>
          <w:rFonts w:ascii="宋体" w:hAnsi="宋体" w:eastAsia="宋体" w:cs="宋体"/>
          <w:color w:val="auto"/>
          <w:sz w:val="24"/>
          <w:szCs w:val="24"/>
        </w:rPr>
      </w:pPr>
      <w:bookmarkStart w:id="147" w:name="_Toc46242012"/>
      <w:r>
        <w:rPr>
          <w:rFonts w:hint="eastAsia" w:ascii="宋体" w:hAnsi="宋体" w:eastAsia="宋体" w:cs="宋体"/>
          <w:color w:val="auto"/>
          <w:sz w:val="24"/>
          <w:szCs w:val="24"/>
        </w:rPr>
        <w:t>S</w:t>
      </w:r>
      <w:r>
        <w:rPr>
          <w:rFonts w:ascii="宋体" w:hAnsi="宋体" w:eastAsia="宋体" w:cs="宋体"/>
          <w:color w:val="auto"/>
          <w:sz w:val="24"/>
          <w:szCs w:val="24"/>
        </w:rPr>
        <w:t>DN控制器</w:t>
      </w:r>
      <w:bookmarkEnd w:id="147"/>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76"/>
        <w:gridCol w:w="78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5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宋体" w:hAnsi="宋体"/>
                <w:szCs w:val="21"/>
              </w:rPr>
            </w:pPr>
            <w:r>
              <w:rPr>
                <w:rFonts w:hint="eastAsia" w:ascii="宋体" w:hAnsi="宋体"/>
                <w:b/>
                <w:bCs/>
                <w:szCs w:val="21"/>
              </w:rPr>
              <w:t>指标项</w:t>
            </w:r>
          </w:p>
        </w:tc>
        <w:tc>
          <w:tcPr>
            <w:tcW w:w="7826" w:type="dxa"/>
            <w:vAlign w:val="center"/>
          </w:tcPr>
          <w:p>
            <w:pPr>
              <w:adjustRightInd w:val="0"/>
              <w:snapToGrid w:val="0"/>
              <w:spacing w:line="276" w:lineRule="auto"/>
              <w:jc w:val="center"/>
              <w:rPr>
                <w:rFonts w:ascii="宋体" w:hAnsi="宋体"/>
                <w:szCs w:val="21"/>
              </w:rPr>
            </w:pPr>
            <w:r>
              <w:rPr>
                <w:rFonts w:hint="eastAsia" w:ascii="宋体" w:hAnsi="宋体"/>
                <w:b/>
                <w:bCs/>
                <w:szCs w:val="21"/>
              </w:rPr>
              <w:t>指标要求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576" w:type="dxa"/>
            <w:vMerge w:val="restart"/>
            <w:tcBorders>
              <w:top w:val="single" w:color="auto" w:sz="4" w:space="0"/>
              <w:left w:val="single" w:color="auto" w:sz="4" w:space="0"/>
              <w:right w:val="single" w:color="auto" w:sz="4" w:space="0"/>
            </w:tcBorders>
            <w:vAlign w:val="center"/>
          </w:tcPr>
          <w:p>
            <w:pPr>
              <w:adjustRightInd w:val="0"/>
              <w:snapToGrid w:val="0"/>
              <w:spacing w:line="276" w:lineRule="auto"/>
              <w:jc w:val="center"/>
              <w:rPr>
                <w:rFonts w:asciiTheme="minorEastAsia" w:hAnsiTheme="minorEastAsia"/>
                <w:szCs w:val="21"/>
              </w:rPr>
            </w:pPr>
            <w:r>
              <w:rPr>
                <w:rFonts w:hint="eastAsia" w:asciiTheme="minorEastAsia" w:hAnsiTheme="minorEastAsia"/>
                <w:szCs w:val="21"/>
              </w:rPr>
              <w:t>配置要求</w:t>
            </w: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配置1台硬件服务器，其C</w:t>
            </w:r>
            <w:r>
              <w:rPr>
                <w:rFonts w:asciiTheme="minorEastAsia" w:hAnsiTheme="minorEastAsia"/>
                <w:szCs w:val="21"/>
              </w:rPr>
              <w:t>PU</w:t>
            </w:r>
            <w:r>
              <w:rPr>
                <w:rFonts w:hint="eastAsia" w:asciiTheme="minorEastAsia" w:hAnsiTheme="minorEastAsia"/>
                <w:szCs w:val="21"/>
              </w:rPr>
              <w:t>数量≥2颗，单颗C</w:t>
            </w:r>
            <w:r>
              <w:rPr>
                <w:rFonts w:asciiTheme="minorEastAsia" w:hAnsiTheme="minorEastAsia"/>
                <w:szCs w:val="21"/>
              </w:rPr>
              <w:t>PU</w:t>
            </w:r>
            <w:r>
              <w:rPr>
                <w:rFonts w:hint="eastAsia" w:asciiTheme="minorEastAsia" w:hAnsiTheme="minorEastAsia"/>
                <w:szCs w:val="21"/>
              </w:rPr>
              <w:t>主频≥2</w:t>
            </w:r>
            <w:r>
              <w:rPr>
                <w:rFonts w:asciiTheme="minorEastAsia" w:hAnsiTheme="minorEastAsia"/>
                <w:szCs w:val="21"/>
              </w:rPr>
              <w:t>.6GHz,</w:t>
            </w:r>
            <w:r>
              <w:rPr>
                <w:rFonts w:hint="eastAsia" w:asciiTheme="minorEastAsia" w:hAnsiTheme="minorEastAsia"/>
                <w:szCs w:val="21"/>
              </w:rPr>
              <w:t>单颗处理器</w:t>
            </w:r>
            <w:r>
              <w:rPr>
                <w:rFonts w:asciiTheme="minorEastAsia" w:hAnsiTheme="minorEastAsia"/>
                <w:szCs w:val="21"/>
              </w:rPr>
              <w:t>≥48物理核心</w:t>
            </w:r>
            <w:r>
              <w:rPr>
                <w:rFonts w:hint="eastAsia" w:asciiTheme="minorEastAsia" w:hAnsiTheme="minorEastAsia"/>
                <w:szCs w:val="21"/>
              </w:rPr>
              <w:t>，内存≥</w:t>
            </w:r>
            <w:r>
              <w:rPr>
                <w:rFonts w:asciiTheme="minorEastAsia" w:hAnsiTheme="minorEastAsia"/>
                <w:szCs w:val="21"/>
              </w:rPr>
              <w:t>512G</w:t>
            </w:r>
            <w:r>
              <w:rPr>
                <w:rFonts w:hint="eastAsia" w:asciiTheme="minorEastAsia" w:hAnsiTheme="minorEastAsia"/>
                <w:szCs w:val="21"/>
              </w:rPr>
              <w:t>，1.2T硬盘≥12，</w:t>
            </w:r>
            <w:r>
              <w:rPr>
                <w:rFonts w:asciiTheme="minorEastAsia" w:hAnsiTheme="minorEastAsia"/>
                <w:szCs w:val="21"/>
              </w:rPr>
              <w:t>配置</w:t>
            </w:r>
            <w:r>
              <w:rPr>
                <w:rFonts w:hint="eastAsia" w:asciiTheme="minorEastAsia" w:hAnsiTheme="minorEastAsia"/>
                <w:szCs w:val="21"/>
              </w:rPr>
              <w:t>千兆电口≥</w:t>
            </w:r>
            <w:r>
              <w:rPr>
                <w:rFonts w:asciiTheme="minorEastAsia" w:hAnsiTheme="minorEastAsia"/>
                <w:szCs w:val="21"/>
              </w:rPr>
              <w:t>8</w:t>
            </w:r>
            <w:r>
              <w:rPr>
                <w:rFonts w:hint="eastAsia" w:asciiTheme="minorEastAsia" w:hAnsiTheme="minorEastAsia"/>
                <w:szCs w:val="21"/>
              </w:rPr>
              <w:t>，10G/25G自适应光口≥</w:t>
            </w:r>
            <w:r>
              <w:rPr>
                <w:rFonts w:asciiTheme="minorEastAsia" w:hAnsiTheme="minorEastAsia"/>
                <w:szCs w:val="21"/>
              </w:rPr>
              <w:t>8</w:t>
            </w:r>
            <w:r>
              <w:rPr>
                <w:rFonts w:hint="eastAsia"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576" w:type="dxa"/>
            <w:vMerge w:val="continue"/>
            <w:tcBorders>
              <w:left w:val="single" w:color="auto" w:sz="4" w:space="0"/>
              <w:right w:val="single" w:color="auto" w:sz="4" w:space="0"/>
            </w:tcBorders>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配置</w:t>
            </w:r>
            <w:r>
              <w:rPr>
                <w:rFonts w:asciiTheme="minorEastAsia" w:hAnsiTheme="minorEastAsia"/>
                <w:szCs w:val="21"/>
              </w:rPr>
              <w:t>1台</w:t>
            </w:r>
            <w:r>
              <w:rPr>
                <w:rFonts w:hint="eastAsia" w:asciiTheme="minorEastAsia" w:hAnsiTheme="minorEastAsia"/>
                <w:szCs w:val="21"/>
              </w:rPr>
              <w:t>24口GE交换机（24个10/100/1000BASE-T以太网端口,4个万兆SFP+,双交流电源）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576" w:type="dxa"/>
            <w:vMerge w:val="continue"/>
            <w:tcBorders>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配置管理、控制、分析功能授权，</w:t>
            </w:r>
            <w:r>
              <w:rPr>
                <w:rFonts w:asciiTheme="minorEastAsia" w:hAnsiTheme="minorEastAsia"/>
                <w:szCs w:val="21"/>
              </w:rPr>
              <w:t>含</w:t>
            </w:r>
            <w:r>
              <w:rPr>
                <w:rFonts w:hint="eastAsia" w:asciiTheme="minorEastAsia" w:hAnsiTheme="minorEastAsia"/>
                <w:szCs w:val="21"/>
              </w:rPr>
              <w:t>本项目所采购的路由器设备许可，含三年软件支持服务。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rPr>
        <w:tc>
          <w:tcPr>
            <w:tcW w:w="1576" w:type="dxa"/>
            <w:tcBorders>
              <w:left w:val="single" w:color="auto" w:sz="4" w:space="0"/>
              <w:bottom w:val="single" w:color="auto" w:sz="4" w:space="0"/>
              <w:right w:val="single" w:color="auto" w:sz="4" w:space="0"/>
            </w:tcBorders>
            <w:vAlign w:val="center"/>
          </w:tcPr>
          <w:p>
            <w:pPr>
              <w:adjustRightInd w:val="0"/>
              <w:snapToGrid w:val="0"/>
              <w:spacing w:line="276" w:lineRule="auto"/>
              <w:jc w:val="center"/>
              <w:rPr>
                <w:rFonts w:asciiTheme="minorEastAsia" w:hAnsiTheme="minorEastAsia"/>
                <w:szCs w:val="21"/>
              </w:rPr>
            </w:pPr>
            <w:r>
              <w:rPr>
                <w:rFonts w:asciiTheme="minorEastAsia" w:hAnsiTheme="minorEastAsia"/>
                <w:szCs w:val="21"/>
              </w:rPr>
              <w:t>服务器管理芯片</w:t>
            </w: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采用国产化管理芯片，提供芯片厂家发布的产品简介。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restart"/>
            <w:vAlign w:val="center"/>
          </w:tcPr>
          <w:p>
            <w:pPr>
              <w:adjustRightInd w:val="0"/>
              <w:snapToGrid w:val="0"/>
              <w:spacing w:line="276" w:lineRule="auto"/>
              <w:jc w:val="center"/>
              <w:rPr>
                <w:rFonts w:asciiTheme="minorEastAsia" w:hAnsiTheme="minorEastAsia"/>
                <w:szCs w:val="21"/>
              </w:rPr>
            </w:pPr>
            <w:r>
              <w:rPr>
                <w:rFonts w:hint="eastAsia" w:asciiTheme="minorEastAsia" w:hAnsiTheme="minorEastAsia"/>
                <w:szCs w:val="21"/>
              </w:rPr>
              <w:t>系统架构</w:t>
            </w: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包含管理、控制和分析集成的统一云化架构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支持统一的Portal来访问所有的SDN组件，包括设备管理，业务发放，网络优化，网络监控。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提供统一的用户认证机制，使用所有的SDN功能组件时不需要多次重复登录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所有SDN组件都应支持统一的用户授权机制。SDN系统应该是完整的系统，具有统一的认证，以避免从不同的应用跳转出来，并确保安全。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在一个业务窗口中提供统一的业务监控能力，支持业务DASHBOARD，支持业务相关告警，历史性能曲线和OAM工具，无需跳转到其他系统。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提供统一北向接口，具备与上层OSS管理系统、协同器集成的能力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支持异地容灾能力,主备控制器之间需要支持数据库同步机制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restart"/>
            <w:vAlign w:val="center"/>
          </w:tcPr>
          <w:p>
            <w:pPr>
              <w:adjustRightInd w:val="0"/>
              <w:snapToGrid w:val="0"/>
              <w:spacing w:line="276" w:lineRule="auto"/>
              <w:jc w:val="center"/>
              <w:rPr>
                <w:rFonts w:asciiTheme="minorEastAsia" w:hAnsiTheme="minorEastAsia"/>
                <w:szCs w:val="21"/>
              </w:rPr>
            </w:pPr>
            <w:r>
              <w:rPr>
                <w:rFonts w:hint="eastAsia" w:asciiTheme="minorEastAsia" w:hAnsiTheme="minorEastAsia"/>
                <w:szCs w:val="21"/>
              </w:rPr>
              <w:t>网络发现</w:t>
            </w: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支持通过LLDP等协议自动发现网络设备及链接关系，生成全网的网络拓扑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支持通过BGP-LS等协议自动发现网络的逻辑拓扑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应该支持实时更新网络的拓扑变化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具备从业务到隧道再到链路，分层路径检视与可视化的能力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restart"/>
            <w:vAlign w:val="center"/>
          </w:tcPr>
          <w:p>
            <w:pPr>
              <w:adjustRightInd w:val="0"/>
              <w:snapToGrid w:val="0"/>
              <w:spacing w:line="276" w:lineRule="auto"/>
              <w:jc w:val="center"/>
              <w:rPr>
                <w:rFonts w:asciiTheme="minorEastAsia" w:hAnsiTheme="minorEastAsia"/>
                <w:szCs w:val="21"/>
              </w:rPr>
            </w:pPr>
            <w:r>
              <w:rPr>
                <w:rFonts w:hint="eastAsia" w:asciiTheme="minorEastAsia" w:hAnsiTheme="minorEastAsia"/>
                <w:szCs w:val="21"/>
              </w:rPr>
              <w:t>自动业务发放与管理</w:t>
            </w: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支持模型驱动的VPN业务部署，以定义网络业务到设备配置的映射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支持创建QoS模板，支持对设备或接口批量部署QoS模板，支持SAI QoS模板与VPN业务的快速部署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支持基于模版创建隧道，设置隧道带宽，时延，Hot-standby等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支持多种路径选择策略，包括最短路径，负载均衡，最低时延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支持根据不同的选路策略，实现业务端到端的业务路径预览，用户可手工选择所需路径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支持在统一的界面上对业务进行360度监控，集中展示包括业务分层路径拓扑，业务相关资源的状态集中呈现，告警与业务自动关联等，提供功能截图证明。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restart"/>
            <w:vAlign w:val="center"/>
          </w:tcPr>
          <w:p>
            <w:pPr>
              <w:adjustRightInd w:val="0"/>
              <w:snapToGrid w:val="0"/>
              <w:spacing w:line="276" w:lineRule="auto"/>
              <w:jc w:val="center"/>
              <w:rPr>
                <w:rFonts w:asciiTheme="minorEastAsia" w:hAnsiTheme="minorEastAsia"/>
                <w:szCs w:val="21"/>
              </w:rPr>
            </w:pPr>
            <w:r>
              <w:rPr>
                <w:rFonts w:hint="eastAsia" w:asciiTheme="minorEastAsia" w:hAnsiTheme="minorEastAsia"/>
                <w:szCs w:val="21"/>
              </w:rPr>
              <w:t>网络监控</w:t>
            </w: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支持通过SNMP实时采集网络性能信息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支持提供基于QoS队列/VPN业务性能和质量的统计报告及可视化呈现，包括丢包、时延、抖动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1576" w:type="dxa"/>
            <w:vMerge w:val="continue"/>
            <w:vAlign w:val="center"/>
          </w:tcPr>
          <w:p>
            <w:pPr>
              <w:adjustRightInd w:val="0"/>
              <w:snapToGrid w:val="0"/>
              <w:spacing w:line="276" w:lineRule="auto"/>
              <w:jc w:val="center"/>
              <w:rPr>
                <w:rFonts w:asciiTheme="minorEastAsia" w:hAnsiTheme="minorEastAsia"/>
                <w:szCs w:val="21"/>
              </w:rPr>
            </w:pPr>
          </w:p>
        </w:tc>
        <w:tc>
          <w:tcPr>
            <w:tcW w:w="7826" w:type="dxa"/>
            <w:vAlign w:val="center"/>
          </w:tcPr>
          <w:p>
            <w:pPr>
              <w:adjustRightInd w:val="0"/>
              <w:snapToGrid w:val="0"/>
              <w:spacing w:line="276" w:lineRule="auto"/>
              <w:rPr>
                <w:rFonts w:asciiTheme="minorEastAsia" w:hAnsiTheme="minorEastAsia"/>
                <w:szCs w:val="21"/>
              </w:rPr>
            </w:pPr>
            <w:r>
              <w:rPr>
                <w:rFonts w:hint="eastAsia" w:asciiTheme="minorEastAsia" w:hAnsiTheme="minorEastAsia"/>
                <w:szCs w:val="21"/>
              </w:rPr>
              <w:t>支持SR Tunnel的历史路径回放，对比历史KPI分析，快速故障定位</w:t>
            </w:r>
          </w:p>
        </w:tc>
      </w:tr>
    </w:tbl>
    <w:p/>
    <w:p>
      <w:pPr>
        <w:pStyle w:val="141"/>
        <w:numPr>
          <w:ilvl w:val="3"/>
          <w:numId w:val="7"/>
        </w:numPr>
        <w:tabs>
          <w:tab w:val="clear" w:pos="851"/>
        </w:tabs>
        <w:outlineLvl w:val="4"/>
        <w:rPr>
          <w:rFonts w:ascii="宋体" w:hAnsi="宋体" w:eastAsia="宋体" w:cs="宋体"/>
          <w:color w:val="auto"/>
          <w:sz w:val="24"/>
          <w:szCs w:val="24"/>
        </w:rPr>
      </w:pPr>
      <w:bookmarkStart w:id="148" w:name="_Toc46242013"/>
      <w:r>
        <w:rPr>
          <w:rFonts w:hint="eastAsia" w:ascii="宋体" w:hAnsi="宋体" w:eastAsia="宋体" w:cs="宋体"/>
          <w:color w:val="auto"/>
          <w:sz w:val="24"/>
          <w:szCs w:val="24"/>
        </w:rPr>
        <w:t>区域中心路由器（韶关、汕头、湛江）</w:t>
      </w:r>
      <w:bookmarkEnd w:id="148"/>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b/>
                <w:szCs w:val="21"/>
              </w:rPr>
            </w:pPr>
            <w:r>
              <w:rPr>
                <w:rFonts w:hint="eastAsia" w:asciiTheme="minorEastAsia" w:hAnsiTheme="minorEastAsia"/>
                <w:b/>
                <w:szCs w:val="21"/>
              </w:rPr>
              <w:t>指标项</w:t>
            </w:r>
          </w:p>
        </w:tc>
        <w:tc>
          <w:tcPr>
            <w:tcW w:w="7952" w:type="dxa"/>
          </w:tcPr>
          <w:p>
            <w:pPr>
              <w:jc w:val="center"/>
              <w:rPr>
                <w:rFonts w:asciiTheme="minorEastAsia" w:hAnsiTheme="minorEastAsia"/>
                <w:b/>
                <w:szCs w:val="21"/>
              </w:rPr>
            </w:pPr>
            <w:r>
              <w:rPr>
                <w:rFonts w:hint="eastAsia" w:asciiTheme="minorEastAsia" w:hAnsiTheme="minorEastAsia"/>
                <w:b/>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cs="宋体" w:asciiTheme="minorEastAsia" w:hAnsiTheme="minorEastAsia"/>
                <w:szCs w:val="21"/>
              </w:rPr>
              <w:t>设备架构</w:t>
            </w:r>
          </w:p>
        </w:tc>
        <w:tc>
          <w:tcPr>
            <w:tcW w:w="7952" w:type="dxa"/>
            <w:vAlign w:val="center"/>
          </w:tcPr>
          <w:p>
            <w:pPr>
              <w:rPr>
                <w:rFonts w:cs="宋体" w:asciiTheme="minorEastAsia" w:hAnsiTheme="minorEastAsia"/>
                <w:szCs w:val="21"/>
              </w:rPr>
            </w:pPr>
            <w:r>
              <w:rPr>
                <w:rFonts w:hint="eastAsia" w:cs="宋体" w:asciiTheme="minorEastAsia" w:hAnsiTheme="minorEastAsia"/>
                <w:szCs w:val="21"/>
              </w:rPr>
              <w:t>整机交换容量</w:t>
            </w:r>
            <w:r>
              <w:rPr>
                <w:rFonts w:hint="eastAsia" w:asciiTheme="minorEastAsia" w:hAnsiTheme="minorEastAsia"/>
                <w:szCs w:val="21"/>
              </w:rPr>
              <w:t>≥</w:t>
            </w:r>
            <w:r>
              <w:rPr>
                <w:rFonts w:asciiTheme="minorEastAsia" w:hAnsiTheme="minorEastAsia"/>
                <w:szCs w:val="21"/>
              </w:rPr>
              <w:t>110</w:t>
            </w:r>
            <w:r>
              <w:rPr>
                <w:rFonts w:hint="eastAsia" w:asciiTheme="minorEastAsia" w:hAnsiTheme="minorEastAsia"/>
                <w:szCs w:val="21"/>
              </w:rPr>
              <w:t>T,包转发率≥1</w:t>
            </w:r>
            <w:r>
              <w:rPr>
                <w:rFonts w:asciiTheme="minorEastAsia" w:hAnsiTheme="minorEastAsia"/>
                <w:szCs w:val="21"/>
              </w:rPr>
              <w:t>4</w:t>
            </w:r>
            <w:r>
              <w:rPr>
                <w:rFonts w:hint="eastAsia" w:asciiTheme="minorEastAsia" w:hAnsiTheme="minorEastAsia"/>
                <w:szCs w:val="21"/>
              </w:rPr>
              <w:t>000Mpps，整机可配置端口容量≥1</w:t>
            </w:r>
            <w:r>
              <w:rPr>
                <w:rFonts w:asciiTheme="minorEastAsia" w:hAnsiTheme="minorEastAsia"/>
                <w:szCs w:val="21"/>
              </w:rPr>
              <w:t>.2T</w:t>
            </w:r>
            <w:r>
              <w:rPr>
                <w:rFonts w:hint="eastAsia" w:asciiTheme="minorEastAsia" w:hAnsiTheme="minorEastAsia"/>
                <w:szCs w:val="21"/>
              </w:rPr>
              <w:t>，</w:t>
            </w:r>
            <w:r>
              <w:rPr>
                <w:rFonts w:hint="eastAsia" w:cs="宋体" w:asciiTheme="minorEastAsia" w:hAnsiTheme="minorEastAsia"/>
                <w:szCs w:val="21"/>
              </w:rPr>
              <w:t>设备支持双主控且满配，支持电源冗余且满配，可供使用的业务</w:t>
            </w:r>
            <w:r>
              <w:rPr>
                <w:rFonts w:cs="宋体" w:asciiTheme="minorEastAsia" w:hAnsiTheme="minorEastAsia"/>
                <w:szCs w:val="21"/>
              </w:rPr>
              <w:t>插槽</w:t>
            </w:r>
            <w:r>
              <w:rPr>
                <w:rFonts w:hint="eastAsia" w:cs="宋体" w:asciiTheme="minorEastAsia" w:hAnsiTheme="minorEastAsia"/>
                <w:szCs w:val="21"/>
              </w:rPr>
              <w:t>数（非子卡槽位，不含主控和交换网板槽）≥6（提供官网硬件规格截图证明），要求所有业务板卡及电源、风扇均可热插拔，实配2个千兆单模10KM模块，4个千兆多模模块，2个光转电模块。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cs="宋体" w:asciiTheme="minorEastAsia" w:hAnsiTheme="minorEastAsia"/>
                <w:szCs w:val="21"/>
              </w:rPr>
            </w:pPr>
            <w:r>
              <w:rPr>
                <w:rFonts w:cs="宋体" w:asciiTheme="minorEastAsia" w:hAnsiTheme="minorEastAsia"/>
                <w:szCs w:val="21"/>
              </w:rPr>
              <w:t>硬件特性</w:t>
            </w:r>
          </w:p>
        </w:tc>
        <w:tc>
          <w:tcPr>
            <w:tcW w:w="7952" w:type="dxa"/>
            <w:vAlign w:val="center"/>
          </w:tcPr>
          <w:p>
            <w:pPr>
              <w:rPr>
                <w:rFonts w:cs="宋体" w:asciiTheme="minorEastAsia" w:hAnsiTheme="minorEastAsia"/>
                <w:szCs w:val="21"/>
              </w:rPr>
            </w:pPr>
            <w:r>
              <w:rPr>
                <w:rFonts w:hint="eastAsia" w:cs="宋体" w:asciiTheme="minorEastAsia" w:hAnsiTheme="minorEastAsia"/>
                <w:szCs w:val="21"/>
              </w:rPr>
              <w:t>设备单槽位最大支持200G线速转发不丢包，提供第三方测试报告及运营商用户使用说明。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cs="宋体" w:asciiTheme="minorEastAsia" w:hAnsiTheme="minorEastAsia"/>
                <w:szCs w:val="21"/>
              </w:rPr>
            </w:pPr>
          </w:p>
        </w:tc>
        <w:tc>
          <w:tcPr>
            <w:tcW w:w="7952" w:type="dxa"/>
            <w:vAlign w:val="center"/>
          </w:tcPr>
          <w:p>
            <w:pPr>
              <w:rPr>
                <w:rFonts w:cs="宋体" w:asciiTheme="minorEastAsia" w:hAnsiTheme="minorEastAsia"/>
                <w:szCs w:val="21"/>
              </w:rPr>
            </w:pPr>
            <w:r>
              <w:rPr>
                <w:rFonts w:hint="eastAsia" w:cs="宋体" w:asciiTheme="minorEastAsia" w:hAnsiTheme="minorEastAsia"/>
                <w:szCs w:val="21"/>
              </w:rPr>
              <w:t>设备支持100GE、50GE、25GE、10GE、GE、FE、E1、CPOS等接口类型（提供原厂官网截图）。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cs="宋体" w:asciiTheme="minorEastAsia" w:hAnsiTheme="minorEastAsia"/>
                <w:szCs w:val="21"/>
              </w:rPr>
            </w:pPr>
          </w:p>
        </w:tc>
        <w:tc>
          <w:tcPr>
            <w:tcW w:w="7952" w:type="dxa"/>
            <w:vAlign w:val="center"/>
          </w:tcPr>
          <w:p>
            <w:pPr>
              <w:rPr>
                <w:rFonts w:cs="宋体" w:asciiTheme="minorEastAsia" w:hAnsiTheme="minorEastAsia"/>
                <w:szCs w:val="21"/>
              </w:rPr>
            </w:pPr>
            <w:r>
              <w:rPr>
                <w:rFonts w:hint="eastAsia" w:cs="宋体" w:asciiTheme="minorEastAsia" w:hAnsiTheme="minorEastAsia"/>
                <w:szCs w:val="21"/>
              </w:rPr>
              <w:t>设备的CPU、NP、TM等关键芯片国产化（提供第三方测试报告）。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cs="宋体" w:asciiTheme="minorEastAsia" w:hAnsiTheme="minorEastAsia"/>
                <w:szCs w:val="21"/>
              </w:rPr>
              <w:t>隧道技术</w:t>
            </w:r>
          </w:p>
        </w:tc>
        <w:tc>
          <w:tcPr>
            <w:tcW w:w="7952" w:type="dxa"/>
          </w:tcPr>
          <w:p>
            <w:pPr>
              <w:rPr>
                <w:rFonts w:asciiTheme="minorEastAsia" w:hAnsiTheme="minorEastAsia"/>
                <w:szCs w:val="21"/>
              </w:rPr>
            </w:pPr>
            <w:r>
              <w:rPr>
                <w:rFonts w:hint="eastAsia" w:cs="宋体" w:asciiTheme="minorEastAsia" w:hAnsiTheme="minorEastAsia"/>
                <w:szCs w:val="21"/>
              </w:rPr>
              <w:t>支持VXLAN、智能隧道CBTS等隧道技术。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cs="宋体" w:asciiTheme="minorEastAsia" w:hAnsiTheme="minorEastAsia"/>
                <w:szCs w:val="21"/>
              </w:rPr>
              <w:t>快路由收敛</w:t>
            </w:r>
          </w:p>
        </w:tc>
        <w:tc>
          <w:tcPr>
            <w:tcW w:w="7952" w:type="dxa"/>
          </w:tcPr>
          <w:p>
            <w:pPr>
              <w:rPr>
                <w:rFonts w:asciiTheme="minorEastAsia" w:hAnsiTheme="minorEastAsia"/>
                <w:szCs w:val="21"/>
              </w:rPr>
            </w:pPr>
            <w:r>
              <w:rPr>
                <w:rFonts w:hint="eastAsia" w:cs="宋体" w:asciiTheme="minorEastAsia" w:hAnsiTheme="minorEastAsia"/>
                <w:szCs w:val="21"/>
              </w:rPr>
              <w:t>具备快速IGP路由收敛能力，ISIS路由收敛时间，正切≤400ms，回切不丢包；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asciiTheme="minorEastAsia" w:hAnsiTheme="minorEastAsia"/>
                <w:szCs w:val="21"/>
              </w:rPr>
            </w:pPr>
            <w:r>
              <w:rPr>
                <w:rFonts w:hint="eastAsia" w:cs="宋体" w:asciiTheme="minorEastAsia" w:hAnsiTheme="minorEastAsia"/>
                <w:szCs w:val="21"/>
              </w:rPr>
              <w:t>协议功能</w:t>
            </w:r>
          </w:p>
        </w:tc>
        <w:tc>
          <w:tcPr>
            <w:tcW w:w="7952" w:type="dxa"/>
            <w:vAlign w:val="center"/>
          </w:tcPr>
          <w:p>
            <w:pPr>
              <w:spacing w:line="0" w:lineRule="atLeast"/>
              <w:jc w:val="left"/>
              <w:rPr>
                <w:rFonts w:cs="宋体" w:asciiTheme="minorEastAsia" w:hAnsiTheme="minorEastAsia"/>
                <w:szCs w:val="21"/>
              </w:rPr>
            </w:pPr>
            <w:r>
              <w:rPr>
                <w:rFonts w:hint="eastAsia" w:cs="宋体" w:asciiTheme="minorEastAsia" w:hAnsiTheme="minorEastAsia"/>
                <w:szCs w:val="21"/>
              </w:rPr>
              <w:t>支持RIP、OSPF、IS-IS、BGP等路由协议</w:t>
            </w:r>
          </w:p>
          <w:p>
            <w:pPr>
              <w:spacing w:line="0" w:lineRule="atLeast"/>
              <w:jc w:val="left"/>
              <w:rPr>
                <w:rFonts w:cs="宋体" w:asciiTheme="minorEastAsia" w:hAnsiTheme="minorEastAsia"/>
                <w:szCs w:val="21"/>
              </w:rPr>
            </w:pPr>
            <w:r>
              <w:rPr>
                <w:rFonts w:hint="eastAsia" w:cs="宋体" w:asciiTheme="minorEastAsia" w:hAnsiTheme="minorEastAsia"/>
                <w:szCs w:val="21"/>
              </w:rPr>
              <w:t>支持L2VPN、L3VPN、EVPN等VPN技术</w:t>
            </w:r>
          </w:p>
          <w:p>
            <w:pPr>
              <w:rPr>
                <w:rFonts w:asciiTheme="minorEastAsia" w:hAnsiTheme="minorEastAsia"/>
                <w:szCs w:val="21"/>
              </w:rPr>
            </w:pPr>
            <w:r>
              <w:rPr>
                <w:rFonts w:hint="eastAsia" w:cs="宋体" w:asciiTheme="minorEastAsia" w:hAnsiTheme="minorEastAsia"/>
                <w:szCs w:val="21"/>
              </w:rPr>
              <w:t>支持LDP LSP、RSVP-TE、SR-TE等MPLS技术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vAlign w:val="center"/>
          </w:tcPr>
          <w:p>
            <w:pPr>
              <w:rPr>
                <w:rFonts w:asciiTheme="minorEastAsia" w:hAnsiTheme="minorEastAsia"/>
                <w:szCs w:val="21"/>
              </w:rPr>
            </w:pPr>
            <w:r>
              <w:rPr>
                <w:rFonts w:hint="eastAsia" w:cs="宋体" w:asciiTheme="minorEastAsia" w:hAnsiTheme="minorEastAsia"/>
                <w:szCs w:val="21"/>
              </w:rPr>
              <w:t>支持IPv4路由表容量≥1</w:t>
            </w:r>
            <w:r>
              <w:rPr>
                <w:rFonts w:cs="宋体" w:asciiTheme="minorEastAsia" w:hAnsiTheme="minorEastAsia"/>
                <w:szCs w:val="21"/>
              </w:rPr>
              <w:t>0</w:t>
            </w:r>
            <w:r>
              <w:rPr>
                <w:rFonts w:hint="eastAsia" w:cs="宋体" w:asciiTheme="minorEastAsia" w:hAnsiTheme="minorEastAsia"/>
                <w:szCs w:val="21"/>
              </w:rPr>
              <w:t>M,IPv6路由表容量≥5</w:t>
            </w:r>
            <w:r>
              <w:rPr>
                <w:rFonts w:cs="宋体" w:asciiTheme="minorEastAsia" w:hAnsiTheme="minorEastAsia"/>
                <w:szCs w:val="21"/>
              </w:rPr>
              <w:t>M</w:t>
            </w:r>
            <w:r>
              <w:rPr>
                <w:rFonts w:hint="eastAsia" w:cs="宋体" w:asciiTheme="minorEastAsia" w:hAnsiTheme="minorEastAsia"/>
                <w:szCs w:val="21"/>
              </w:rPr>
              <w:t>，IPv4转发表容量≥4M,IPv6转发表容量≥2</w:t>
            </w:r>
            <w:r>
              <w:rPr>
                <w:rFonts w:cs="宋体" w:asciiTheme="minorEastAsia" w:hAnsiTheme="minorEastAsia"/>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IPv6线速转发不丢包，满足IPv6网络改造要求（提供第三方检测报告）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cs="宋体" w:asciiTheme="minorEastAsia" w:hAnsiTheme="minorEastAsia"/>
                <w:szCs w:val="21"/>
              </w:rPr>
              <w:t>Q</w:t>
            </w:r>
            <w:r>
              <w:rPr>
                <w:rFonts w:cs="宋体" w:asciiTheme="minorEastAsia" w:hAnsiTheme="minorEastAsia"/>
                <w:szCs w:val="21"/>
              </w:rPr>
              <w:t>OS</w:t>
            </w:r>
          </w:p>
        </w:tc>
        <w:tc>
          <w:tcPr>
            <w:tcW w:w="7952" w:type="dxa"/>
          </w:tcPr>
          <w:p>
            <w:pPr>
              <w:rPr>
                <w:rFonts w:asciiTheme="minorEastAsia" w:hAnsiTheme="minorEastAsia"/>
                <w:szCs w:val="21"/>
              </w:rPr>
            </w:pPr>
            <w:r>
              <w:rPr>
                <w:rFonts w:hint="eastAsia" w:cs="宋体" w:asciiTheme="minorEastAsia" w:hAnsiTheme="minorEastAsia"/>
                <w:szCs w:val="21"/>
              </w:rPr>
              <w:t xml:space="preserve">支持5级H-QoS调度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asciiTheme="minorEastAsia" w:hAnsiTheme="minorEastAsia"/>
                <w:szCs w:val="21"/>
              </w:rPr>
            </w:pPr>
            <w:r>
              <w:rPr>
                <w:rFonts w:hint="eastAsia" w:cs="宋体" w:asciiTheme="minorEastAsia" w:hAnsiTheme="minorEastAsia"/>
                <w:szCs w:val="21"/>
              </w:rPr>
              <w:t>可靠性</w:t>
            </w:r>
          </w:p>
        </w:tc>
        <w:tc>
          <w:tcPr>
            <w:tcW w:w="7952" w:type="dxa"/>
          </w:tcPr>
          <w:p>
            <w:pPr>
              <w:rPr>
                <w:rFonts w:asciiTheme="minorEastAsia" w:hAnsiTheme="minorEastAsia"/>
                <w:szCs w:val="21"/>
              </w:rPr>
            </w:pPr>
            <w:r>
              <w:rPr>
                <w:rFonts w:hint="eastAsia" w:cs="宋体" w:asciiTheme="minorEastAsia" w:hAnsiTheme="minorEastAsia"/>
                <w:szCs w:val="21"/>
              </w:rPr>
              <w:t>支持基于硬件的BFD故障探测技术，支持最小发包间隔5ms、支持单臂BFD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支持全面的快速重路由FRR功能IP/IPv6/LDP/TE/VPN/VPNv6 FRR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支持LDP, VRRP, OSPF, ISIS, BGP, VRRP6, OSPFv3, ISIS6, BGP4+,MPLS L3VPN, MPLS TE, PIM SM的NSR（不中断路由技术），主备倒换不丢包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cs="宋体" w:asciiTheme="minorEastAsia" w:hAnsiTheme="minorEastAsia"/>
                <w:szCs w:val="21"/>
              </w:rPr>
              <w:t>增值业务</w:t>
            </w:r>
          </w:p>
        </w:tc>
        <w:tc>
          <w:tcPr>
            <w:tcW w:w="7952" w:type="dxa"/>
          </w:tcPr>
          <w:p>
            <w:pPr>
              <w:rPr>
                <w:rFonts w:asciiTheme="minorEastAsia" w:hAnsiTheme="minorEastAsia"/>
                <w:szCs w:val="21"/>
              </w:rPr>
            </w:pPr>
            <w:r>
              <w:rPr>
                <w:rFonts w:hint="eastAsia" w:cs="宋体" w:asciiTheme="minorEastAsia" w:hAnsiTheme="minorEastAsia"/>
                <w:szCs w:val="21"/>
              </w:rPr>
              <w:t>随板支持Netstream，GRE功能，不需要配置业务卡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cs="宋体" w:asciiTheme="minorEastAsia" w:hAnsiTheme="minorEastAsia"/>
                <w:szCs w:val="21"/>
              </w:rPr>
            </w:pPr>
            <w:r>
              <w:rPr>
                <w:rFonts w:hint="eastAsia" w:cs="宋体" w:asciiTheme="minorEastAsia" w:hAnsiTheme="minorEastAsia"/>
                <w:szCs w:val="21"/>
              </w:rPr>
              <w:t>S</w:t>
            </w:r>
            <w:r>
              <w:rPr>
                <w:rFonts w:cs="宋体" w:asciiTheme="minorEastAsia" w:hAnsiTheme="minorEastAsia"/>
                <w:szCs w:val="21"/>
              </w:rPr>
              <w:t>DN</w:t>
            </w:r>
          </w:p>
        </w:tc>
        <w:tc>
          <w:tcPr>
            <w:tcW w:w="7952" w:type="dxa"/>
          </w:tcPr>
          <w:p>
            <w:pPr>
              <w:rPr>
                <w:rFonts w:cs="宋体" w:asciiTheme="minorEastAsia" w:hAnsiTheme="minorEastAsia"/>
                <w:szCs w:val="21"/>
              </w:rPr>
            </w:pPr>
            <w:r>
              <w:rPr>
                <w:rFonts w:hint="eastAsia" w:cs="宋体" w:asciiTheme="minorEastAsia" w:hAnsiTheme="minorEastAsia"/>
                <w:szCs w:val="21"/>
              </w:rPr>
              <w:t>支持广域网智能调优，支持单域及跨域的VPN端到端自动发放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cs="宋体" w:asciiTheme="minorEastAsia" w:hAnsiTheme="minorEastAsia"/>
                <w:szCs w:val="21"/>
              </w:rPr>
              <w:t>分段路由</w:t>
            </w:r>
          </w:p>
        </w:tc>
        <w:tc>
          <w:tcPr>
            <w:tcW w:w="7952" w:type="dxa"/>
          </w:tcPr>
          <w:p>
            <w:pPr>
              <w:rPr>
                <w:rFonts w:asciiTheme="minorEastAsia" w:hAnsiTheme="minorEastAsia"/>
                <w:szCs w:val="21"/>
              </w:rPr>
            </w:pPr>
            <w:r>
              <w:rPr>
                <w:rFonts w:hint="eastAsia" w:cs="宋体" w:asciiTheme="minorEastAsia" w:hAnsiTheme="minorEastAsia"/>
                <w:szCs w:val="21"/>
              </w:rPr>
              <w:t>支持单域及跨BGP域的Segment Routing技术,支持SRv6，支持SRv6承载VPN业务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asciiTheme="minorEastAsia" w:hAnsiTheme="minorEastAsia"/>
                <w:szCs w:val="21"/>
              </w:rPr>
            </w:pPr>
            <w:r>
              <w:rPr>
                <w:rFonts w:hint="eastAsia" w:cs="宋体" w:asciiTheme="minorEastAsia" w:hAnsiTheme="minorEastAsia"/>
                <w:szCs w:val="21"/>
              </w:rPr>
              <w:t>安全</w:t>
            </w:r>
          </w:p>
        </w:tc>
        <w:tc>
          <w:tcPr>
            <w:tcW w:w="7952" w:type="dxa"/>
          </w:tcPr>
          <w:p>
            <w:pPr>
              <w:rPr>
                <w:rFonts w:asciiTheme="minorEastAsia" w:hAnsiTheme="minorEastAsia"/>
                <w:szCs w:val="21"/>
              </w:rPr>
            </w:pPr>
            <w:r>
              <w:rPr>
                <w:rFonts w:hint="eastAsia" w:cs="宋体" w:asciiTheme="minorEastAsia" w:hAnsiTheme="minorEastAsia"/>
                <w:szCs w:val="21"/>
              </w:rPr>
              <w:t>支持CPU攻击溯源功能，可记录攻击源的MAC、IP等详细字段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▲支持BGP Flow Specification及BGPv6 Flow Specification技术, 支持MACSec加密技术（提供第三方检测报告）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asciiTheme="minorEastAsia" w:hAnsiTheme="minorEastAsia"/>
                <w:szCs w:val="21"/>
              </w:rPr>
            </w:pPr>
            <w:r>
              <w:rPr>
                <w:rFonts w:hint="eastAsia" w:cs="宋体" w:asciiTheme="minorEastAsia" w:hAnsiTheme="minorEastAsia"/>
                <w:szCs w:val="21"/>
              </w:rPr>
              <w:t>系统管理</w:t>
            </w:r>
          </w:p>
        </w:tc>
        <w:tc>
          <w:tcPr>
            <w:tcW w:w="7952" w:type="dxa"/>
          </w:tcPr>
          <w:p>
            <w:pPr>
              <w:rPr>
                <w:rFonts w:asciiTheme="minorEastAsia" w:hAnsiTheme="minorEastAsia"/>
                <w:szCs w:val="21"/>
              </w:rPr>
            </w:pPr>
            <w:r>
              <w:rPr>
                <w:rFonts w:hint="eastAsia" w:cs="宋体" w:asciiTheme="minorEastAsia" w:hAnsiTheme="minorEastAsia"/>
                <w:szCs w:val="21"/>
              </w:rPr>
              <w:t>支持Console、Telnet、SSH等管理方式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支持随流的性能检测技术，即不额外发送检测报文，对用户业务流进行直接的丢包、时延的监测，得到业务端到端或逐跳的丢包和时延信息，支持通过telemetry上送获得的性能数据，</w:t>
            </w:r>
            <w:r>
              <w:rPr>
                <w:rFonts w:cs="宋体" w:asciiTheme="minorEastAsia" w:hAnsiTheme="minorEastAsia"/>
                <w:szCs w:val="21"/>
              </w:rPr>
              <w:t>提供原厂截图等证明材料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cs="宋体" w:asciiTheme="minorEastAsia" w:hAnsiTheme="minorEastAsia"/>
                <w:szCs w:val="21"/>
              </w:rPr>
              <w:t>资质要求</w:t>
            </w:r>
          </w:p>
        </w:tc>
        <w:tc>
          <w:tcPr>
            <w:tcW w:w="7952" w:type="dxa"/>
            <w:vAlign w:val="center"/>
          </w:tcPr>
          <w:p>
            <w:pPr>
              <w:rPr>
                <w:rFonts w:asciiTheme="minorEastAsia" w:hAnsiTheme="minorEastAsia"/>
                <w:szCs w:val="21"/>
              </w:rPr>
            </w:pPr>
            <w:r>
              <w:rPr>
                <w:rFonts w:hint="eastAsia" w:cs="宋体" w:asciiTheme="minorEastAsia" w:hAnsiTheme="minorEastAsia"/>
                <w:szCs w:val="21"/>
              </w:rPr>
              <w:t>投标设备满足9级烈度的抗震等级，须提供工信部抗震检验报告</w:t>
            </w:r>
          </w:p>
        </w:tc>
      </w:tr>
    </w:tbl>
    <w:p/>
    <w:p>
      <w:pPr>
        <w:pStyle w:val="141"/>
        <w:numPr>
          <w:ilvl w:val="3"/>
          <w:numId w:val="7"/>
        </w:numPr>
        <w:tabs>
          <w:tab w:val="clear" w:pos="851"/>
        </w:tabs>
        <w:outlineLvl w:val="4"/>
        <w:rPr>
          <w:rFonts w:ascii="宋体" w:hAnsi="宋体" w:eastAsia="宋体" w:cs="宋体"/>
          <w:color w:val="auto"/>
          <w:sz w:val="24"/>
          <w:szCs w:val="24"/>
        </w:rPr>
      </w:pPr>
      <w:bookmarkStart w:id="149" w:name="_Toc46242014"/>
      <w:r>
        <w:rPr>
          <w:rFonts w:hint="eastAsia" w:ascii="宋体" w:hAnsi="宋体" w:eastAsia="宋体" w:cs="宋体"/>
          <w:color w:val="auto"/>
          <w:sz w:val="24"/>
          <w:szCs w:val="24"/>
        </w:rPr>
        <w:t>核心交换机（韶关，汕头、湛江、江门）</w:t>
      </w:r>
      <w:bookmarkEnd w:id="149"/>
    </w:p>
    <w:tbl>
      <w:tblPr>
        <w:tblStyle w:val="54"/>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8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noWrap/>
            <w:vAlign w:val="center"/>
          </w:tcPr>
          <w:p>
            <w:pPr>
              <w:jc w:val="center"/>
              <w:rPr>
                <w:b/>
                <w:szCs w:val="21"/>
              </w:rPr>
            </w:pPr>
            <w:r>
              <w:rPr>
                <w:rFonts w:hint="eastAsia" w:ascii="宋体" w:hAnsi="宋体"/>
                <w:b/>
                <w:bCs/>
                <w:szCs w:val="21"/>
              </w:rPr>
              <w:t>指标项</w:t>
            </w:r>
          </w:p>
        </w:tc>
        <w:tc>
          <w:tcPr>
            <w:tcW w:w="8729" w:type="dxa"/>
            <w:noWrap/>
            <w:vAlign w:val="center"/>
          </w:tcPr>
          <w:p>
            <w:pPr>
              <w:jc w:val="center"/>
              <w:rPr>
                <w:b/>
                <w:szCs w:val="21"/>
              </w:rPr>
            </w:pPr>
            <w:r>
              <w:rPr>
                <w:rFonts w:hint="eastAsia" w:ascii="宋体" w:hAnsi="宋体"/>
                <w:b/>
                <w:bCs/>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noWrap/>
            <w:vAlign w:val="center"/>
          </w:tcPr>
          <w:p>
            <w:pPr>
              <w:jc w:val="center"/>
              <w:rPr>
                <w:rFonts w:asciiTheme="minorEastAsia" w:hAnsiTheme="minorEastAsia"/>
                <w:szCs w:val="21"/>
              </w:rPr>
            </w:pPr>
            <w:r>
              <w:rPr>
                <w:rFonts w:hint="eastAsia" w:asciiTheme="minorEastAsia" w:hAnsiTheme="minorEastAsia"/>
                <w:szCs w:val="21"/>
              </w:rPr>
              <w:t>性能及配置要求</w:t>
            </w:r>
          </w:p>
        </w:tc>
        <w:tc>
          <w:tcPr>
            <w:tcW w:w="8729" w:type="dxa"/>
            <w:noWrap/>
            <w:vAlign w:val="center"/>
          </w:tcPr>
          <w:p>
            <w:pPr>
              <w:jc w:val="left"/>
              <w:rPr>
                <w:rFonts w:ascii="微软雅黑" w:hAnsi="微软雅黑" w:eastAsia="微软雅黑" w:cs="宋体"/>
                <w:szCs w:val="21"/>
              </w:rPr>
            </w:pPr>
            <w:r>
              <w:rPr>
                <w:rFonts w:hint="eastAsia" w:asciiTheme="minorEastAsia" w:hAnsiTheme="minorEastAsia"/>
                <w:szCs w:val="21"/>
              </w:rPr>
              <w:t>交换容量≥</w:t>
            </w:r>
            <w:r>
              <w:rPr>
                <w:rFonts w:asciiTheme="minorEastAsia" w:hAnsiTheme="minorEastAsia"/>
                <w:szCs w:val="21"/>
              </w:rPr>
              <w:t>200</w:t>
            </w:r>
            <w:r>
              <w:rPr>
                <w:rFonts w:hint="eastAsia" w:asciiTheme="minorEastAsia" w:hAnsiTheme="minorEastAsia"/>
                <w:szCs w:val="21"/>
              </w:rPr>
              <w:t>Tbps，包转发率≥</w:t>
            </w:r>
            <w:r>
              <w:rPr>
                <w:rFonts w:asciiTheme="minorEastAsia" w:hAnsiTheme="minorEastAsia"/>
                <w:szCs w:val="21"/>
              </w:rPr>
              <w:t>14000Mpps</w:t>
            </w:r>
            <w:r>
              <w:rPr>
                <w:rFonts w:hint="eastAsia" w:asciiTheme="minorEastAsia" w:hAnsiTheme="minorEastAsia"/>
                <w:szCs w:val="21"/>
              </w:rPr>
              <w:t>，设备主控引擎与交换网板物理分离，模块化风扇框且冗余，整机业务板槽位数≥</w:t>
            </w:r>
            <w:r>
              <w:rPr>
                <w:rFonts w:asciiTheme="minorEastAsia" w:hAnsiTheme="minorEastAsia"/>
                <w:szCs w:val="21"/>
              </w:rPr>
              <w:t>4</w:t>
            </w:r>
            <w:r>
              <w:rPr>
                <w:rFonts w:hint="eastAsia" w:asciiTheme="minorEastAsia" w:hAnsiTheme="minorEastAsia"/>
                <w:szCs w:val="21"/>
              </w:rPr>
              <w:t>，主控槽位与业务线卡槽位宽度相同为全宽槽位，实配：主控引擎≥2，独立交换网板≥2，电源≥2，万兆光口≥48，万兆多模模块≥4，千兆多模模块≥4，光转电模块≥4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restart"/>
            <w:noWrap/>
            <w:vAlign w:val="center"/>
          </w:tcPr>
          <w:p>
            <w:pPr>
              <w:jc w:val="center"/>
              <w:rPr>
                <w:rFonts w:asciiTheme="minorEastAsia" w:hAnsiTheme="minorEastAsia"/>
                <w:szCs w:val="21"/>
              </w:rPr>
            </w:pPr>
            <w:r>
              <w:rPr>
                <w:rFonts w:hint="eastAsia" w:asciiTheme="minorEastAsia" w:hAnsiTheme="minorEastAsia"/>
                <w:szCs w:val="21"/>
              </w:rPr>
              <w:t>硬件要求</w:t>
            </w:r>
          </w:p>
        </w:tc>
        <w:tc>
          <w:tcPr>
            <w:tcW w:w="8729" w:type="dxa"/>
            <w:noWrap/>
            <w:vAlign w:val="center"/>
          </w:tcPr>
          <w:p>
            <w:pPr>
              <w:rPr>
                <w:rFonts w:asciiTheme="minorEastAsia" w:hAnsiTheme="minorEastAsia"/>
                <w:szCs w:val="21"/>
              </w:rPr>
            </w:pPr>
            <w:r>
              <w:rPr>
                <w:rFonts w:hint="eastAsia" w:asciiTheme="minorEastAsia" w:hAnsiTheme="minorEastAsia"/>
                <w:szCs w:val="21"/>
              </w:rPr>
              <w:t>设备高度≤</w:t>
            </w:r>
            <w:r>
              <w:rPr>
                <w:rFonts w:asciiTheme="minorEastAsia" w:hAnsiTheme="minorEastAsia"/>
                <w:szCs w:val="21"/>
              </w:rPr>
              <w:t>18U</w:t>
            </w:r>
            <w:r>
              <w:rPr>
                <w:rFonts w:hint="eastAsia" w:asciiTheme="minorEastAsia" w:hAnsiTheme="minorEastAsia"/>
                <w:szCs w:val="21"/>
              </w:rPr>
              <w:t>，采用机箱（包括业务板卡区）后出风风道设计（提供设备散热气流流向截图）。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continue"/>
            <w:noWrap/>
            <w:vAlign w:val="center"/>
          </w:tcPr>
          <w:p>
            <w:pPr>
              <w:jc w:val="center"/>
              <w:rPr>
                <w:rFonts w:asciiTheme="minorEastAsia" w:hAnsiTheme="minorEastAsia"/>
                <w:szCs w:val="21"/>
              </w:rPr>
            </w:pPr>
          </w:p>
        </w:tc>
        <w:tc>
          <w:tcPr>
            <w:tcW w:w="8729" w:type="dxa"/>
            <w:noWrap/>
            <w:vAlign w:val="center"/>
          </w:tcPr>
          <w:p>
            <w:pPr>
              <w:rPr>
                <w:rFonts w:asciiTheme="minorEastAsia" w:hAnsiTheme="minorEastAsia"/>
                <w:szCs w:val="21"/>
              </w:rPr>
            </w:pPr>
            <w:r>
              <w:rPr>
                <w:rFonts w:hint="eastAsia" w:asciiTheme="minorEastAsia" w:hAnsiTheme="minorEastAsia"/>
                <w:szCs w:val="21"/>
              </w:rPr>
              <w:t>▲支持独立的硬件监控板卡,控制平面和监控平面物理槽位分离，支持1+1备份，能集中监控板卡、风扇、电源、环境，能调节能耗（提供设备照片）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continue"/>
            <w:noWrap/>
            <w:vAlign w:val="center"/>
          </w:tcPr>
          <w:p>
            <w:pPr>
              <w:jc w:val="center"/>
              <w:rPr>
                <w:rFonts w:asciiTheme="minorEastAsia" w:hAnsiTheme="minorEastAsia"/>
                <w:szCs w:val="21"/>
              </w:rPr>
            </w:pPr>
          </w:p>
        </w:tc>
        <w:tc>
          <w:tcPr>
            <w:tcW w:w="8729" w:type="dxa"/>
            <w:noWrap/>
            <w:vAlign w:val="center"/>
          </w:tcPr>
          <w:p>
            <w:pPr>
              <w:rPr>
                <w:rFonts w:asciiTheme="minorEastAsia" w:hAnsiTheme="minorEastAsia"/>
                <w:szCs w:val="21"/>
              </w:rPr>
            </w:pPr>
            <w:r>
              <w:rPr>
                <w:rFonts w:hint="eastAsia" w:asciiTheme="minorEastAsia" w:hAnsiTheme="minorEastAsia"/>
                <w:szCs w:val="21"/>
              </w:rPr>
              <w:t>▲为安装及日常维护方便，所有可插拔板卡（主控、交换、业务板卡）是前插板，所有走线全部在前面板走线，包括业务和管理线缆，单面维护。（提供设备照片）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restart"/>
            <w:shd w:val="clear" w:color="auto" w:fill="auto"/>
            <w:vAlign w:val="center"/>
          </w:tcPr>
          <w:p>
            <w:pPr>
              <w:jc w:val="center"/>
              <w:rPr>
                <w:rFonts w:asciiTheme="minorEastAsia" w:hAnsiTheme="minorEastAsia"/>
                <w:szCs w:val="21"/>
              </w:rPr>
            </w:pPr>
            <w:r>
              <w:rPr>
                <w:rFonts w:hint="eastAsia" w:asciiTheme="minorEastAsia" w:hAnsiTheme="minorEastAsia"/>
                <w:szCs w:val="21"/>
              </w:rPr>
              <w:t>虚拟化技术</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支持横向虚拟化技术，将多台设备虚拟为一台，支持长距离集群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continue"/>
            <w:shd w:val="clear" w:color="auto" w:fill="auto"/>
            <w:vAlign w:val="center"/>
          </w:tcPr>
          <w:p>
            <w:pPr>
              <w:jc w:val="center"/>
              <w:rPr>
                <w:rFonts w:asciiTheme="minorEastAsia" w:hAnsiTheme="minorEastAsia"/>
                <w:szCs w:val="21"/>
              </w:rPr>
            </w:pP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支持纵向虚拟化技术，支持把交换机和AP虚拟为一台设备（提供第三方测试报告）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无线管理</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支持业务板集成AC功能，业务单板+AC只占用1个业务槽位，实现对AP的接入控制、AP域管理、有线无线用户的统一认证管理，实配不少于4个无线A</w:t>
            </w:r>
            <w:r>
              <w:rPr>
                <w:rFonts w:asciiTheme="minorEastAsia" w:hAnsiTheme="minorEastAsia"/>
                <w:szCs w:val="21"/>
              </w:rPr>
              <w:t>P的管理授权</w:t>
            </w:r>
            <w:r>
              <w:rPr>
                <w:rFonts w:hint="eastAsia"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V</w:t>
            </w:r>
            <w:r>
              <w:rPr>
                <w:rFonts w:asciiTheme="minorEastAsia" w:hAnsiTheme="minorEastAsia"/>
                <w:szCs w:val="21"/>
              </w:rPr>
              <w:t>xLAN</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支持VxLAN功能，支持VxLAN二层网关、三层网关，支持BGP EVPN，实现自动建立隧道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用户管理</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支持标准协议的802.1X/MAC/Portal等认证方式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二层表项</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支持整机MAC地址≥</w:t>
            </w:r>
            <w:r>
              <w:rPr>
                <w:rFonts w:asciiTheme="minorEastAsia" w:hAnsiTheme="minorEastAsia"/>
                <w:szCs w:val="21"/>
              </w:rPr>
              <w:t>512K</w:t>
            </w:r>
            <w:r>
              <w:rPr>
                <w:rFonts w:hint="eastAsia" w:asciiTheme="minorEastAsia" w:hAnsiTheme="minorEastAsia"/>
                <w:szCs w:val="21"/>
              </w:rPr>
              <w:t>，支持ARP表项≥</w:t>
            </w:r>
            <w:r>
              <w:rPr>
                <w:rFonts w:asciiTheme="minorEastAsia" w:hAnsiTheme="minorEastAsia"/>
                <w:szCs w:val="21"/>
              </w:rPr>
              <w:t>256K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VLAN</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支持4K VLAN，支持1：1、N：1 VLAN mapping，支持端口VLAN，支持Voice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二层功能</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支持IEEE 802.1d(STP)、 802.1w(RSTP)、 802.1s(MSTP)，</w:t>
            </w:r>
          </w:p>
          <w:p>
            <w:pPr>
              <w:rPr>
                <w:rFonts w:asciiTheme="minorEastAsia" w:hAnsiTheme="minorEastAsia"/>
                <w:szCs w:val="21"/>
              </w:rPr>
            </w:pPr>
            <w:r>
              <w:rPr>
                <w:rFonts w:hint="eastAsia" w:asciiTheme="minorEastAsia" w:hAnsiTheme="minorEastAsia"/>
                <w:szCs w:val="21"/>
              </w:rPr>
              <w:t>支持VLAN内端口隔离，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I</w:t>
            </w:r>
            <w:r>
              <w:rPr>
                <w:rFonts w:asciiTheme="minorEastAsia" w:hAnsiTheme="minorEastAsia"/>
                <w:szCs w:val="21"/>
              </w:rPr>
              <w:t>P</w:t>
            </w:r>
            <w:r>
              <w:rPr>
                <w:rFonts w:hint="eastAsia" w:asciiTheme="minorEastAsia" w:hAnsiTheme="minorEastAsia"/>
                <w:szCs w:val="21"/>
              </w:rPr>
              <w:t>路由</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支持静态</w:t>
            </w:r>
            <w:r>
              <w:rPr>
                <w:rFonts w:asciiTheme="minorEastAsia" w:hAnsiTheme="minorEastAsia"/>
                <w:szCs w:val="21"/>
              </w:rPr>
              <w:t>路由、</w:t>
            </w:r>
            <w:r>
              <w:rPr>
                <w:rFonts w:hint="eastAsia" w:asciiTheme="minorEastAsia" w:hAnsiTheme="minorEastAsia"/>
                <w:szCs w:val="21"/>
              </w:rPr>
              <w:t>R</w:t>
            </w:r>
            <w:r>
              <w:rPr>
                <w:rFonts w:asciiTheme="minorEastAsia" w:hAnsiTheme="minorEastAsia"/>
                <w:szCs w:val="21"/>
              </w:rPr>
              <w:t>IP</w:t>
            </w:r>
            <w:r>
              <w:rPr>
                <w:rFonts w:hint="eastAsia" w:asciiTheme="minorEastAsia" w:hAnsiTheme="minorEastAsia"/>
                <w:szCs w:val="21"/>
              </w:rPr>
              <w:t>、RIP</w:t>
            </w:r>
            <w:r>
              <w:rPr>
                <w:rFonts w:asciiTheme="minorEastAsia" w:hAnsiTheme="minorEastAsia"/>
                <w:szCs w:val="21"/>
              </w:rPr>
              <w:t>ng</w:t>
            </w:r>
            <w:r>
              <w:rPr>
                <w:rFonts w:hint="eastAsia" w:asciiTheme="minorEastAsia" w:hAnsiTheme="minorEastAsia"/>
                <w:szCs w:val="21"/>
              </w:rPr>
              <w:t>、OSPF、OSPF</w:t>
            </w:r>
            <w:r>
              <w:rPr>
                <w:rFonts w:asciiTheme="minorEastAsia" w:hAnsiTheme="minorEastAsia"/>
                <w:szCs w:val="21"/>
              </w:rPr>
              <w:t>v3、</w:t>
            </w:r>
            <w:r>
              <w:rPr>
                <w:rFonts w:hint="eastAsia" w:asciiTheme="minorEastAsia" w:hAnsiTheme="minorEastAsia"/>
                <w:szCs w:val="21"/>
              </w:rPr>
              <w:t>BGP、BGP</w:t>
            </w:r>
            <w:r>
              <w:rPr>
                <w:rFonts w:asciiTheme="minorEastAsia" w:hAnsiTheme="minorEastAsia"/>
                <w:szCs w:val="21"/>
              </w:rPr>
              <w:t>4+</w:t>
            </w:r>
            <w:r>
              <w:rPr>
                <w:rFonts w:hint="eastAsia" w:asciiTheme="minorEastAsia" w:hAnsiTheme="minorEastAsia"/>
                <w:szCs w:val="21"/>
              </w:rPr>
              <w:t>、ISIS、ISIS</w:t>
            </w:r>
            <w:r>
              <w:rPr>
                <w:rFonts w:asciiTheme="minorEastAsia" w:hAnsiTheme="minorEastAsia"/>
                <w:szCs w:val="21"/>
              </w:rPr>
              <w:t xml:space="preserve">v6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组播协议</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 xml:space="preserve">支持IGMPv1/v2/v3、IGMP v1/v2/v3 Snooping  </w:t>
            </w:r>
          </w:p>
          <w:p>
            <w:pPr>
              <w:rPr>
                <w:rFonts w:asciiTheme="minorEastAsia" w:hAnsiTheme="minorEastAsia"/>
                <w:szCs w:val="21"/>
              </w:rPr>
            </w:pPr>
            <w:r>
              <w:rPr>
                <w:rFonts w:hint="eastAsia" w:asciiTheme="minorEastAsia" w:hAnsiTheme="minorEastAsia"/>
                <w:szCs w:val="21"/>
              </w:rPr>
              <w:t xml:space="preserve">支持 PIM DM、PIM SM、PIM SSM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IPv6</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支持IPv6过渡技术，IPv4/IPv6双栈、6over4隧道、4 over6隧道</w:t>
            </w:r>
          </w:p>
          <w:p>
            <w:pPr>
              <w:rPr>
                <w:rFonts w:asciiTheme="minorEastAsia" w:hAnsiTheme="minorEastAsia"/>
                <w:szCs w:val="21"/>
              </w:rPr>
            </w:pPr>
            <w:r>
              <w:rPr>
                <w:rFonts w:hint="eastAsia" w:asciiTheme="minorEastAsia" w:hAnsiTheme="minorEastAsia"/>
                <w:szCs w:val="21"/>
              </w:rPr>
              <w:t>支持IPv6 DHCP SERVER、IPv6 DHCP Relay、DHCP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MPLS</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支持MPLS L3VPN、MPLS L2VPN(VPLS，VLL)、MPLS-TE、MPLS QoS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asciiTheme="minorEastAsia" w:hAnsiTheme="minorEastAsia"/>
                <w:szCs w:val="21"/>
              </w:rPr>
              <w:t>访问控制</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支持基于第二层、第三层和第四层的ACL</w:t>
            </w:r>
          </w:p>
          <w:p>
            <w:pPr>
              <w:rPr>
                <w:rFonts w:asciiTheme="minorEastAsia" w:hAnsiTheme="minorEastAsia"/>
                <w:szCs w:val="21"/>
              </w:rPr>
            </w:pPr>
            <w:r>
              <w:rPr>
                <w:rFonts w:hint="eastAsia" w:asciiTheme="minorEastAsia" w:hAnsiTheme="minorEastAsia"/>
                <w:szCs w:val="21"/>
              </w:rPr>
              <w:t>支持VLAN ACL和IPv6 ACL</w:t>
            </w:r>
          </w:p>
          <w:p>
            <w:pPr>
              <w:rPr>
                <w:rFonts w:asciiTheme="minorEastAsia" w:hAnsiTheme="minorEastAsia"/>
                <w:szCs w:val="21"/>
              </w:rPr>
            </w:pPr>
            <w:r>
              <w:rPr>
                <w:rFonts w:hint="eastAsia" w:asciiTheme="minorEastAsia" w:hAnsiTheme="minorEastAsia"/>
                <w:szCs w:val="21"/>
              </w:rPr>
              <w:t>支持IP/Port/MAC的绑定功能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QoS</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支持PQ、WRR、DRR、PQ+WRR、PQ+DRR等调度方式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安全性</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支持DHCP Snooping trust， 防止私设DHCP服务器</w:t>
            </w:r>
          </w:p>
          <w:p>
            <w:pPr>
              <w:rPr>
                <w:rFonts w:asciiTheme="minorEastAsia" w:hAnsiTheme="minorEastAsia"/>
                <w:szCs w:val="21"/>
              </w:rPr>
            </w:pPr>
            <w:r>
              <w:rPr>
                <w:rFonts w:hint="eastAsia" w:asciiTheme="minorEastAsia" w:hAnsiTheme="minorEastAsia"/>
                <w:szCs w:val="21"/>
              </w:rPr>
              <w:t>支持DHCP snooping binding table (DAI, IP source guard)，防止ARP攻击、DDOS攻击、中间人攻击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restart"/>
            <w:shd w:val="clear" w:color="auto" w:fill="auto"/>
            <w:vAlign w:val="center"/>
          </w:tcPr>
          <w:p>
            <w:pPr>
              <w:jc w:val="center"/>
              <w:rPr>
                <w:rFonts w:asciiTheme="minorEastAsia" w:hAnsiTheme="minorEastAsia"/>
                <w:szCs w:val="21"/>
              </w:rPr>
            </w:pPr>
            <w:r>
              <w:rPr>
                <w:rFonts w:hint="eastAsia" w:asciiTheme="minorEastAsia" w:hAnsiTheme="minorEastAsia"/>
                <w:szCs w:val="21"/>
              </w:rPr>
              <w:t>可靠性</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支持真实业务流的实时检测</w:t>
            </w:r>
            <w:r>
              <w:rPr>
                <w:rFonts w:asciiTheme="minorEastAsia" w:hAnsiTheme="minorEastAsia"/>
                <w:szCs w:val="21"/>
              </w:rPr>
              <w:t>技术</w:t>
            </w:r>
            <w:r>
              <w:rPr>
                <w:rFonts w:hint="eastAsia" w:asciiTheme="minorEastAsia" w:hAnsiTheme="minorEastAsia"/>
                <w:szCs w:val="21"/>
              </w:rPr>
              <w:t>，实现对IP网络的精确丢包监控和快速故障定界能力（提供第三方测试报告）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continue"/>
            <w:shd w:val="clear" w:color="auto" w:fill="auto"/>
            <w:vAlign w:val="center"/>
          </w:tcPr>
          <w:p>
            <w:pPr>
              <w:jc w:val="center"/>
              <w:rPr>
                <w:rFonts w:asciiTheme="minorEastAsia" w:hAnsiTheme="minorEastAsia"/>
                <w:szCs w:val="21"/>
              </w:rPr>
            </w:pP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支持G.8032标准以太</w:t>
            </w:r>
            <w:r>
              <w:rPr>
                <w:rFonts w:asciiTheme="minorEastAsia" w:hAnsiTheme="minorEastAsia"/>
                <w:szCs w:val="21"/>
              </w:rPr>
              <w:t>环网</w:t>
            </w:r>
            <w:r>
              <w:rPr>
                <w:rFonts w:hint="eastAsia" w:asciiTheme="minorEastAsia" w:hAnsiTheme="minorEastAsia"/>
                <w:szCs w:val="21"/>
              </w:rPr>
              <w:t>协议，倒换时间≤50ms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continue"/>
            <w:shd w:val="clear" w:color="auto" w:fill="auto"/>
            <w:vAlign w:val="center"/>
          </w:tcPr>
          <w:p>
            <w:pPr>
              <w:jc w:val="center"/>
              <w:rPr>
                <w:rFonts w:asciiTheme="minorEastAsia" w:hAnsiTheme="minorEastAsia"/>
                <w:szCs w:val="21"/>
              </w:rPr>
            </w:pP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支持硬件BFD/OAM，3.3ms稳定均匀发包检测，提高设备的可靠性，实现对故障的快速感知。（提供第三方测试报告）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restart"/>
            <w:shd w:val="clear" w:color="auto" w:fill="auto"/>
            <w:vAlign w:val="center"/>
          </w:tcPr>
          <w:p>
            <w:pPr>
              <w:jc w:val="center"/>
              <w:rPr>
                <w:rFonts w:asciiTheme="minorEastAsia" w:hAnsiTheme="minorEastAsia"/>
                <w:szCs w:val="21"/>
              </w:rPr>
            </w:pPr>
            <w:r>
              <w:rPr>
                <w:rFonts w:hint="eastAsia" w:asciiTheme="minorEastAsia" w:hAnsiTheme="minorEastAsia"/>
                <w:szCs w:val="21"/>
              </w:rPr>
              <w:t>管理特性</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支持SNMP V1/V2/V3、Telnet、RMON、SSHV2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vMerge w:val="continue"/>
            <w:shd w:val="clear" w:color="auto" w:fill="auto"/>
            <w:vAlign w:val="center"/>
          </w:tcPr>
          <w:p>
            <w:pPr>
              <w:jc w:val="center"/>
              <w:rPr>
                <w:rFonts w:asciiTheme="minorEastAsia" w:hAnsiTheme="minorEastAsia"/>
                <w:szCs w:val="21"/>
              </w:rPr>
            </w:pP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支持通过命令行、中文图形化配置软件等方式进行配置和管理，支持WEB网管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3" w:type="dxa"/>
            <w:shd w:val="clear" w:color="auto" w:fill="auto"/>
            <w:vAlign w:val="center"/>
          </w:tcPr>
          <w:p>
            <w:pPr>
              <w:jc w:val="center"/>
              <w:rPr>
                <w:rFonts w:asciiTheme="minorEastAsia" w:hAnsiTheme="minorEastAsia"/>
                <w:szCs w:val="21"/>
              </w:rPr>
            </w:pPr>
            <w:r>
              <w:rPr>
                <w:rFonts w:hint="eastAsia" w:asciiTheme="minorEastAsia" w:hAnsiTheme="minorEastAsia"/>
                <w:szCs w:val="21"/>
              </w:rPr>
              <w:t>绿色节能</w:t>
            </w:r>
          </w:p>
        </w:tc>
        <w:tc>
          <w:tcPr>
            <w:tcW w:w="8729" w:type="dxa"/>
            <w:shd w:val="clear" w:color="auto" w:fill="auto"/>
            <w:vAlign w:val="center"/>
          </w:tcPr>
          <w:p>
            <w:pPr>
              <w:rPr>
                <w:rFonts w:asciiTheme="minorEastAsia" w:hAnsiTheme="minorEastAsia"/>
                <w:szCs w:val="21"/>
              </w:rPr>
            </w:pPr>
            <w:r>
              <w:rPr>
                <w:rFonts w:hint="eastAsia" w:asciiTheme="minorEastAsia" w:hAnsiTheme="minorEastAsia"/>
                <w:szCs w:val="21"/>
              </w:rPr>
              <w:t>支持能效以太网功能，IEEE 802.3az</w:t>
            </w:r>
          </w:p>
        </w:tc>
      </w:tr>
    </w:tbl>
    <w:p>
      <w:pPr>
        <w:pStyle w:val="141"/>
        <w:numPr>
          <w:ilvl w:val="3"/>
          <w:numId w:val="7"/>
        </w:numPr>
        <w:tabs>
          <w:tab w:val="clear" w:pos="851"/>
        </w:tabs>
        <w:outlineLvl w:val="4"/>
        <w:rPr>
          <w:rFonts w:ascii="宋体" w:hAnsi="宋体" w:eastAsia="宋体" w:cs="宋体"/>
          <w:color w:val="auto"/>
          <w:sz w:val="24"/>
          <w:szCs w:val="24"/>
        </w:rPr>
      </w:pPr>
      <w:bookmarkStart w:id="150" w:name="_Toc46242015"/>
      <w:r>
        <w:rPr>
          <w:rFonts w:hint="eastAsia" w:ascii="宋体" w:hAnsi="宋体" w:eastAsia="宋体" w:cs="宋体"/>
          <w:color w:val="auto"/>
          <w:sz w:val="24"/>
          <w:szCs w:val="24"/>
        </w:rPr>
        <w:t>无线WIFI设备</w:t>
      </w:r>
      <w:bookmarkEnd w:id="150"/>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Align w:val="center"/>
          </w:tcPr>
          <w:p>
            <w:pPr>
              <w:jc w:val="center"/>
              <w:rPr>
                <w:rFonts w:asciiTheme="minorEastAsia" w:hAnsiTheme="minorEastAsia"/>
                <w:sz w:val="18"/>
                <w:szCs w:val="18"/>
              </w:rPr>
            </w:pPr>
            <w:r>
              <w:rPr>
                <w:rFonts w:hint="eastAsia" w:ascii="宋体" w:hAnsi="宋体"/>
                <w:b/>
                <w:bCs/>
                <w:szCs w:val="21"/>
              </w:rPr>
              <w:t>指标项</w:t>
            </w:r>
          </w:p>
        </w:tc>
        <w:tc>
          <w:tcPr>
            <w:tcW w:w="7911" w:type="dxa"/>
            <w:vAlign w:val="center"/>
          </w:tcPr>
          <w:p>
            <w:pPr>
              <w:jc w:val="center"/>
              <w:rPr>
                <w:rFonts w:asciiTheme="minorEastAsia" w:hAnsiTheme="minorEastAsia"/>
                <w:sz w:val="18"/>
                <w:szCs w:val="18"/>
              </w:rPr>
            </w:pPr>
            <w:r>
              <w:rPr>
                <w:rFonts w:hint="eastAsia" w:ascii="宋体" w:hAnsi="宋体"/>
                <w:b/>
                <w:bCs/>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restart"/>
            <w:vAlign w:val="center"/>
          </w:tcPr>
          <w:p>
            <w:pPr>
              <w:jc w:val="center"/>
              <w:rPr>
                <w:rFonts w:asciiTheme="minorEastAsia" w:hAnsiTheme="minorEastAsia"/>
                <w:szCs w:val="21"/>
              </w:rPr>
            </w:pPr>
            <w:r>
              <w:rPr>
                <w:rFonts w:hint="eastAsia" w:asciiTheme="minorEastAsia" w:hAnsiTheme="minorEastAsia"/>
                <w:szCs w:val="21"/>
              </w:rPr>
              <w:t>协议标准</w:t>
            </w:r>
          </w:p>
        </w:tc>
        <w:tc>
          <w:tcPr>
            <w:tcW w:w="7911" w:type="dxa"/>
            <w:vAlign w:val="center"/>
          </w:tcPr>
          <w:p>
            <w:pPr>
              <w:rPr>
                <w:rFonts w:asciiTheme="minorEastAsia" w:hAnsiTheme="minorEastAsia"/>
                <w:szCs w:val="21"/>
              </w:rPr>
            </w:pPr>
            <w:r>
              <w:rPr>
                <w:rFonts w:hint="eastAsia" w:asciiTheme="minorEastAsia" w:hAnsiTheme="minorEastAsia"/>
                <w:szCs w:val="21"/>
              </w:rPr>
              <w:t>支持2.4GHz/5GHz双频段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continue"/>
            <w:vAlign w:val="center"/>
          </w:tcPr>
          <w:p>
            <w:pPr>
              <w:jc w:val="center"/>
              <w:rPr>
                <w:rFonts w:asciiTheme="minorEastAsia" w:hAnsiTheme="minorEastAsia"/>
                <w:szCs w:val="21"/>
              </w:rPr>
            </w:pPr>
          </w:p>
        </w:tc>
        <w:tc>
          <w:tcPr>
            <w:tcW w:w="7911" w:type="dxa"/>
            <w:vAlign w:val="center"/>
          </w:tcPr>
          <w:p>
            <w:pPr>
              <w:rPr>
                <w:rFonts w:asciiTheme="minorEastAsia" w:hAnsiTheme="minorEastAsia"/>
                <w:szCs w:val="21"/>
              </w:rPr>
            </w:pPr>
            <w:r>
              <w:rPr>
                <w:rFonts w:hint="eastAsia" w:asciiTheme="minorEastAsia" w:hAnsiTheme="minorEastAsia"/>
                <w:szCs w:val="21"/>
              </w:rPr>
              <w:t>产品所有射频均支持802.11ax标准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restart"/>
            <w:vAlign w:val="center"/>
          </w:tcPr>
          <w:p>
            <w:pPr>
              <w:jc w:val="center"/>
              <w:rPr>
                <w:rFonts w:asciiTheme="minorEastAsia" w:hAnsiTheme="minorEastAsia"/>
                <w:szCs w:val="21"/>
              </w:rPr>
            </w:pPr>
            <w:r>
              <w:rPr>
                <w:rFonts w:hint="eastAsia" w:asciiTheme="minorEastAsia" w:hAnsiTheme="minorEastAsia"/>
                <w:szCs w:val="21"/>
              </w:rPr>
              <w:t>射频</w:t>
            </w:r>
          </w:p>
        </w:tc>
        <w:tc>
          <w:tcPr>
            <w:tcW w:w="7911" w:type="dxa"/>
          </w:tcPr>
          <w:p>
            <w:pPr>
              <w:rPr>
                <w:rFonts w:asciiTheme="minorEastAsia" w:hAnsiTheme="minorEastAsia"/>
                <w:szCs w:val="21"/>
              </w:rPr>
            </w:pPr>
            <w:r>
              <w:rPr>
                <w:rFonts w:hint="eastAsia" w:asciiTheme="minorEastAsia" w:hAnsiTheme="minorEastAsia"/>
                <w:szCs w:val="21"/>
              </w:rPr>
              <w:t>整机最大支持8条空间流，整机最大速率≥5.95Gbps，提供官网链接及截图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continue"/>
            <w:vAlign w:val="center"/>
          </w:tcPr>
          <w:p>
            <w:pPr>
              <w:jc w:val="center"/>
              <w:rPr>
                <w:rFonts w:asciiTheme="minorEastAsia" w:hAnsiTheme="minorEastAsia"/>
                <w:szCs w:val="21"/>
              </w:rPr>
            </w:pPr>
          </w:p>
        </w:tc>
        <w:tc>
          <w:tcPr>
            <w:tcW w:w="7911" w:type="dxa"/>
          </w:tcPr>
          <w:p>
            <w:pPr>
              <w:rPr>
                <w:rFonts w:asciiTheme="minorEastAsia" w:hAnsiTheme="minorEastAsia"/>
                <w:szCs w:val="21"/>
              </w:rPr>
            </w:pPr>
            <w:r>
              <w:rPr>
                <w:rFonts w:hint="eastAsia" w:asciiTheme="minorEastAsia" w:hAnsiTheme="minorEastAsia"/>
                <w:szCs w:val="21"/>
              </w:rPr>
              <w:t>▲产品支持软件定义射频功能，可根据用户需求在双射频和三射频之间做灵活切换；提供官网链接及截图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continue"/>
            <w:vAlign w:val="center"/>
          </w:tcPr>
          <w:p>
            <w:pPr>
              <w:jc w:val="center"/>
              <w:rPr>
                <w:rFonts w:asciiTheme="minorEastAsia" w:hAnsiTheme="minorEastAsia"/>
                <w:szCs w:val="21"/>
              </w:rPr>
            </w:pPr>
          </w:p>
        </w:tc>
        <w:tc>
          <w:tcPr>
            <w:tcW w:w="7911" w:type="dxa"/>
          </w:tcPr>
          <w:p>
            <w:pPr>
              <w:rPr>
                <w:rFonts w:asciiTheme="minorEastAsia" w:hAnsiTheme="minorEastAsia"/>
                <w:szCs w:val="21"/>
              </w:rPr>
            </w:pPr>
            <w:r>
              <w:rPr>
                <w:rFonts w:hint="eastAsia" w:asciiTheme="minorEastAsia" w:hAnsiTheme="minorEastAsia"/>
                <w:szCs w:val="21"/>
              </w:rPr>
              <w:t>支持1个独立扫描射频，实现2.4G/5G全频谱扫描，实时检测识别非法设备和干扰源。如果不支持，需要额外配置一个双频放装AP来实现该功能。提供官网链接及截图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Align w:val="center"/>
          </w:tcPr>
          <w:p>
            <w:pPr>
              <w:jc w:val="center"/>
              <w:rPr>
                <w:rFonts w:asciiTheme="minorEastAsia" w:hAnsiTheme="minorEastAsia"/>
                <w:szCs w:val="21"/>
              </w:rPr>
            </w:pPr>
            <w:r>
              <w:rPr>
                <w:rFonts w:hint="eastAsia" w:asciiTheme="minorEastAsia" w:hAnsiTheme="minorEastAsia"/>
                <w:szCs w:val="21"/>
              </w:rPr>
              <w:t>接口</w:t>
            </w:r>
          </w:p>
        </w:tc>
        <w:tc>
          <w:tcPr>
            <w:tcW w:w="7911" w:type="dxa"/>
          </w:tcPr>
          <w:p>
            <w:pPr>
              <w:rPr>
                <w:rFonts w:asciiTheme="minorEastAsia" w:hAnsiTheme="minorEastAsia"/>
                <w:szCs w:val="21"/>
              </w:rPr>
            </w:pPr>
            <w:r>
              <w:rPr>
                <w:rFonts w:hint="eastAsia" w:asciiTheme="minorEastAsia" w:hAnsiTheme="minorEastAsia"/>
                <w:szCs w:val="21"/>
              </w:rPr>
              <w:t>支持1个5G自适应以太口，1个GE口，提供官网链接及截图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Align w:val="center"/>
          </w:tcPr>
          <w:p>
            <w:pPr>
              <w:jc w:val="center"/>
              <w:rPr>
                <w:rFonts w:asciiTheme="minorEastAsia" w:hAnsiTheme="minorEastAsia"/>
                <w:szCs w:val="21"/>
              </w:rPr>
            </w:pPr>
            <w:r>
              <w:rPr>
                <w:rFonts w:hint="eastAsia" w:asciiTheme="minorEastAsia" w:hAnsiTheme="minorEastAsia"/>
                <w:szCs w:val="21"/>
              </w:rPr>
              <w:t>天线</w:t>
            </w:r>
          </w:p>
        </w:tc>
        <w:tc>
          <w:tcPr>
            <w:tcW w:w="7911" w:type="dxa"/>
          </w:tcPr>
          <w:p>
            <w:pPr>
              <w:rPr>
                <w:rFonts w:asciiTheme="minorEastAsia" w:hAnsiTheme="minorEastAsia"/>
                <w:szCs w:val="21"/>
              </w:rPr>
            </w:pPr>
            <w:r>
              <w:rPr>
                <w:rFonts w:hint="eastAsia" w:asciiTheme="minorEastAsia" w:hAnsiTheme="minorEastAsia"/>
                <w:szCs w:val="21"/>
              </w:rPr>
              <w:t>内置智能天线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Align w:val="center"/>
          </w:tcPr>
          <w:p>
            <w:pPr>
              <w:jc w:val="center"/>
              <w:rPr>
                <w:rFonts w:asciiTheme="minorEastAsia" w:hAnsiTheme="minorEastAsia"/>
                <w:szCs w:val="21"/>
              </w:rPr>
            </w:pPr>
            <w:r>
              <w:rPr>
                <w:rFonts w:hint="eastAsia" w:asciiTheme="minorEastAsia" w:hAnsiTheme="minorEastAsia"/>
                <w:szCs w:val="21"/>
              </w:rPr>
              <w:t>蓝牙</w:t>
            </w:r>
          </w:p>
        </w:tc>
        <w:tc>
          <w:tcPr>
            <w:tcW w:w="7911" w:type="dxa"/>
          </w:tcPr>
          <w:p>
            <w:pPr>
              <w:rPr>
                <w:rFonts w:asciiTheme="minorEastAsia" w:hAnsiTheme="minorEastAsia"/>
                <w:szCs w:val="21"/>
              </w:rPr>
            </w:pPr>
            <w:r>
              <w:rPr>
                <w:rFonts w:hint="eastAsia" w:asciiTheme="minorEastAsia" w:hAnsiTheme="minorEastAsia"/>
                <w:szCs w:val="21"/>
              </w:rPr>
              <w:t>内置蓝牙5.0，可实现蓝牙终端精确定位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Align w:val="center"/>
          </w:tcPr>
          <w:p>
            <w:pPr>
              <w:jc w:val="center"/>
              <w:rPr>
                <w:rFonts w:asciiTheme="minorEastAsia" w:hAnsiTheme="minorEastAsia"/>
                <w:szCs w:val="21"/>
              </w:rPr>
            </w:pPr>
            <w:r>
              <w:rPr>
                <w:rFonts w:hint="eastAsia" w:asciiTheme="minorEastAsia" w:hAnsiTheme="minorEastAsia"/>
                <w:szCs w:val="21"/>
              </w:rPr>
              <w:t>IOT扩展</w:t>
            </w:r>
          </w:p>
        </w:tc>
        <w:tc>
          <w:tcPr>
            <w:tcW w:w="7911" w:type="dxa"/>
          </w:tcPr>
          <w:p>
            <w:pPr>
              <w:rPr>
                <w:rFonts w:asciiTheme="minorEastAsia" w:hAnsiTheme="minorEastAsia"/>
                <w:szCs w:val="21"/>
              </w:rPr>
            </w:pPr>
            <w:r>
              <w:rPr>
                <w:rFonts w:hint="eastAsia" w:asciiTheme="minorEastAsia" w:hAnsiTheme="minorEastAsia"/>
                <w:szCs w:val="21"/>
              </w:rPr>
              <w:t>▲支持内置扩展物联网模块，可以扩展支持Zigbee/RFID/Thread，提供官网链接及截图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Align w:val="center"/>
          </w:tcPr>
          <w:p>
            <w:pPr>
              <w:jc w:val="center"/>
              <w:rPr>
                <w:rFonts w:asciiTheme="minorEastAsia" w:hAnsiTheme="minorEastAsia"/>
                <w:szCs w:val="21"/>
              </w:rPr>
            </w:pPr>
            <w:r>
              <w:rPr>
                <w:rFonts w:hint="eastAsia" w:asciiTheme="minorEastAsia" w:hAnsiTheme="minorEastAsia"/>
                <w:szCs w:val="21"/>
              </w:rPr>
              <w:t>工作温度</w:t>
            </w:r>
          </w:p>
        </w:tc>
        <w:tc>
          <w:tcPr>
            <w:tcW w:w="7911" w:type="dxa"/>
          </w:tcPr>
          <w:p>
            <w:pPr>
              <w:rPr>
                <w:rFonts w:asciiTheme="minorEastAsia" w:hAnsiTheme="minorEastAsia"/>
                <w:szCs w:val="21"/>
              </w:rPr>
            </w:pPr>
            <w:r>
              <w:rPr>
                <w:rFonts w:hint="eastAsia" w:asciiTheme="minorEastAsia" w:hAnsiTheme="minorEastAsia"/>
                <w:szCs w:val="21"/>
              </w:rPr>
              <w:t>工作温度-10°C~50°C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restart"/>
            <w:vAlign w:val="center"/>
          </w:tcPr>
          <w:p>
            <w:pPr>
              <w:jc w:val="center"/>
              <w:rPr>
                <w:rFonts w:asciiTheme="minorEastAsia" w:hAnsiTheme="minorEastAsia"/>
                <w:szCs w:val="21"/>
              </w:rPr>
            </w:pPr>
            <w:r>
              <w:rPr>
                <w:rFonts w:hint="eastAsia" w:asciiTheme="minorEastAsia" w:hAnsiTheme="minorEastAsia"/>
                <w:szCs w:val="21"/>
              </w:rPr>
              <w:t>功能特性</w:t>
            </w:r>
          </w:p>
        </w:tc>
        <w:tc>
          <w:tcPr>
            <w:tcW w:w="7911" w:type="dxa"/>
          </w:tcPr>
          <w:p>
            <w:pPr>
              <w:rPr>
                <w:rFonts w:asciiTheme="minorEastAsia" w:hAnsiTheme="minorEastAsia"/>
                <w:szCs w:val="21"/>
              </w:rPr>
            </w:pPr>
            <w:r>
              <w:rPr>
                <w:rFonts w:hint="eastAsia" w:asciiTheme="minorEastAsia" w:hAnsiTheme="minorEastAsia"/>
                <w:szCs w:val="21"/>
              </w:rPr>
              <w:t>支持AP零配置，AP可以通过DHCP、DNS方式自动注册到无线控制器AC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continue"/>
            <w:vAlign w:val="center"/>
          </w:tcPr>
          <w:p>
            <w:pPr>
              <w:jc w:val="center"/>
              <w:rPr>
                <w:rFonts w:asciiTheme="minorEastAsia" w:hAnsiTheme="minorEastAsia"/>
                <w:szCs w:val="21"/>
              </w:rPr>
            </w:pPr>
          </w:p>
        </w:tc>
        <w:tc>
          <w:tcPr>
            <w:tcW w:w="7911" w:type="dxa"/>
          </w:tcPr>
          <w:p>
            <w:pPr>
              <w:rPr>
                <w:rFonts w:asciiTheme="minorEastAsia" w:hAnsiTheme="minorEastAsia"/>
                <w:szCs w:val="21"/>
              </w:rPr>
            </w:pPr>
            <w:r>
              <w:rPr>
                <w:rFonts w:hint="eastAsia" w:asciiTheme="minorEastAsia" w:hAnsiTheme="minorEastAsia"/>
                <w:szCs w:val="21"/>
              </w:rPr>
              <w:t>支持AP本地转发（又称直接转发）时，应用识别和QOS分类，针对业界常用的Skypes、QQ、微信等应用，能显著提升语音质量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Merge w:val="continue"/>
            <w:vAlign w:val="center"/>
          </w:tcPr>
          <w:p>
            <w:pPr>
              <w:jc w:val="center"/>
              <w:rPr>
                <w:rFonts w:asciiTheme="minorEastAsia" w:hAnsiTheme="minorEastAsia"/>
                <w:szCs w:val="21"/>
              </w:rPr>
            </w:pPr>
          </w:p>
        </w:tc>
        <w:tc>
          <w:tcPr>
            <w:tcW w:w="7911" w:type="dxa"/>
          </w:tcPr>
          <w:p>
            <w:pPr>
              <w:rPr>
                <w:rFonts w:asciiTheme="minorEastAsia" w:hAnsiTheme="minorEastAsia"/>
                <w:szCs w:val="21"/>
              </w:rPr>
            </w:pPr>
            <w:r>
              <w:rPr>
                <w:rFonts w:hint="eastAsia" w:asciiTheme="minorEastAsia" w:hAnsiTheme="minorEastAsia"/>
                <w:szCs w:val="21"/>
              </w:rPr>
              <w:t>支持云管理模式，在不更换硬件的情况下，可支持切换到云模式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1" w:type="dxa"/>
            <w:vAlign w:val="center"/>
          </w:tcPr>
          <w:p>
            <w:pPr>
              <w:jc w:val="center"/>
              <w:rPr>
                <w:rFonts w:asciiTheme="minorEastAsia" w:hAnsiTheme="minorEastAsia"/>
                <w:szCs w:val="21"/>
              </w:rPr>
            </w:pPr>
            <w:r>
              <w:rPr>
                <w:rFonts w:hint="eastAsia" w:asciiTheme="minorEastAsia" w:hAnsiTheme="minorEastAsia"/>
                <w:szCs w:val="21"/>
              </w:rPr>
              <w:t>资质要求</w:t>
            </w:r>
          </w:p>
        </w:tc>
        <w:tc>
          <w:tcPr>
            <w:tcW w:w="7911" w:type="dxa"/>
          </w:tcPr>
          <w:p>
            <w:pPr>
              <w:rPr>
                <w:rFonts w:asciiTheme="minorEastAsia" w:hAnsiTheme="minorEastAsia"/>
                <w:szCs w:val="21"/>
              </w:rPr>
            </w:pPr>
            <w:r>
              <w:rPr>
                <w:rFonts w:hint="eastAsia" w:asciiTheme="minorEastAsia" w:hAnsiTheme="minorEastAsia"/>
                <w:szCs w:val="21"/>
              </w:rPr>
              <w:t>提供无委会认证，并且在其官网可查</w:t>
            </w:r>
          </w:p>
        </w:tc>
      </w:tr>
    </w:tbl>
    <w:p>
      <w:pPr>
        <w:pStyle w:val="141"/>
        <w:numPr>
          <w:ilvl w:val="3"/>
          <w:numId w:val="7"/>
        </w:numPr>
        <w:tabs>
          <w:tab w:val="clear" w:pos="851"/>
        </w:tabs>
        <w:outlineLvl w:val="4"/>
        <w:rPr>
          <w:rFonts w:ascii="宋体" w:hAnsi="宋体" w:eastAsia="宋体" w:cs="宋体"/>
          <w:color w:val="auto"/>
          <w:sz w:val="24"/>
          <w:szCs w:val="24"/>
        </w:rPr>
      </w:pPr>
      <w:bookmarkStart w:id="151" w:name="_Toc46242016"/>
      <w:r>
        <w:rPr>
          <w:rFonts w:hint="eastAsia" w:ascii="宋体" w:hAnsi="宋体" w:eastAsia="宋体" w:cs="宋体"/>
          <w:color w:val="auto"/>
          <w:sz w:val="24"/>
          <w:szCs w:val="24"/>
        </w:rPr>
        <w:t>2</w:t>
      </w:r>
      <w:r>
        <w:rPr>
          <w:rFonts w:ascii="宋体" w:hAnsi="宋体" w:eastAsia="宋体" w:cs="宋体"/>
          <w:color w:val="auto"/>
          <w:sz w:val="24"/>
          <w:szCs w:val="24"/>
        </w:rPr>
        <w:t>4</w:t>
      </w:r>
      <w:r>
        <w:rPr>
          <w:rFonts w:hint="eastAsia" w:ascii="宋体" w:hAnsi="宋体" w:eastAsia="宋体" w:cs="宋体"/>
          <w:color w:val="auto"/>
          <w:sz w:val="24"/>
          <w:szCs w:val="24"/>
        </w:rPr>
        <w:t>口P</w:t>
      </w:r>
      <w:r>
        <w:rPr>
          <w:rFonts w:ascii="宋体" w:hAnsi="宋体" w:eastAsia="宋体" w:cs="宋体"/>
          <w:color w:val="auto"/>
          <w:sz w:val="24"/>
          <w:szCs w:val="24"/>
        </w:rPr>
        <w:t>OE交换机</w:t>
      </w:r>
      <w:bookmarkEnd w:id="151"/>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7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Align w:val="center"/>
          </w:tcPr>
          <w:p>
            <w:pPr>
              <w:jc w:val="center"/>
              <w:rPr>
                <w:rFonts w:asciiTheme="minorEastAsia" w:hAnsiTheme="minorEastAsia"/>
                <w:sz w:val="18"/>
                <w:szCs w:val="18"/>
              </w:rPr>
            </w:pPr>
            <w:r>
              <w:rPr>
                <w:rFonts w:hint="eastAsia" w:ascii="宋体" w:hAnsi="宋体"/>
                <w:b/>
                <w:bCs/>
                <w:szCs w:val="21"/>
              </w:rPr>
              <w:t>指标项</w:t>
            </w:r>
          </w:p>
        </w:tc>
        <w:tc>
          <w:tcPr>
            <w:tcW w:w="7954" w:type="dxa"/>
            <w:vAlign w:val="center"/>
          </w:tcPr>
          <w:p>
            <w:pPr>
              <w:jc w:val="center"/>
              <w:rPr>
                <w:rFonts w:cs="Arial" w:asciiTheme="minorEastAsia" w:hAnsiTheme="minorEastAsia"/>
                <w:sz w:val="18"/>
                <w:szCs w:val="18"/>
              </w:rPr>
            </w:pPr>
            <w:r>
              <w:rPr>
                <w:rFonts w:hint="eastAsia" w:ascii="宋体" w:hAnsi="宋体"/>
                <w:b/>
                <w:bCs/>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Align w:val="center"/>
          </w:tcPr>
          <w:p>
            <w:pPr>
              <w:jc w:val="center"/>
              <w:rPr>
                <w:rFonts w:asciiTheme="minorEastAsia" w:hAnsiTheme="minorEastAsia"/>
                <w:szCs w:val="21"/>
              </w:rPr>
            </w:pPr>
            <w:r>
              <w:rPr>
                <w:rFonts w:hint="eastAsia" w:asciiTheme="minorEastAsia" w:hAnsiTheme="minorEastAsia"/>
                <w:szCs w:val="21"/>
              </w:rPr>
              <w:t>性能要求</w:t>
            </w:r>
          </w:p>
        </w:tc>
        <w:tc>
          <w:tcPr>
            <w:tcW w:w="7954" w:type="dxa"/>
          </w:tcPr>
          <w:p>
            <w:pPr>
              <w:rPr>
                <w:rFonts w:asciiTheme="minorEastAsia" w:hAnsiTheme="minorEastAsia"/>
                <w:szCs w:val="21"/>
              </w:rPr>
            </w:pPr>
            <w:r>
              <w:rPr>
                <w:rFonts w:asciiTheme="minorEastAsia" w:hAnsiTheme="minorEastAsia"/>
                <w:szCs w:val="21"/>
              </w:rPr>
              <w:t>交换容量≥336G</w:t>
            </w:r>
            <w:r>
              <w:rPr>
                <w:rFonts w:hint="eastAsia" w:asciiTheme="minorEastAsia" w:hAnsiTheme="minorEastAsia"/>
                <w:szCs w:val="21"/>
              </w:rPr>
              <w:t>bps，包转发率</w:t>
            </w:r>
            <w:r>
              <w:rPr>
                <w:rFonts w:asciiTheme="minorEastAsia" w:hAnsiTheme="minorEastAsia"/>
                <w:szCs w:val="21"/>
              </w:rPr>
              <w:t>≥108Mpps</w:t>
            </w:r>
            <w:r>
              <w:rPr>
                <w:rFonts w:hint="eastAsia"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Align w:val="center"/>
          </w:tcPr>
          <w:p>
            <w:pPr>
              <w:jc w:val="center"/>
              <w:rPr>
                <w:rFonts w:asciiTheme="minorEastAsia" w:hAnsiTheme="minorEastAsia"/>
                <w:szCs w:val="21"/>
              </w:rPr>
            </w:pPr>
            <w:r>
              <w:rPr>
                <w:rFonts w:hint="eastAsia" w:asciiTheme="minorEastAsia" w:hAnsiTheme="minorEastAsia"/>
                <w:szCs w:val="21"/>
              </w:rPr>
              <w:t>配置要求</w:t>
            </w:r>
          </w:p>
        </w:tc>
        <w:tc>
          <w:tcPr>
            <w:tcW w:w="7954" w:type="dxa"/>
          </w:tcPr>
          <w:p>
            <w:pPr>
              <w:rPr>
                <w:rFonts w:asciiTheme="minorEastAsia" w:hAnsiTheme="minorEastAsia"/>
                <w:szCs w:val="21"/>
              </w:rPr>
            </w:pPr>
            <w:r>
              <w:rPr>
                <w:rFonts w:asciiTheme="minorEastAsia" w:hAnsiTheme="minorEastAsia"/>
                <w:szCs w:val="21"/>
              </w:rPr>
              <w:t>千兆电口</w:t>
            </w:r>
            <w:r>
              <w:rPr>
                <w:rFonts w:hint="eastAsia" w:asciiTheme="minorEastAsia" w:hAnsiTheme="minorEastAsia"/>
                <w:szCs w:val="21"/>
              </w:rPr>
              <w:t>≥</w:t>
            </w:r>
            <w:r>
              <w:rPr>
                <w:rFonts w:asciiTheme="minorEastAsia" w:hAnsiTheme="minorEastAsia"/>
                <w:szCs w:val="21"/>
              </w:rPr>
              <w:t>24，万兆SFP+</w:t>
            </w:r>
            <w:r>
              <w:rPr>
                <w:rFonts w:hint="eastAsia" w:asciiTheme="minorEastAsia" w:hAnsiTheme="minorEastAsia"/>
                <w:szCs w:val="21"/>
              </w:rPr>
              <w:t>≥4个，万兆多模模块≥2，支持802.3</w:t>
            </w:r>
            <w:r>
              <w:rPr>
                <w:rFonts w:asciiTheme="minorEastAsia" w:hAnsiTheme="minorEastAsia"/>
                <w:szCs w:val="21"/>
              </w:rPr>
              <w:t xml:space="preserve">at </w:t>
            </w:r>
            <w:r>
              <w:rPr>
                <w:rFonts w:hint="eastAsia" w:asciiTheme="minorEastAsia" w:hAnsiTheme="minorEastAsia"/>
                <w:szCs w:val="21"/>
              </w:rPr>
              <w:t>POE+功能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Align w:val="center"/>
          </w:tcPr>
          <w:p>
            <w:pPr>
              <w:jc w:val="center"/>
              <w:rPr>
                <w:rFonts w:asciiTheme="minorEastAsia" w:hAnsiTheme="minorEastAsia"/>
                <w:szCs w:val="21"/>
              </w:rPr>
            </w:pPr>
            <w:r>
              <w:rPr>
                <w:rFonts w:asciiTheme="minorEastAsia" w:hAnsiTheme="minorEastAsia"/>
                <w:szCs w:val="21"/>
              </w:rPr>
              <w:t>POE</w:t>
            </w:r>
          </w:p>
        </w:tc>
        <w:tc>
          <w:tcPr>
            <w:tcW w:w="7954" w:type="dxa"/>
          </w:tcPr>
          <w:p>
            <w:pPr>
              <w:rPr>
                <w:rFonts w:asciiTheme="minorEastAsia" w:hAnsiTheme="minorEastAsia"/>
                <w:szCs w:val="21"/>
              </w:rPr>
            </w:pPr>
            <w:r>
              <w:rPr>
                <w:rFonts w:hint="eastAsia" w:asciiTheme="minorEastAsia" w:hAnsiTheme="minorEastAsia"/>
                <w:szCs w:val="21"/>
              </w:rPr>
              <w:t>支持快速P</w:t>
            </w:r>
            <w:r>
              <w:rPr>
                <w:rFonts w:asciiTheme="minorEastAsia" w:hAnsiTheme="minorEastAsia"/>
                <w:szCs w:val="21"/>
              </w:rPr>
              <w:t>OE功能</w:t>
            </w:r>
            <w:r>
              <w:rPr>
                <w:rFonts w:hint="eastAsia" w:asciiTheme="minorEastAsia" w:hAnsiTheme="minorEastAsia"/>
                <w:szCs w:val="21"/>
              </w:rPr>
              <w:t>，当交换机电源上电时，支持秒级实现对</w:t>
            </w:r>
            <w:r>
              <w:rPr>
                <w:rFonts w:asciiTheme="minorEastAsia" w:hAnsiTheme="minorEastAsia"/>
                <w:szCs w:val="21"/>
              </w:rPr>
              <w:t>PD设备</w:t>
            </w:r>
            <w:r>
              <w:rPr>
                <w:rFonts w:hint="eastAsia" w:asciiTheme="minorEastAsia" w:hAnsiTheme="minorEastAsia"/>
                <w:szCs w:val="21"/>
              </w:rPr>
              <w:t>的供电（提供第三方检测报告）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Align w:val="center"/>
          </w:tcPr>
          <w:p>
            <w:pPr>
              <w:jc w:val="center"/>
              <w:rPr>
                <w:rFonts w:asciiTheme="minorEastAsia" w:hAnsiTheme="minorEastAsia"/>
                <w:szCs w:val="21"/>
              </w:rPr>
            </w:pPr>
            <w:r>
              <w:rPr>
                <w:rFonts w:hint="eastAsia" w:asciiTheme="minorEastAsia" w:hAnsiTheme="minorEastAsia"/>
                <w:szCs w:val="21"/>
              </w:rPr>
              <w:t>二层功能</w:t>
            </w:r>
          </w:p>
        </w:tc>
        <w:tc>
          <w:tcPr>
            <w:tcW w:w="7954" w:type="dxa"/>
          </w:tcPr>
          <w:p>
            <w:pPr>
              <w:rPr>
                <w:rFonts w:asciiTheme="minorEastAsia" w:hAnsiTheme="minorEastAsia"/>
                <w:szCs w:val="21"/>
              </w:rPr>
            </w:pPr>
            <w:r>
              <w:rPr>
                <w:rFonts w:hint="eastAsia" w:asciiTheme="minorEastAsia" w:hAnsiTheme="minorEastAsia"/>
                <w:szCs w:val="21"/>
              </w:rPr>
              <w:t>支持</w:t>
            </w:r>
            <w:r>
              <w:rPr>
                <w:rFonts w:asciiTheme="minorEastAsia" w:hAnsiTheme="minorEastAsia"/>
                <w:szCs w:val="21"/>
              </w:rPr>
              <w:t>MAC</w:t>
            </w:r>
            <w:r>
              <w:rPr>
                <w:rFonts w:hint="eastAsia" w:asciiTheme="minorEastAsia" w:hAnsiTheme="minorEastAsia"/>
                <w:szCs w:val="21"/>
              </w:rPr>
              <w:t>地址≥16K，支持ARP表项≥</w:t>
            </w:r>
            <w:r>
              <w:rPr>
                <w:rFonts w:asciiTheme="minorEastAsia" w:hAnsiTheme="minorEastAsia"/>
                <w:szCs w:val="21"/>
              </w:rPr>
              <w:t>4</w:t>
            </w:r>
            <w:r>
              <w:rPr>
                <w:rFonts w:hint="eastAsia" w:asciiTheme="minorEastAsia" w:hAnsiTheme="minorEastAsia"/>
                <w:szCs w:val="21"/>
              </w:rPr>
              <w:t>K（提供第三方检测报告）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Merge w:val="restart"/>
            <w:vAlign w:val="center"/>
          </w:tcPr>
          <w:p>
            <w:pPr>
              <w:jc w:val="center"/>
              <w:rPr>
                <w:rFonts w:asciiTheme="minorEastAsia" w:hAnsiTheme="minorEastAsia"/>
                <w:szCs w:val="21"/>
              </w:rPr>
            </w:pPr>
            <w:r>
              <w:rPr>
                <w:rFonts w:hint="eastAsia" w:asciiTheme="minorEastAsia" w:hAnsiTheme="minorEastAsia"/>
                <w:szCs w:val="21"/>
              </w:rPr>
              <w:t>三层功能</w:t>
            </w:r>
          </w:p>
        </w:tc>
        <w:tc>
          <w:tcPr>
            <w:tcW w:w="7954" w:type="dxa"/>
          </w:tcPr>
          <w:p>
            <w:pPr>
              <w:rPr>
                <w:rFonts w:asciiTheme="minorEastAsia" w:hAnsiTheme="minorEastAsia"/>
                <w:szCs w:val="21"/>
              </w:rPr>
            </w:pPr>
            <w:r>
              <w:rPr>
                <w:rFonts w:hint="eastAsia" w:asciiTheme="minorEastAsia" w:hAnsiTheme="minorEastAsia"/>
                <w:szCs w:val="21"/>
              </w:rPr>
              <w:t>支持RIP、RIPng、OSP</w:t>
            </w:r>
            <w:r>
              <w:rPr>
                <w:rFonts w:asciiTheme="minorEastAsia" w:hAnsiTheme="minorEastAsia"/>
                <w:szCs w:val="21"/>
              </w:rPr>
              <w:t>F</w:t>
            </w:r>
            <w:r>
              <w:rPr>
                <w:rFonts w:hint="eastAsia" w:asciiTheme="minorEastAsia" w:hAnsiTheme="minorEastAsia"/>
                <w:szCs w:val="21"/>
              </w:rPr>
              <w:t>、O</w:t>
            </w:r>
            <w:r>
              <w:rPr>
                <w:rFonts w:asciiTheme="minorEastAsia" w:hAnsiTheme="minorEastAsia"/>
                <w:szCs w:val="21"/>
              </w:rPr>
              <w:t>SPFv3路由协议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Merge w:val="continue"/>
            <w:vAlign w:val="center"/>
          </w:tcPr>
          <w:p>
            <w:pPr>
              <w:jc w:val="center"/>
              <w:rPr>
                <w:rFonts w:asciiTheme="minorEastAsia" w:hAnsiTheme="minorEastAsia"/>
                <w:szCs w:val="21"/>
              </w:rPr>
            </w:pPr>
          </w:p>
        </w:tc>
        <w:tc>
          <w:tcPr>
            <w:tcW w:w="7954" w:type="dxa"/>
          </w:tcPr>
          <w:p>
            <w:pPr>
              <w:rPr>
                <w:rFonts w:asciiTheme="minorEastAsia" w:hAnsiTheme="minorEastAsia"/>
                <w:szCs w:val="21"/>
              </w:rPr>
            </w:pPr>
            <w:r>
              <w:rPr>
                <w:rFonts w:hint="eastAsia" w:asciiTheme="minorEastAsia" w:hAnsiTheme="minorEastAsia"/>
                <w:szCs w:val="21"/>
              </w:rPr>
              <w:t>支持I</w:t>
            </w:r>
            <w:r>
              <w:rPr>
                <w:rFonts w:asciiTheme="minorEastAsia" w:hAnsiTheme="minorEastAsia"/>
                <w:szCs w:val="21"/>
              </w:rPr>
              <w:t>P</w:t>
            </w:r>
            <w:r>
              <w:rPr>
                <w:rFonts w:hint="eastAsia" w:asciiTheme="minorEastAsia" w:hAnsiTheme="minorEastAsia"/>
                <w:szCs w:val="21"/>
              </w:rPr>
              <w:t>v4 FIB表项</w:t>
            </w:r>
            <w:r>
              <w:rPr>
                <w:rFonts w:asciiTheme="minorEastAsia" w:hAnsiTheme="minorEastAsia"/>
                <w:szCs w:val="21"/>
              </w:rPr>
              <w:t>≥4K</w:t>
            </w:r>
            <w:r>
              <w:rPr>
                <w:rFonts w:hint="eastAsia" w:asciiTheme="minorEastAsia" w:hAnsiTheme="minorEastAsia"/>
                <w:szCs w:val="21"/>
              </w:rPr>
              <w:t>（提供第三方检测报告）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Align w:val="center"/>
          </w:tcPr>
          <w:p>
            <w:pPr>
              <w:jc w:val="center"/>
              <w:rPr>
                <w:rFonts w:asciiTheme="minorEastAsia" w:hAnsiTheme="minorEastAsia"/>
                <w:szCs w:val="21"/>
              </w:rPr>
            </w:pPr>
            <w:r>
              <w:rPr>
                <w:rFonts w:asciiTheme="minorEastAsia" w:hAnsiTheme="minorEastAsia"/>
                <w:szCs w:val="21"/>
              </w:rPr>
              <w:t>组播</w:t>
            </w:r>
          </w:p>
        </w:tc>
        <w:tc>
          <w:tcPr>
            <w:tcW w:w="7954" w:type="dxa"/>
          </w:tcPr>
          <w:p>
            <w:pPr>
              <w:widowControl/>
              <w:spacing w:before="46" w:beforeLines="15" w:after="46" w:afterLines="15"/>
              <w:textAlignment w:val="baseline"/>
              <w:rPr>
                <w:rFonts w:asciiTheme="minorEastAsia" w:hAnsiTheme="minorEastAsia"/>
                <w:szCs w:val="21"/>
              </w:rPr>
            </w:pPr>
            <w:r>
              <w:rPr>
                <w:rFonts w:hint="eastAsia" w:asciiTheme="minorEastAsia" w:hAnsiTheme="minorEastAsia"/>
                <w:szCs w:val="21"/>
              </w:rPr>
              <w:t>支持IGMP v1/v2/v3 Snooping</w:t>
            </w:r>
          </w:p>
          <w:p>
            <w:pPr>
              <w:spacing w:before="46" w:beforeLines="15" w:after="46" w:afterLines="15"/>
              <w:textAlignment w:val="baseline"/>
              <w:rPr>
                <w:rFonts w:asciiTheme="minorEastAsia" w:hAnsiTheme="minorEastAsia"/>
                <w:szCs w:val="21"/>
              </w:rPr>
            </w:pPr>
            <w:r>
              <w:rPr>
                <w:rFonts w:asciiTheme="minorEastAsia" w:hAnsiTheme="minorEastAsia"/>
                <w:szCs w:val="21"/>
              </w:rPr>
              <w:t>支持VLAN内组播转发和组播多VLAN复制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Merge w:val="restart"/>
            <w:vAlign w:val="center"/>
          </w:tcPr>
          <w:p>
            <w:pPr>
              <w:jc w:val="center"/>
              <w:rPr>
                <w:rFonts w:asciiTheme="minorEastAsia" w:hAnsiTheme="minorEastAsia"/>
                <w:szCs w:val="21"/>
              </w:rPr>
            </w:pPr>
            <w:r>
              <w:rPr>
                <w:rFonts w:asciiTheme="minorEastAsia" w:hAnsiTheme="minorEastAsia"/>
                <w:szCs w:val="21"/>
              </w:rPr>
              <w:t>安全</w:t>
            </w:r>
          </w:p>
        </w:tc>
        <w:tc>
          <w:tcPr>
            <w:tcW w:w="7954" w:type="dxa"/>
          </w:tcPr>
          <w:p>
            <w:pPr>
              <w:rPr>
                <w:rFonts w:asciiTheme="minorEastAsia" w:hAnsiTheme="minorEastAsia"/>
                <w:szCs w:val="21"/>
              </w:rPr>
            </w:pPr>
            <w:r>
              <w:rPr>
                <w:rFonts w:hint="eastAsia" w:asciiTheme="minorEastAsia" w:hAnsiTheme="minorEastAsia"/>
                <w:szCs w:val="21"/>
              </w:rPr>
              <w:t>支持C</w:t>
            </w:r>
            <w:r>
              <w:rPr>
                <w:rFonts w:asciiTheme="minorEastAsia" w:hAnsiTheme="minorEastAsia"/>
                <w:szCs w:val="21"/>
              </w:rPr>
              <w:t>PU</w:t>
            </w:r>
            <w:r>
              <w:rPr>
                <w:rFonts w:hint="eastAsia" w:asciiTheme="minorEastAsia" w:hAnsiTheme="minorEastAsia"/>
                <w:szCs w:val="21"/>
              </w:rPr>
              <w:t>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Merge w:val="continue"/>
            <w:vAlign w:val="center"/>
          </w:tcPr>
          <w:p>
            <w:pPr>
              <w:jc w:val="center"/>
              <w:rPr>
                <w:rFonts w:asciiTheme="minorEastAsia" w:hAnsiTheme="minorEastAsia"/>
                <w:szCs w:val="21"/>
              </w:rPr>
            </w:pPr>
          </w:p>
        </w:tc>
        <w:tc>
          <w:tcPr>
            <w:tcW w:w="7954" w:type="dxa"/>
            <w:vAlign w:val="center"/>
          </w:tcPr>
          <w:p>
            <w:pPr>
              <w:rPr>
                <w:rFonts w:asciiTheme="minorEastAsia" w:hAnsiTheme="minorEastAsia"/>
                <w:szCs w:val="21"/>
              </w:rPr>
            </w:pPr>
            <w:r>
              <w:rPr>
                <w:rFonts w:hint="eastAsia" w:asciiTheme="minorEastAsia" w:hAnsiTheme="minorEastAsia"/>
                <w:szCs w:val="21"/>
              </w:rPr>
              <w:t xml:space="preserve">支持DHCP </w:t>
            </w:r>
            <w:r>
              <w:rPr>
                <w:rFonts w:asciiTheme="minorEastAsia" w:hAnsiTheme="minorEastAsia"/>
                <w:szCs w:val="21"/>
              </w:rPr>
              <w:t>S</w:t>
            </w:r>
            <w:r>
              <w:rPr>
                <w:rFonts w:hint="eastAsia" w:asciiTheme="minorEastAsia" w:hAnsiTheme="minorEastAsia"/>
                <w:szCs w:val="21"/>
              </w:rPr>
              <w:t>nooping、</w:t>
            </w:r>
            <w:r>
              <w:rPr>
                <w:rFonts w:asciiTheme="minorEastAsia" w:hAnsiTheme="minorEastAsia"/>
                <w:szCs w:val="21"/>
              </w:rPr>
              <w:t>DHCPv6 Snooping功能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Align w:val="center"/>
          </w:tcPr>
          <w:p>
            <w:pPr>
              <w:jc w:val="center"/>
              <w:rPr>
                <w:rFonts w:asciiTheme="minorEastAsia" w:hAnsiTheme="minorEastAsia"/>
                <w:szCs w:val="21"/>
              </w:rPr>
            </w:pPr>
            <w:r>
              <w:rPr>
                <w:rFonts w:hint="eastAsia" w:asciiTheme="minorEastAsia" w:hAnsiTheme="minorEastAsia"/>
                <w:szCs w:val="21"/>
              </w:rPr>
              <w:t>虚拟化</w:t>
            </w:r>
          </w:p>
        </w:tc>
        <w:tc>
          <w:tcPr>
            <w:tcW w:w="7954" w:type="dxa"/>
            <w:vAlign w:val="center"/>
          </w:tcPr>
          <w:p>
            <w:pPr>
              <w:rPr>
                <w:rFonts w:asciiTheme="minorEastAsia" w:hAnsiTheme="minorEastAsia"/>
                <w:szCs w:val="21"/>
              </w:rPr>
            </w:pPr>
            <w:r>
              <w:rPr>
                <w:rFonts w:hint="eastAsia" w:asciiTheme="minorEastAsia" w:hAnsiTheme="minorEastAsia"/>
                <w:szCs w:val="21"/>
              </w:rPr>
              <w:t>支持纵向虚拟化，</w:t>
            </w:r>
            <w:r>
              <w:rPr>
                <w:rFonts w:asciiTheme="minorEastAsia" w:hAnsiTheme="minorEastAsia"/>
                <w:szCs w:val="21"/>
              </w:rPr>
              <w:t>作为</w:t>
            </w:r>
            <w:r>
              <w:rPr>
                <w:rFonts w:hint="eastAsia" w:asciiTheme="minorEastAsia" w:hAnsiTheme="minorEastAsia"/>
                <w:szCs w:val="21"/>
              </w:rPr>
              <w:t>纵向</w:t>
            </w:r>
            <w:r>
              <w:rPr>
                <w:rFonts w:asciiTheme="minorEastAsia" w:hAnsiTheme="minorEastAsia"/>
                <w:szCs w:val="21"/>
              </w:rPr>
              <w:t>子节点</w:t>
            </w:r>
            <w:r>
              <w:rPr>
                <w:rFonts w:hint="eastAsia" w:asciiTheme="minorEastAsia" w:hAnsiTheme="minorEastAsia"/>
                <w:szCs w:val="21"/>
              </w:rPr>
              <w:t>零配置即</w:t>
            </w:r>
            <w:r>
              <w:rPr>
                <w:rFonts w:asciiTheme="minorEastAsia" w:hAnsiTheme="minorEastAsia"/>
                <w:szCs w:val="21"/>
              </w:rPr>
              <w:t>插即用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Merge w:val="restart"/>
            <w:vAlign w:val="center"/>
          </w:tcPr>
          <w:p>
            <w:pPr>
              <w:jc w:val="center"/>
              <w:rPr>
                <w:rFonts w:asciiTheme="minorEastAsia" w:hAnsiTheme="minorEastAsia"/>
                <w:szCs w:val="21"/>
              </w:rPr>
            </w:pPr>
            <w:r>
              <w:rPr>
                <w:rFonts w:hint="eastAsia" w:asciiTheme="minorEastAsia" w:hAnsiTheme="minorEastAsia"/>
                <w:szCs w:val="21"/>
              </w:rPr>
              <w:t>管理维护</w:t>
            </w:r>
          </w:p>
        </w:tc>
        <w:tc>
          <w:tcPr>
            <w:tcW w:w="7954" w:type="dxa"/>
          </w:tcPr>
          <w:p>
            <w:pPr>
              <w:rPr>
                <w:rFonts w:asciiTheme="minorEastAsia" w:hAnsiTheme="minorEastAsia"/>
                <w:szCs w:val="21"/>
              </w:rPr>
            </w:pPr>
            <w:r>
              <w:rPr>
                <w:rFonts w:hint="eastAsia" w:asciiTheme="minorEastAsia" w:hAnsiTheme="minorEastAsia"/>
                <w:szCs w:val="21"/>
              </w:rPr>
              <w:t>支持Telemetry技术，配合网络分析组件通过智能故障识别算法对网络数据进行分析，精准展现网络实时状态。（提供官网功能截图）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8" w:type="dxa"/>
            <w:vMerge w:val="continue"/>
            <w:vAlign w:val="center"/>
          </w:tcPr>
          <w:p>
            <w:pPr>
              <w:jc w:val="center"/>
              <w:rPr>
                <w:rFonts w:asciiTheme="minorEastAsia" w:hAnsiTheme="minorEastAsia"/>
                <w:szCs w:val="21"/>
              </w:rPr>
            </w:pPr>
          </w:p>
        </w:tc>
        <w:tc>
          <w:tcPr>
            <w:tcW w:w="7954" w:type="dxa"/>
          </w:tcPr>
          <w:p>
            <w:pPr>
              <w:rPr>
                <w:rFonts w:asciiTheme="minorEastAsia" w:hAnsiTheme="minorEastAsia"/>
                <w:szCs w:val="21"/>
              </w:rPr>
            </w:pPr>
            <w:r>
              <w:rPr>
                <w:rFonts w:hint="eastAsia" w:asciiTheme="minorEastAsia" w:hAnsiTheme="minorEastAsia"/>
                <w:szCs w:val="21"/>
              </w:rPr>
              <w:t>支持音视频业务的智能运维，将设备作为监控节点周期统计并上报音视频业务类指标参数至网络分析组件引擎，由网络分析组件引擎结合多个节点的监控结果，对音视频业务质量类故障进行快速定界。（提供官网功能截图）</w:t>
            </w:r>
          </w:p>
        </w:tc>
      </w:tr>
    </w:tbl>
    <w:p>
      <w:pPr>
        <w:pStyle w:val="141"/>
        <w:numPr>
          <w:ilvl w:val="3"/>
          <w:numId w:val="7"/>
        </w:numPr>
        <w:tabs>
          <w:tab w:val="clear" w:pos="851"/>
        </w:tabs>
        <w:outlineLvl w:val="4"/>
        <w:rPr>
          <w:rFonts w:ascii="宋体" w:hAnsi="宋体" w:eastAsia="宋体" w:cs="宋体"/>
          <w:color w:val="auto"/>
          <w:sz w:val="24"/>
          <w:szCs w:val="24"/>
        </w:rPr>
      </w:pPr>
      <w:bookmarkStart w:id="152" w:name="_Toc46242017"/>
      <w:r>
        <w:rPr>
          <w:rFonts w:hint="eastAsia" w:ascii="宋体" w:hAnsi="宋体" w:eastAsia="宋体" w:cs="宋体"/>
          <w:color w:val="auto"/>
          <w:sz w:val="24"/>
          <w:szCs w:val="24"/>
        </w:rPr>
        <w:t>2</w:t>
      </w:r>
      <w:r>
        <w:rPr>
          <w:rFonts w:ascii="宋体" w:hAnsi="宋体" w:eastAsia="宋体" w:cs="宋体"/>
          <w:color w:val="auto"/>
          <w:sz w:val="24"/>
          <w:szCs w:val="24"/>
        </w:rPr>
        <w:t>4</w:t>
      </w:r>
      <w:r>
        <w:rPr>
          <w:rFonts w:hint="eastAsia" w:ascii="宋体" w:hAnsi="宋体" w:eastAsia="宋体" w:cs="宋体"/>
          <w:color w:val="auto"/>
          <w:sz w:val="24"/>
          <w:szCs w:val="24"/>
        </w:rPr>
        <w:t>口接入交换机</w:t>
      </w:r>
      <w:bookmarkEnd w:id="152"/>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 w:val="18"/>
                <w:szCs w:val="18"/>
              </w:rPr>
            </w:pPr>
            <w:r>
              <w:rPr>
                <w:rFonts w:hint="eastAsia" w:ascii="宋体" w:hAnsi="宋体"/>
                <w:b/>
                <w:bCs/>
                <w:szCs w:val="21"/>
              </w:rPr>
              <w:t>指标项</w:t>
            </w:r>
          </w:p>
        </w:tc>
        <w:tc>
          <w:tcPr>
            <w:tcW w:w="7952" w:type="dxa"/>
            <w:vAlign w:val="center"/>
          </w:tcPr>
          <w:p>
            <w:pPr>
              <w:jc w:val="center"/>
              <w:rPr>
                <w:rFonts w:cs="Arial" w:asciiTheme="minorEastAsia" w:hAnsiTheme="minorEastAsia"/>
                <w:sz w:val="18"/>
                <w:szCs w:val="18"/>
              </w:rPr>
            </w:pPr>
            <w:r>
              <w:rPr>
                <w:rFonts w:hint="eastAsia" w:ascii="宋体" w:hAnsi="宋体"/>
                <w:b/>
                <w:bCs/>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asciiTheme="minorEastAsia" w:hAnsiTheme="minorEastAsia"/>
                <w:szCs w:val="21"/>
              </w:rPr>
              <w:t>性能要求</w:t>
            </w:r>
          </w:p>
        </w:tc>
        <w:tc>
          <w:tcPr>
            <w:tcW w:w="7952" w:type="dxa"/>
          </w:tcPr>
          <w:p>
            <w:pPr>
              <w:rPr>
                <w:rFonts w:asciiTheme="minorEastAsia" w:hAnsiTheme="minorEastAsia"/>
                <w:szCs w:val="21"/>
              </w:rPr>
            </w:pPr>
            <w:r>
              <w:rPr>
                <w:rFonts w:asciiTheme="minorEastAsia" w:hAnsiTheme="minorEastAsia"/>
                <w:szCs w:val="21"/>
              </w:rPr>
              <w:t>交换容量≥336G</w:t>
            </w:r>
            <w:r>
              <w:rPr>
                <w:rFonts w:hint="eastAsia" w:asciiTheme="minorEastAsia" w:hAnsiTheme="minorEastAsia"/>
                <w:szCs w:val="21"/>
              </w:rPr>
              <w:t>bps，包转发率</w:t>
            </w:r>
            <w:r>
              <w:rPr>
                <w:rFonts w:asciiTheme="minorEastAsia" w:hAnsiTheme="minorEastAsia"/>
                <w:szCs w:val="21"/>
              </w:rPr>
              <w:t>≥108Mpps</w:t>
            </w:r>
            <w:r>
              <w:rPr>
                <w:rFonts w:hint="eastAsia"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asciiTheme="minorEastAsia" w:hAnsiTheme="minorEastAsia"/>
                <w:szCs w:val="21"/>
              </w:rPr>
              <w:t>配置要求</w:t>
            </w:r>
          </w:p>
        </w:tc>
        <w:tc>
          <w:tcPr>
            <w:tcW w:w="7952" w:type="dxa"/>
          </w:tcPr>
          <w:p>
            <w:pPr>
              <w:rPr>
                <w:rFonts w:asciiTheme="minorEastAsia" w:hAnsiTheme="minorEastAsia"/>
                <w:szCs w:val="21"/>
              </w:rPr>
            </w:pPr>
            <w:r>
              <w:rPr>
                <w:rFonts w:asciiTheme="minorEastAsia" w:hAnsiTheme="minorEastAsia"/>
                <w:szCs w:val="21"/>
              </w:rPr>
              <w:t>千兆电口</w:t>
            </w:r>
            <w:r>
              <w:rPr>
                <w:rFonts w:hint="eastAsia" w:asciiTheme="minorEastAsia" w:hAnsiTheme="minorEastAsia"/>
                <w:szCs w:val="21"/>
              </w:rPr>
              <w:t>≥</w:t>
            </w:r>
            <w:r>
              <w:rPr>
                <w:rFonts w:asciiTheme="minorEastAsia" w:hAnsiTheme="minorEastAsia"/>
                <w:szCs w:val="21"/>
              </w:rPr>
              <w:t>24，万兆SFP+</w:t>
            </w:r>
            <w:r>
              <w:rPr>
                <w:rFonts w:hint="eastAsia" w:asciiTheme="minorEastAsia" w:hAnsiTheme="minorEastAsia"/>
                <w:szCs w:val="21"/>
              </w:rPr>
              <w:t>≥4个，万兆多模模块≥2</w:t>
            </w:r>
            <w:r>
              <w:rPr>
                <w:rFonts w:asciiTheme="minorEastAsia" w:hAnsi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asciiTheme="minorEastAsia" w:hAnsiTheme="minorEastAsia"/>
                <w:szCs w:val="21"/>
              </w:rPr>
              <w:t>硬件</w:t>
            </w:r>
          </w:p>
        </w:tc>
        <w:tc>
          <w:tcPr>
            <w:tcW w:w="7952" w:type="dxa"/>
          </w:tcPr>
          <w:p>
            <w:pPr>
              <w:rPr>
                <w:rFonts w:asciiTheme="minorEastAsia" w:hAnsiTheme="minorEastAsia"/>
                <w:szCs w:val="21"/>
              </w:rPr>
            </w:pPr>
            <w:r>
              <w:rPr>
                <w:rFonts w:asciiTheme="minorEastAsia" w:hAnsiTheme="minorEastAsia"/>
                <w:szCs w:val="21"/>
              </w:rPr>
              <w:t>配置标准USB接口，支持U盘快速开局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asciiTheme="minorEastAsia" w:hAnsiTheme="minorEastAsia"/>
                <w:szCs w:val="21"/>
              </w:rPr>
              <w:t>二层功能</w:t>
            </w:r>
          </w:p>
        </w:tc>
        <w:tc>
          <w:tcPr>
            <w:tcW w:w="7952" w:type="dxa"/>
          </w:tcPr>
          <w:p>
            <w:pPr>
              <w:rPr>
                <w:rFonts w:asciiTheme="minorEastAsia" w:hAnsiTheme="minorEastAsia"/>
                <w:szCs w:val="21"/>
              </w:rPr>
            </w:pPr>
            <w:r>
              <w:rPr>
                <w:rFonts w:hint="eastAsia" w:asciiTheme="minorEastAsia" w:hAnsiTheme="minorEastAsia"/>
                <w:szCs w:val="21"/>
              </w:rPr>
              <w:t>支持</w:t>
            </w:r>
            <w:r>
              <w:rPr>
                <w:rFonts w:asciiTheme="minorEastAsia" w:hAnsiTheme="minorEastAsia"/>
                <w:szCs w:val="21"/>
              </w:rPr>
              <w:t>MAC</w:t>
            </w:r>
            <w:r>
              <w:rPr>
                <w:rFonts w:hint="eastAsia" w:asciiTheme="minorEastAsia" w:hAnsiTheme="minorEastAsia"/>
                <w:szCs w:val="21"/>
              </w:rPr>
              <w:t>地址≥16K，支持ARP表项≥</w:t>
            </w:r>
            <w:r>
              <w:rPr>
                <w:rFonts w:asciiTheme="minorEastAsia" w:hAnsiTheme="minorEastAsia"/>
                <w:szCs w:val="21"/>
              </w:rPr>
              <w:t>4</w:t>
            </w:r>
            <w:r>
              <w:rPr>
                <w:rFonts w:hint="eastAsia" w:asciiTheme="minorEastAsia" w:hAnsiTheme="minorEastAsia"/>
                <w:szCs w:val="21"/>
              </w:rPr>
              <w:t>K（提供第三方检测报告）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asciiTheme="minorEastAsia" w:hAnsiTheme="minorEastAsia"/>
                <w:szCs w:val="21"/>
              </w:rPr>
            </w:pPr>
            <w:r>
              <w:rPr>
                <w:rFonts w:hint="eastAsia" w:asciiTheme="minorEastAsia" w:hAnsiTheme="minorEastAsia"/>
                <w:szCs w:val="21"/>
              </w:rPr>
              <w:t>三层功能</w:t>
            </w:r>
          </w:p>
        </w:tc>
        <w:tc>
          <w:tcPr>
            <w:tcW w:w="7952" w:type="dxa"/>
          </w:tcPr>
          <w:p>
            <w:pPr>
              <w:rPr>
                <w:rFonts w:asciiTheme="minorEastAsia" w:hAnsiTheme="minorEastAsia"/>
                <w:szCs w:val="21"/>
              </w:rPr>
            </w:pPr>
            <w:r>
              <w:rPr>
                <w:rFonts w:hint="eastAsia" w:asciiTheme="minorEastAsia" w:hAnsiTheme="minorEastAsia"/>
                <w:szCs w:val="21"/>
              </w:rPr>
              <w:t>支持RIP、RIPng、OSP</w:t>
            </w:r>
            <w:r>
              <w:rPr>
                <w:rFonts w:asciiTheme="minorEastAsia" w:hAnsiTheme="minorEastAsia"/>
                <w:szCs w:val="21"/>
              </w:rPr>
              <w:t>F</w:t>
            </w:r>
            <w:r>
              <w:rPr>
                <w:rFonts w:hint="eastAsia" w:asciiTheme="minorEastAsia" w:hAnsiTheme="minorEastAsia"/>
                <w:szCs w:val="21"/>
              </w:rPr>
              <w:t>、O</w:t>
            </w:r>
            <w:r>
              <w:rPr>
                <w:rFonts w:asciiTheme="minorEastAsia" w:hAnsiTheme="minorEastAsia"/>
                <w:szCs w:val="21"/>
              </w:rPr>
              <w:t>SPFv3路由协议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asciiTheme="minorEastAsia" w:hAnsiTheme="minorEastAsia"/>
                <w:szCs w:val="21"/>
              </w:rPr>
              <w:t>支持I</w:t>
            </w:r>
            <w:r>
              <w:rPr>
                <w:rFonts w:asciiTheme="minorEastAsia" w:hAnsiTheme="minorEastAsia"/>
                <w:szCs w:val="21"/>
              </w:rPr>
              <w:t>P</w:t>
            </w:r>
            <w:r>
              <w:rPr>
                <w:rFonts w:hint="eastAsia" w:asciiTheme="minorEastAsia" w:hAnsiTheme="minorEastAsia"/>
                <w:szCs w:val="21"/>
              </w:rPr>
              <w:t>v4 FIB表项</w:t>
            </w:r>
            <w:r>
              <w:rPr>
                <w:rFonts w:asciiTheme="minorEastAsia" w:hAnsiTheme="minorEastAsia"/>
                <w:szCs w:val="21"/>
              </w:rPr>
              <w:t>≥4K</w:t>
            </w:r>
            <w:r>
              <w:rPr>
                <w:rFonts w:hint="eastAsia" w:asciiTheme="minorEastAsia" w:hAnsiTheme="minorEastAsia"/>
                <w:szCs w:val="21"/>
              </w:rPr>
              <w:t>（提供第三方检测报告）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asciiTheme="minorEastAsia" w:hAnsiTheme="minorEastAsia"/>
                <w:szCs w:val="21"/>
              </w:rPr>
              <w:t>组播</w:t>
            </w:r>
          </w:p>
        </w:tc>
        <w:tc>
          <w:tcPr>
            <w:tcW w:w="7952" w:type="dxa"/>
          </w:tcPr>
          <w:p>
            <w:pPr>
              <w:widowControl/>
              <w:spacing w:before="46" w:beforeLines="15" w:after="46" w:afterLines="15"/>
              <w:textAlignment w:val="baseline"/>
              <w:rPr>
                <w:rFonts w:asciiTheme="minorEastAsia" w:hAnsiTheme="minorEastAsia"/>
                <w:szCs w:val="21"/>
              </w:rPr>
            </w:pPr>
            <w:r>
              <w:rPr>
                <w:rFonts w:hint="eastAsia" w:asciiTheme="minorEastAsia" w:hAnsiTheme="minorEastAsia"/>
                <w:szCs w:val="21"/>
              </w:rPr>
              <w:t>支持IGMP v1/v2/v3 Snooping</w:t>
            </w:r>
          </w:p>
          <w:p>
            <w:pPr>
              <w:spacing w:before="46" w:beforeLines="15" w:after="46" w:afterLines="15"/>
              <w:textAlignment w:val="baseline"/>
              <w:rPr>
                <w:rFonts w:asciiTheme="minorEastAsia" w:hAnsiTheme="minorEastAsia"/>
                <w:szCs w:val="21"/>
              </w:rPr>
            </w:pPr>
            <w:r>
              <w:rPr>
                <w:rFonts w:asciiTheme="minorEastAsia" w:hAnsiTheme="minorEastAsia"/>
                <w:szCs w:val="21"/>
              </w:rPr>
              <w:t>支持VLAN内组播转发和组播多VLAN复制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asciiTheme="minorEastAsia" w:hAnsiTheme="minorEastAsia"/>
                <w:szCs w:val="21"/>
              </w:rPr>
            </w:pPr>
            <w:r>
              <w:rPr>
                <w:rFonts w:asciiTheme="minorEastAsia" w:hAnsiTheme="minorEastAsia"/>
                <w:szCs w:val="21"/>
              </w:rPr>
              <w:t>安全</w:t>
            </w:r>
          </w:p>
        </w:tc>
        <w:tc>
          <w:tcPr>
            <w:tcW w:w="7952" w:type="dxa"/>
          </w:tcPr>
          <w:p>
            <w:pPr>
              <w:rPr>
                <w:rFonts w:asciiTheme="minorEastAsia" w:hAnsiTheme="minorEastAsia"/>
                <w:szCs w:val="21"/>
              </w:rPr>
            </w:pPr>
            <w:r>
              <w:rPr>
                <w:rFonts w:hint="eastAsia" w:asciiTheme="minorEastAsia" w:hAnsiTheme="minorEastAsia"/>
                <w:szCs w:val="21"/>
              </w:rPr>
              <w:t>支持C</w:t>
            </w:r>
            <w:r>
              <w:rPr>
                <w:rFonts w:asciiTheme="minorEastAsia" w:hAnsiTheme="minorEastAsia"/>
                <w:szCs w:val="21"/>
              </w:rPr>
              <w:t>PU</w:t>
            </w:r>
            <w:r>
              <w:rPr>
                <w:rFonts w:hint="eastAsia" w:asciiTheme="minorEastAsia" w:hAnsiTheme="minorEastAsia"/>
                <w:szCs w:val="21"/>
              </w:rPr>
              <w:t>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vAlign w:val="center"/>
          </w:tcPr>
          <w:p>
            <w:pPr>
              <w:rPr>
                <w:rFonts w:asciiTheme="minorEastAsia" w:hAnsiTheme="minorEastAsia"/>
                <w:szCs w:val="21"/>
              </w:rPr>
            </w:pPr>
            <w:r>
              <w:rPr>
                <w:rFonts w:hint="eastAsia" w:asciiTheme="minorEastAsia" w:hAnsiTheme="minorEastAsia"/>
                <w:szCs w:val="21"/>
              </w:rPr>
              <w:t xml:space="preserve">支持DHCP </w:t>
            </w:r>
            <w:r>
              <w:rPr>
                <w:rFonts w:asciiTheme="minorEastAsia" w:hAnsiTheme="minorEastAsia"/>
                <w:szCs w:val="21"/>
              </w:rPr>
              <w:t>S</w:t>
            </w:r>
            <w:r>
              <w:rPr>
                <w:rFonts w:hint="eastAsia" w:asciiTheme="minorEastAsia" w:hAnsiTheme="minorEastAsia"/>
                <w:szCs w:val="21"/>
              </w:rPr>
              <w:t>nooping、</w:t>
            </w:r>
            <w:r>
              <w:rPr>
                <w:rFonts w:asciiTheme="minorEastAsia" w:hAnsiTheme="minorEastAsia"/>
                <w:szCs w:val="21"/>
              </w:rPr>
              <w:t>DHCPv6 Snooping功能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jc w:val="center"/>
              <w:rPr>
                <w:rFonts w:asciiTheme="minorEastAsia" w:hAnsiTheme="minorEastAsia"/>
                <w:szCs w:val="21"/>
              </w:rPr>
            </w:pPr>
            <w:r>
              <w:rPr>
                <w:rFonts w:hint="eastAsia" w:asciiTheme="minorEastAsia" w:hAnsiTheme="minorEastAsia"/>
                <w:szCs w:val="21"/>
              </w:rPr>
              <w:t>虚拟化</w:t>
            </w:r>
          </w:p>
        </w:tc>
        <w:tc>
          <w:tcPr>
            <w:tcW w:w="7952" w:type="dxa"/>
            <w:vAlign w:val="center"/>
          </w:tcPr>
          <w:p>
            <w:pPr>
              <w:rPr>
                <w:rFonts w:asciiTheme="minorEastAsia" w:hAnsiTheme="minorEastAsia"/>
                <w:szCs w:val="21"/>
              </w:rPr>
            </w:pPr>
            <w:r>
              <w:rPr>
                <w:rFonts w:hint="eastAsia" w:asciiTheme="minorEastAsia" w:hAnsiTheme="minorEastAsia"/>
                <w:szCs w:val="21"/>
              </w:rPr>
              <w:t>支持纵向虚拟化，</w:t>
            </w:r>
            <w:r>
              <w:rPr>
                <w:rFonts w:asciiTheme="minorEastAsia" w:hAnsiTheme="minorEastAsia"/>
                <w:szCs w:val="21"/>
              </w:rPr>
              <w:t>作为</w:t>
            </w:r>
            <w:r>
              <w:rPr>
                <w:rFonts w:hint="eastAsia" w:asciiTheme="minorEastAsia" w:hAnsiTheme="minorEastAsia"/>
                <w:szCs w:val="21"/>
              </w:rPr>
              <w:t>纵向</w:t>
            </w:r>
            <w:r>
              <w:rPr>
                <w:rFonts w:asciiTheme="minorEastAsia" w:hAnsiTheme="minorEastAsia"/>
                <w:szCs w:val="21"/>
              </w:rPr>
              <w:t>子节点</w:t>
            </w:r>
            <w:r>
              <w:rPr>
                <w:rFonts w:hint="eastAsia" w:asciiTheme="minorEastAsia" w:hAnsiTheme="minorEastAsia"/>
                <w:szCs w:val="21"/>
              </w:rPr>
              <w:t>零配置即</w:t>
            </w:r>
            <w:r>
              <w:rPr>
                <w:rFonts w:asciiTheme="minorEastAsia" w:hAnsiTheme="minorEastAsia"/>
                <w:szCs w:val="21"/>
              </w:rPr>
              <w:t>插即用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vAlign w:val="center"/>
          </w:tcPr>
          <w:p>
            <w:pPr>
              <w:jc w:val="center"/>
              <w:rPr>
                <w:rFonts w:asciiTheme="minorEastAsia" w:hAnsiTheme="minorEastAsia"/>
                <w:szCs w:val="21"/>
              </w:rPr>
            </w:pPr>
            <w:r>
              <w:rPr>
                <w:rFonts w:hint="eastAsia" w:asciiTheme="minorEastAsia" w:hAnsiTheme="minorEastAsia"/>
                <w:szCs w:val="21"/>
              </w:rPr>
              <w:t>管理维护</w:t>
            </w:r>
          </w:p>
        </w:tc>
        <w:tc>
          <w:tcPr>
            <w:tcW w:w="7952" w:type="dxa"/>
          </w:tcPr>
          <w:p>
            <w:pPr>
              <w:rPr>
                <w:rFonts w:asciiTheme="minorEastAsia" w:hAnsiTheme="minorEastAsia"/>
                <w:szCs w:val="21"/>
              </w:rPr>
            </w:pPr>
            <w:r>
              <w:rPr>
                <w:rFonts w:hint="eastAsia" w:asciiTheme="minorEastAsia" w:hAnsiTheme="minorEastAsia"/>
                <w:szCs w:val="21"/>
              </w:rPr>
              <w:t>支持Telemetry技术，配合网络分析组件通过智能故障识别算法对网络数据进行分析，精准展现网络实时状态。（提供官网功能截图）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vAlign w:val="center"/>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asciiTheme="minorEastAsia" w:hAnsiTheme="minorEastAsia"/>
                <w:szCs w:val="21"/>
              </w:rPr>
              <w:t>支持音视频业务的智能运维，将设备作为监控节点周期统计并上报音视频业务类指标参数至网络分析组件引擎，由网络分析组件引擎结合多个节点的监控结果，对音视频业务质量类故障进行快速定界。（提供官网功能截图）</w:t>
            </w:r>
          </w:p>
        </w:tc>
      </w:tr>
    </w:tbl>
    <w:p/>
    <w:p>
      <w:pPr>
        <w:pStyle w:val="141"/>
        <w:numPr>
          <w:ilvl w:val="3"/>
          <w:numId w:val="7"/>
        </w:numPr>
        <w:tabs>
          <w:tab w:val="clear" w:pos="851"/>
        </w:tabs>
        <w:outlineLvl w:val="4"/>
        <w:rPr>
          <w:rFonts w:ascii="宋体" w:hAnsi="宋体" w:eastAsia="宋体" w:cs="宋体"/>
          <w:color w:val="auto"/>
          <w:sz w:val="24"/>
          <w:szCs w:val="24"/>
        </w:rPr>
      </w:pPr>
      <w:bookmarkStart w:id="153" w:name="_Toc46242018"/>
      <w:r>
        <w:rPr>
          <w:rFonts w:ascii="宋体" w:hAnsi="宋体" w:eastAsia="宋体" w:cs="宋体"/>
          <w:color w:val="auto"/>
          <w:sz w:val="24"/>
          <w:szCs w:val="24"/>
        </w:rPr>
        <w:t>地市</w:t>
      </w:r>
      <w:r>
        <w:rPr>
          <w:rFonts w:hint="eastAsia" w:ascii="宋体" w:hAnsi="宋体" w:eastAsia="宋体" w:cs="宋体"/>
          <w:color w:val="auto"/>
          <w:sz w:val="24"/>
          <w:szCs w:val="24"/>
        </w:rPr>
        <w:t>路由器</w:t>
      </w:r>
      <w:bookmarkEnd w:id="153"/>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b/>
                <w:szCs w:val="21"/>
              </w:rPr>
            </w:pPr>
            <w:r>
              <w:rPr>
                <w:rFonts w:hint="eastAsia" w:asciiTheme="minorEastAsia" w:hAnsiTheme="minorEastAsia"/>
                <w:b/>
                <w:szCs w:val="21"/>
              </w:rPr>
              <w:t>指标项</w:t>
            </w:r>
          </w:p>
        </w:tc>
        <w:tc>
          <w:tcPr>
            <w:tcW w:w="7952" w:type="dxa"/>
          </w:tcPr>
          <w:p>
            <w:pPr>
              <w:jc w:val="center"/>
              <w:rPr>
                <w:rFonts w:asciiTheme="minorEastAsia" w:hAnsiTheme="minorEastAsia"/>
                <w:b/>
                <w:szCs w:val="21"/>
              </w:rPr>
            </w:pPr>
            <w:r>
              <w:rPr>
                <w:rFonts w:hint="eastAsia" w:asciiTheme="minorEastAsia" w:hAnsiTheme="minorEastAsia"/>
                <w:b/>
                <w:szCs w:val="21"/>
              </w:rPr>
              <w:t>指标要求</w:t>
            </w:r>
          </w:p>
        </w:tc>
      </w:tr>
      <w:tr>
        <w:tblPrEx>
          <w:tblLayout w:type="fixed"/>
          <w:tblCellMar>
            <w:top w:w="0" w:type="dxa"/>
            <w:left w:w="108" w:type="dxa"/>
            <w:bottom w:w="0" w:type="dxa"/>
            <w:right w:w="108" w:type="dxa"/>
          </w:tblCellMar>
        </w:tblPrEx>
        <w:tc>
          <w:tcPr>
            <w:tcW w:w="1450" w:type="dxa"/>
          </w:tcPr>
          <w:p>
            <w:pPr>
              <w:jc w:val="center"/>
              <w:rPr>
                <w:rFonts w:asciiTheme="minorEastAsia" w:hAnsiTheme="minorEastAsia"/>
                <w:szCs w:val="21"/>
              </w:rPr>
            </w:pPr>
            <w:r>
              <w:rPr>
                <w:rFonts w:hint="eastAsia" w:cs="宋体" w:asciiTheme="minorEastAsia" w:hAnsiTheme="minorEastAsia"/>
                <w:szCs w:val="21"/>
              </w:rPr>
              <w:t>设备架构</w:t>
            </w:r>
          </w:p>
        </w:tc>
        <w:tc>
          <w:tcPr>
            <w:tcW w:w="7952" w:type="dxa"/>
          </w:tcPr>
          <w:p>
            <w:pPr>
              <w:rPr>
                <w:rFonts w:cs="宋体" w:asciiTheme="minorEastAsia" w:hAnsiTheme="minorEastAsia"/>
                <w:szCs w:val="21"/>
              </w:rPr>
            </w:pPr>
            <w:r>
              <w:rPr>
                <w:rFonts w:hint="eastAsia" w:cs="宋体" w:asciiTheme="minorEastAsia" w:hAnsiTheme="minorEastAsia"/>
                <w:szCs w:val="21"/>
              </w:rPr>
              <w:t>整机交换容量</w:t>
            </w:r>
            <w:r>
              <w:rPr>
                <w:rFonts w:hint="eastAsia" w:asciiTheme="minorEastAsia" w:hAnsiTheme="minorEastAsia"/>
                <w:szCs w:val="21"/>
              </w:rPr>
              <w:t>≥</w:t>
            </w:r>
            <w:r>
              <w:rPr>
                <w:rFonts w:asciiTheme="minorEastAsia" w:hAnsiTheme="minorEastAsia"/>
                <w:szCs w:val="21"/>
              </w:rPr>
              <w:t>110</w:t>
            </w:r>
            <w:r>
              <w:rPr>
                <w:rFonts w:hint="eastAsia" w:asciiTheme="minorEastAsia" w:hAnsiTheme="minorEastAsia"/>
                <w:szCs w:val="21"/>
              </w:rPr>
              <w:t>T,包转发率≥1</w:t>
            </w:r>
            <w:r>
              <w:rPr>
                <w:rFonts w:asciiTheme="minorEastAsia" w:hAnsiTheme="minorEastAsia"/>
                <w:szCs w:val="21"/>
              </w:rPr>
              <w:t>4</w:t>
            </w:r>
            <w:r>
              <w:rPr>
                <w:rFonts w:hint="eastAsia" w:asciiTheme="minorEastAsia" w:hAnsiTheme="minorEastAsia"/>
                <w:szCs w:val="21"/>
              </w:rPr>
              <w:t>000Mpps，整机可配置端口容量≥</w:t>
            </w:r>
            <w:r>
              <w:rPr>
                <w:rFonts w:asciiTheme="minorEastAsia" w:hAnsiTheme="minorEastAsia"/>
                <w:szCs w:val="21"/>
              </w:rPr>
              <w:t>480G</w:t>
            </w:r>
            <w:r>
              <w:rPr>
                <w:rFonts w:hint="eastAsia" w:asciiTheme="minorEastAsia" w:hAnsiTheme="minorEastAsia"/>
                <w:szCs w:val="21"/>
              </w:rPr>
              <w:t>，</w:t>
            </w:r>
            <w:r>
              <w:rPr>
                <w:rFonts w:hint="eastAsia" w:cs="宋体" w:asciiTheme="minorEastAsia" w:hAnsiTheme="minorEastAsia"/>
                <w:szCs w:val="21"/>
              </w:rPr>
              <w:t>设备支持双主控且满配，支持电源冗余且满配，可供使用的业务</w:t>
            </w:r>
            <w:r>
              <w:rPr>
                <w:rFonts w:cs="宋体" w:asciiTheme="minorEastAsia" w:hAnsiTheme="minorEastAsia"/>
                <w:szCs w:val="21"/>
              </w:rPr>
              <w:t>插槽</w:t>
            </w:r>
            <w:r>
              <w:rPr>
                <w:rFonts w:hint="eastAsia" w:cs="宋体" w:asciiTheme="minorEastAsia" w:hAnsiTheme="minorEastAsia"/>
                <w:szCs w:val="21"/>
              </w:rPr>
              <w:t>数（非子卡槽位，不含主控和交换网板槽）≥6（提供官网硬件规格截图证明），要求所有业务板卡及电源、风扇均可热插拔，实配2个千兆单模10KM模块，</w:t>
            </w:r>
            <w:r>
              <w:rPr>
                <w:rFonts w:cs="宋体" w:asciiTheme="minorEastAsia" w:hAnsiTheme="minorEastAsia"/>
                <w:szCs w:val="21"/>
              </w:rPr>
              <w:t>2</w:t>
            </w:r>
            <w:r>
              <w:rPr>
                <w:rFonts w:hint="eastAsia" w:cs="宋体" w:asciiTheme="minorEastAsia" w:hAnsiTheme="minorEastAsia"/>
                <w:szCs w:val="21"/>
              </w:rPr>
              <w:t>个千兆多模模块，2个光转电模块。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tcPr>
          <w:p>
            <w:pPr>
              <w:jc w:val="center"/>
              <w:rPr>
                <w:rFonts w:cs="宋体" w:asciiTheme="minorEastAsia" w:hAnsiTheme="minorEastAsia"/>
                <w:szCs w:val="21"/>
              </w:rPr>
            </w:pPr>
            <w:r>
              <w:rPr>
                <w:rFonts w:cs="宋体" w:asciiTheme="minorEastAsia" w:hAnsiTheme="minorEastAsia"/>
                <w:szCs w:val="21"/>
              </w:rPr>
              <w:t>硬件特性</w:t>
            </w:r>
          </w:p>
        </w:tc>
        <w:tc>
          <w:tcPr>
            <w:tcW w:w="7952" w:type="dxa"/>
          </w:tcPr>
          <w:p>
            <w:pPr>
              <w:rPr>
                <w:rFonts w:cs="宋体" w:asciiTheme="minorEastAsia" w:hAnsiTheme="minorEastAsia"/>
                <w:szCs w:val="21"/>
              </w:rPr>
            </w:pPr>
            <w:r>
              <w:rPr>
                <w:rFonts w:hint="eastAsia" w:cs="宋体" w:asciiTheme="minorEastAsia" w:hAnsiTheme="minorEastAsia"/>
                <w:szCs w:val="21"/>
              </w:rPr>
              <w:t>设备单槽位最大支持200G线速转发不丢包，提供第三方测试报告及运营商用户使用说明。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cs="宋体" w:asciiTheme="minorEastAsia" w:hAnsiTheme="minorEastAsia"/>
                <w:szCs w:val="21"/>
              </w:rPr>
            </w:pPr>
          </w:p>
        </w:tc>
        <w:tc>
          <w:tcPr>
            <w:tcW w:w="7952" w:type="dxa"/>
          </w:tcPr>
          <w:p>
            <w:pPr>
              <w:rPr>
                <w:rFonts w:cs="宋体" w:asciiTheme="minorEastAsia" w:hAnsiTheme="minorEastAsia"/>
                <w:szCs w:val="21"/>
              </w:rPr>
            </w:pPr>
            <w:r>
              <w:rPr>
                <w:rFonts w:hint="eastAsia" w:cs="宋体" w:asciiTheme="minorEastAsia" w:hAnsiTheme="minorEastAsia"/>
                <w:szCs w:val="21"/>
              </w:rPr>
              <w:t>设备支持100GE、50GE、25GE、10GE、GE、FE、E1、CPOS等接口类型（提供原厂官网截图）。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cs="宋体" w:asciiTheme="minorEastAsia" w:hAnsiTheme="minorEastAsia"/>
                <w:szCs w:val="21"/>
              </w:rPr>
            </w:pPr>
          </w:p>
        </w:tc>
        <w:tc>
          <w:tcPr>
            <w:tcW w:w="7952" w:type="dxa"/>
          </w:tcPr>
          <w:p>
            <w:pPr>
              <w:rPr>
                <w:rFonts w:cs="宋体" w:asciiTheme="minorEastAsia" w:hAnsiTheme="minorEastAsia"/>
                <w:szCs w:val="21"/>
              </w:rPr>
            </w:pPr>
            <w:r>
              <w:rPr>
                <w:rFonts w:hint="eastAsia" w:cs="宋体" w:asciiTheme="minorEastAsia" w:hAnsiTheme="minorEastAsia"/>
                <w:szCs w:val="21"/>
              </w:rPr>
              <w:t>▲设备的CPU、NP、TM等关键芯片国产化（提供第三方测试报告）。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szCs w:val="21"/>
              </w:rPr>
            </w:pPr>
            <w:r>
              <w:rPr>
                <w:rFonts w:hint="eastAsia" w:cs="宋体" w:asciiTheme="minorEastAsia" w:hAnsiTheme="minorEastAsia"/>
                <w:szCs w:val="21"/>
              </w:rPr>
              <w:t>隧道技术</w:t>
            </w:r>
          </w:p>
        </w:tc>
        <w:tc>
          <w:tcPr>
            <w:tcW w:w="7952" w:type="dxa"/>
          </w:tcPr>
          <w:p>
            <w:pPr>
              <w:rPr>
                <w:rFonts w:asciiTheme="minorEastAsia" w:hAnsiTheme="minorEastAsia"/>
                <w:szCs w:val="21"/>
              </w:rPr>
            </w:pPr>
            <w:r>
              <w:rPr>
                <w:rFonts w:hint="eastAsia" w:cs="宋体" w:asciiTheme="minorEastAsia" w:hAnsiTheme="minorEastAsia"/>
                <w:szCs w:val="21"/>
              </w:rPr>
              <w:t>支持VXLAN、智能隧道CBTS等隧道技术。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szCs w:val="21"/>
              </w:rPr>
            </w:pPr>
            <w:r>
              <w:rPr>
                <w:rFonts w:hint="eastAsia" w:cs="宋体" w:asciiTheme="minorEastAsia" w:hAnsiTheme="minorEastAsia"/>
                <w:szCs w:val="21"/>
              </w:rPr>
              <w:t>快路由收敛</w:t>
            </w:r>
          </w:p>
        </w:tc>
        <w:tc>
          <w:tcPr>
            <w:tcW w:w="7952" w:type="dxa"/>
          </w:tcPr>
          <w:p>
            <w:pPr>
              <w:rPr>
                <w:rFonts w:asciiTheme="minorEastAsia" w:hAnsiTheme="minorEastAsia"/>
                <w:szCs w:val="21"/>
              </w:rPr>
            </w:pPr>
            <w:r>
              <w:rPr>
                <w:rFonts w:hint="eastAsia" w:cs="宋体" w:asciiTheme="minorEastAsia" w:hAnsiTheme="minorEastAsia"/>
                <w:szCs w:val="21"/>
              </w:rPr>
              <w:t>具备快速IGP路由收敛能力，ISIS路由收敛时间，正切≤400ms，回切不丢包；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tcPr>
          <w:p>
            <w:pPr>
              <w:jc w:val="center"/>
              <w:rPr>
                <w:rFonts w:asciiTheme="minorEastAsia" w:hAnsiTheme="minorEastAsia"/>
                <w:szCs w:val="21"/>
              </w:rPr>
            </w:pPr>
            <w:r>
              <w:rPr>
                <w:rFonts w:hint="eastAsia" w:cs="宋体" w:asciiTheme="minorEastAsia" w:hAnsiTheme="minorEastAsia"/>
                <w:szCs w:val="21"/>
              </w:rPr>
              <w:t>协议功能</w:t>
            </w:r>
          </w:p>
        </w:tc>
        <w:tc>
          <w:tcPr>
            <w:tcW w:w="7952" w:type="dxa"/>
          </w:tcPr>
          <w:p>
            <w:pPr>
              <w:spacing w:line="0" w:lineRule="atLeast"/>
              <w:jc w:val="left"/>
              <w:rPr>
                <w:rFonts w:cs="宋体" w:asciiTheme="minorEastAsia" w:hAnsiTheme="minorEastAsia"/>
                <w:szCs w:val="21"/>
              </w:rPr>
            </w:pPr>
            <w:r>
              <w:rPr>
                <w:rFonts w:hint="eastAsia" w:cs="宋体" w:asciiTheme="minorEastAsia" w:hAnsiTheme="minorEastAsia"/>
                <w:szCs w:val="21"/>
              </w:rPr>
              <w:t>支持RIP、OSPF、IS-IS、BGP等路由协议</w:t>
            </w:r>
          </w:p>
          <w:p>
            <w:pPr>
              <w:spacing w:line="0" w:lineRule="atLeast"/>
              <w:jc w:val="left"/>
              <w:rPr>
                <w:rFonts w:cs="宋体" w:asciiTheme="minorEastAsia" w:hAnsiTheme="minorEastAsia"/>
                <w:szCs w:val="21"/>
              </w:rPr>
            </w:pPr>
            <w:r>
              <w:rPr>
                <w:rFonts w:hint="eastAsia" w:cs="宋体" w:asciiTheme="minorEastAsia" w:hAnsiTheme="minorEastAsia"/>
                <w:szCs w:val="21"/>
              </w:rPr>
              <w:t>支持L2VPN、L3VPN、EVPN等VPN技术</w:t>
            </w:r>
          </w:p>
          <w:p>
            <w:pPr>
              <w:rPr>
                <w:rFonts w:asciiTheme="minorEastAsia" w:hAnsiTheme="minorEastAsia"/>
                <w:szCs w:val="21"/>
              </w:rPr>
            </w:pPr>
            <w:r>
              <w:rPr>
                <w:rFonts w:hint="eastAsia" w:cs="宋体" w:asciiTheme="minorEastAsia" w:hAnsiTheme="minorEastAsia"/>
                <w:szCs w:val="21"/>
              </w:rPr>
              <w:t>支持LDP LSP、RSVP-TE、SR-TE等MPLS技术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支持IPv4路由表容量≥1</w:t>
            </w:r>
            <w:r>
              <w:rPr>
                <w:rFonts w:cs="宋体" w:asciiTheme="minorEastAsia" w:hAnsiTheme="minorEastAsia"/>
                <w:szCs w:val="21"/>
              </w:rPr>
              <w:t>0</w:t>
            </w:r>
            <w:r>
              <w:rPr>
                <w:rFonts w:hint="eastAsia" w:cs="宋体" w:asciiTheme="minorEastAsia" w:hAnsiTheme="minorEastAsia"/>
                <w:szCs w:val="21"/>
              </w:rPr>
              <w:t>M,IPv6路由表容量≥5</w:t>
            </w:r>
            <w:r>
              <w:rPr>
                <w:rFonts w:cs="宋体" w:asciiTheme="minorEastAsia" w:hAnsiTheme="minorEastAsia"/>
                <w:szCs w:val="21"/>
              </w:rPr>
              <w:t>M</w:t>
            </w:r>
            <w:r>
              <w:rPr>
                <w:rFonts w:hint="eastAsia" w:cs="宋体" w:asciiTheme="minorEastAsia" w:hAnsiTheme="minorEastAsia"/>
                <w:szCs w:val="21"/>
              </w:rPr>
              <w:t>，IPv4转发表容量≥4M,IPv6转发表容量≥2</w:t>
            </w:r>
            <w:r>
              <w:rPr>
                <w:rFonts w:cs="宋体" w:asciiTheme="minorEastAsia" w:hAnsiTheme="minorEastAsia"/>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IPv6线速转发不丢包，满足IPv6网络改造要求（提供第三方检测报告）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szCs w:val="21"/>
              </w:rPr>
            </w:pPr>
            <w:r>
              <w:rPr>
                <w:rFonts w:hint="eastAsia" w:cs="宋体" w:asciiTheme="minorEastAsia" w:hAnsiTheme="minorEastAsia"/>
                <w:szCs w:val="21"/>
              </w:rPr>
              <w:t>Q</w:t>
            </w:r>
            <w:r>
              <w:rPr>
                <w:rFonts w:cs="宋体" w:asciiTheme="minorEastAsia" w:hAnsiTheme="minorEastAsia"/>
                <w:szCs w:val="21"/>
              </w:rPr>
              <w:t>OS</w:t>
            </w:r>
          </w:p>
        </w:tc>
        <w:tc>
          <w:tcPr>
            <w:tcW w:w="7952" w:type="dxa"/>
          </w:tcPr>
          <w:p>
            <w:pPr>
              <w:rPr>
                <w:rFonts w:asciiTheme="minorEastAsia" w:hAnsiTheme="minorEastAsia"/>
                <w:szCs w:val="21"/>
              </w:rPr>
            </w:pPr>
            <w:r>
              <w:rPr>
                <w:rFonts w:hint="eastAsia" w:cs="宋体" w:asciiTheme="minorEastAsia" w:hAnsiTheme="minorEastAsia"/>
                <w:szCs w:val="21"/>
              </w:rPr>
              <w:t xml:space="preserve">支持5级H-QoS调度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tcPr>
          <w:p>
            <w:pPr>
              <w:jc w:val="center"/>
              <w:rPr>
                <w:rFonts w:asciiTheme="minorEastAsia" w:hAnsiTheme="minorEastAsia"/>
                <w:szCs w:val="21"/>
              </w:rPr>
            </w:pPr>
            <w:r>
              <w:rPr>
                <w:rFonts w:hint="eastAsia" w:cs="宋体" w:asciiTheme="minorEastAsia" w:hAnsiTheme="minorEastAsia"/>
                <w:szCs w:val="21"/>
              </w:rPr>
              <w:t>可靠性</w:t>
            </w:r>
          </w:p>
        </w:tc>
        <w:tc>
          <w:tcPr>
            <w:tcW w:w="7952" w:type="dxa"/>
          </w:tcPr>
          <w:p>
            <w:pPr>
              <w:rPr>
                <w:rFonts w:asciiTheme="minorEastAsia" w:hAnsiTheme="minorEastAsia"/>
                <w:szCs w:val="21"/>
              </w:rPr>
            </w:pPr>
            <w:r>
              <w:rPr>
                <w:rFonts w:hint="eastAsia" w:cs="宋体" w:asciiTheme="minorEastAsia" w:hAnsiTheme="minorEastAsia"/>
                <w:szCs w:val="21"/>
              </w:rPr>
              <w:t>支持基于硬件的BFD故障探测技术，支持最小发包间隔5ms、支持单臂BFD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支持全面的快速重路由FRR功能IP/IPv6/LDP/TE/VPN/VPNv6 FRR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支持LDP, VRRP, OSPF, ISIS, BGP, VRRP6, OSPFv3, ISIS6, BGP4+,MPLS L3VPN, MPLS TE, PIM SM的NSR（不中断路由技术），主备倒换不丢包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szCs w:val="21"/>
              </w:rPr>
            </w:pPr>
            <w:r>
              <w:rPr>
                <w:rFonts w:hint="eastAsia" w:cs="宋体" w:asciiTheme="minorEastAsia" w:hAnsiTheme="minorEastAsia"/>
                <w:szCs w:val="21"/>
              </w:rPr>
              <w:t>增值业务</w:t>
            </w:r>
          </w:p>
        </w:tc>
        <w:tc>
          <w:tcPr>
            <w:tcW w:w="7952" w:type="dxa"/>
          </w:tcPr>
          <w:p>
            <w:pPr>
              <w:rPr>
                <w:rFonts w:asciiTheme="minorEastAsia" w:hAnsiTheme="minorEastAsia"/>
                <w:szCs w:val="21"/>
              </w:rPr>
            </w:pPr>
            <w:r>
              <w:rPr>
                <w:rFonts w:hint="eastAsia" w:cs="宋体" w:asciiTheme="minorEastAsia" w:hAnsiTheme="minorEastAsia"/>
                <w:szCs w:val="21"/>
              </w:rPr>
              <w:t>随板支持Netstream，GRE功能，不需要配置业务卡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cs="宋体" w:asciiTheme="minorEastAsia" w:hAnsiTheme="minorEastAsia"/>
                <w:szCs w:val="21"/>
              </w:rPr>
            </w:pPr>
            <w:r>
              <w:rPr>
                <w:rFonts w:hint="eastAsia" w:cs="宋体" w:asciiTheme="minorEastAsia" w:hAnsiTheme="minorEastAsia"/>
                <w:szCs w:val="21"/>
              </w:rPr>
              <w:t>S</w:t>
            </w:r>
            <w:r>
              <w:rPr>
                <w:rFonts w:cs="宋体" w:asciiTheme="minorEastAsia" w:hAnsiTheme="minorEastAsia"/>
                <w:szCs w:val="21"/>
              </w:rPr>
              <w:t>DN</w:t>
            </w:r>
          </w:p>
        </w:tc>
        <w:tc>
          <w:tcPr>
            <w:tcW w:w="7952" w:type="dxa"/>
          </w:tcPr>
          <w:p>
            <w:pPr>
              <w:rPr>
                <w:rFonts w:cs="宋体" w:asciiTheme="minorEastAsia" w:hAnsiTheme="minorEastAsia"/>
                <w:szCs w:val="21"/>
              </w:rPr>
            </w:pPr>
            <w:r>
              <w:rPr>
                <w:rFonts w:hint="eastAsia" w:cs="宋体" w:asciiTheme="minorEastAsia" w:hAnsiTheme="minorEastAsia"/>
                <w:szCs w:val="21"/>
              </w:rPr>
              <w:t>支持广域网智能调优，支持单域及跨域的VPN端到端自动发放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szCs w:val="21"/>
              </w:rPr>
            </w:pPr>
            <w:r>
              <w:rPr>
                <w:rFonts w:hint="eastAsia" w:cs="宋体" w:asciiTheme="minorEastAsia" w:hAnsiTheme="minorEastAsia"/>
                <w:szCs w:val="21"/>
              </w:rPr>
              <w:t>分段路由</w:t>
            </w:r>
          </w:p>
        </w:tc>
        <w:tc>
          <w:tcPr>
            <w:tcW w:w="7952" w:type="dxa"/>
          </w:tcPr>
          <w:p>
            <w:pPr>
              <w:rPr>
                <w:rFonts w:asciiTheme="minorEastAsia" w:hAnsiTheme="minorEastAsia"/>
                <w:szCs w:val="21"/>
              </w:rPr>
            </w:pPr>
            <w:r>
              <w:rPr>
                <w:rFonts w:hint="eastAsia" w:cs="宋体" w:asciiTheme="minorEastAsia" w:hAnsiTheme="minorEastAsia"/>
                <w:szCs w:val="21"/>
              </w:rPr>
              <w:t>支持单域及跨BGP域的Segment Routing技术,支持SRv6，支持SRv6承载VPN业务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tcPr>
          <w:p>
            <w:pPr>
              <w:jc w:val="center"/>
              <w:rPr>
                <w:rFonts w:asciiTheme="minorEastAsia" w:hAnsiTheme="minorEastAsia"/>
                <w:szCs w:val="21"/>
              </w:rPr>
            </w:pPr>
            <w:r>
              <w:rPr>
                <w:rFonts w:hint="eastAsia" w:cs="宋体" w:asciiTheme="minorEastAsia" w:hAnsiTheme="minorEastAsia"/>
                <w:szCs w:val="21"/>
              </w:rPr>
              <w:t>安全</w:t>
            </w:r>
          </w:p>
        </w:tc>
        <w:tc>
          <w:tcPr>
            <w:tcW w:w="7952" w:type="dxa"/>
          </w:tcPr>
          <w:p>
            <w:pPr>
              <w:rPr>
                <w:rFonts w:asciiTheme="minorEastAsia" w:hAnsiTheme="minorEastAsia"/>
                <w:szCs w:val="21"/>
              </w:rPr>
            </w:pPr>
            <w:r>
              <w:rPr>
                <w:rFonts w:hint="eastAsia" w:cs="宋体" w:asciiTheme="minorEastAsia" w:hAnsiTheme="minorEastAsia"/>
                <w:szCs w:val="21"/>
              </w:rPr>
              <w:t>支持CPU攻击溯源功能，可记录攻击源的MAC、IP等详细字段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▲支持BGP Flow Specification及BGPv6 Flow Specification技术, 支持MACSec加密技术（提供第三方检测报告）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restart"/>
          </w:tcPr>
          <w:p>
            <w:pPr>
              <w:jc w:val="center"/>
              <w:rPr>
                <w:rFonts w:asciiTheme="minorEastAsia" w:hAnsiTheme="minorEastAsia"/>
                <w:szCs w:val="21"/>
              </w:rPr>
            </w:pPr>
            <w:r>
              <w:rPr>
                <w:rFonts w:hint="eastAsia" w:cs="宋体" w:asciiTheme="minorEastAsia" w:hAnsiTheme="minorEastAsia"/>
                <w:szCs w:val="21"/>
              </w:rPr>
              <w:t>系统管理</w:t>
            </w:r>
          </w:p>
        </w:tc>
        <w:tc>
          <w:tcPr>
            <w:tcW w:w="7952" w:type="dxa"/>
          </w:tcPr>
          <w:p>
            <w:pPr>
              <w:rPr>
                <w:rFonts w:asciiTheme="minorEastAsia" w:hAnsiTheme="minorEastAsia"/>
                <w:szCs w:val="21"/>
              </w:rPr>
            </w:pPr>
            <w:r>
              <w:rPr>
                <w:rFonts w:hint="eastAsia" w:cs="宋体" w:asciiTheme="minorEastAsia" w:hAnsiTheme="minorEastAsia"/>
                <w:szCs w:val="21"/>
              </w:rPr>
              <w:t>支持Console、Telnet、SSH等管理方式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Merge w:val="continue"/>
          </w:tcPr>
          <w:p>
            <w:pPr>
              <w:jc w:val="center"/>
              <w:rPr>
                <w:rFonts w:asciiTheme="minorEastAsia" w:hAnsiTheme="minorEastAsia"/>
                <w:szCs w:val="21"/>
              </w:rPr>
            </w:pPr>
          </w:p>
        </w:tc>
        <w:tc>
          <w:tcPr>
            <w:tcW w:w="7952" w:type="dxa"/>
          </w:tcPr>
          <w:p>
            <w:pPr>
              <w:rPr>
                <w:rFonts w:asciiTheme="minorEastAsia" w:hAnsiTheme="minorEastAsia"/>
                <w:szCs w:val="21"/>
              </w:rPr>
            </w:pPr>
            <w:r>
              <w:rPr>
                <w:rFonts w:hint="eastAsia" w:cs="宋体" w:asciiTheme="minorEastAsia" w:hAnsiTheme="minorEastAsia"/>
                <w:szCs w:val="21"/>
              </w:rPr>
              <w:t>支持随流的性能检测技术，即不额外发送检测报文，对用户业务流进行直接的丢包、时延的监测，得到业务端到端或逐跳的丢包和时延信息，支持通过telemetry上送获得的性能数据，</w:t>
            </w:r>
            <w:r>
              <w:rPr>
                <w:rFonts w:cs="宋体" w:asciiTheme="minorEastAsia" w:hAnsiTheme="minorEastAsia"/>
                <w:szCs w:val="21"/>
              </w:rPr>
              <w:t>提供官网截图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jc w:val="center"/>
              <w:rPr>
                <w:rFonts w:asciiTheme="minorEastAsia" w:hAnsiTheme="minorEastAsia"/>
                <w:szCs w:val="21"/>
              </w:rPr>
            </w:pPr>
            <w:r>
              <w:rPr>
                <w:rFonts w:cs="宋体" w:asciiTheme="minorEastAsia" w:hAnsiTheme="minorEastAsia"/>
                <w:szCs w:val="21"/>
              </w:rPr>
              <w:t>资质要求</w:t>
            </w:r>
          </w:p>
        </w:tc>
        <w:tc>
          <w:tcPr>
            <w:tcW w:w="7952" w:type="dxa"/>
          </w:tcPr>
          <w:p>
            <w:pPr>
              <w:rPr>
                <w:rFonts w:asciiTheme="minorEastAsia" w:hAnsiTheme="minorEastAsia"/>
                <w:szCs w:val="21"/>
              </w:rPr>
            </w:pPr>
            <w:r>
              <w:rPr>
                <w:rFonts w:hint="eastAsia" w:cs="宋体" w:asciiTheme="minorEastAsia" w:hAnsiTheme="minorEastAsia"/>
                <w:szCs w:val="21"/>
              </w:rPr>
              <w:t>▲投标设备满足9级烈度的抗震等级，须提供工信部抗震检验报告</w:t>
            </w:r>
          </w:p>
        </w:tc>
      </w:tr>
    </w:tbl>
    <w:p/>
    <w:p>
      <w:pPr>
        <w:pStyle w:val="141"/>
        <w:numPr>
          <w:ilvl w:val="3"/>
          <w:numId w:val="7"/>
        </w:numPr>
        <w:tabs>
          <w:tab w:val="clear" w:pos="851"/>
        </w:tabs>
        <w:outlineLvl w:val="4"/>
        <w:rPr>
          <w:rFonts w:ascii="宋体" w:hAnsi="宋体" w:eastAsia="宋体" w:cs="宋体"/>
          <w:color w:val="auto"/>
          <w:sz w:val="24"/>
          <w:szCs w:val="24"/>
        </w:rPr>
      </w:pPr>
      <w:bookmarkStart w:id="154" w:name="_Toc46242019"/>
      <w:r>
        <w:rPr>
          <w:rFonts w:hint="eastAsia" w:ascii="宋体" w:hAnsi="宋体" w:eastAsia="宋体" w:cs="宋体"/>
          <w:color w:val="auto"/>
          <w:sz w:val="24"/>
          <w:szCs w:val="24"/>
        </w:rPr>
        <w:t>防火墙</w:t>
      </w:r>
      <w:bookmarkEnd w:id="154"/>
    </w:p>
    <w:tbl>
      <w:tblPr>
        <w:tblStyle w:val="55"/>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宋体" w:hAnsi="宋体"/>
                <w:b/>
                <w:bCs/>
                <w:szCs w:val="21"/>
              </w:rPr>
              <w:t>指标项</w:t>
            </w:r>
          </w:p>
        </w:tc>
        <w:tc>
          <w:tcPr>
            <w:tcW w:w="7950" w:type="dxa"/>
            <w:vAlign w:val="center"/>
          </w:tcPr>
          <w:p>
            <w:pPr>
              <w:jc w:val="center"/>
              <w:rPr>
                <w:rFonts w:asciiTheme="minorEastAsia" w:hAnsiTheme="minorEastAsia"/>
                <w:szCs w:val="21"/>
              </w:rPr>
            </w:pPr>
            <w:r>
              <w:rPr>
                <w:rFonts w:hint="eastAsia" w:ascii="宋体" w:hAnsi="宋体"/>
                <w:b/>
                <w:bCs/>
                <w:szCs w:val="21"/>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性能及配置要求</w:t>
            </w:r>
          </w:p>
        </w:tc>
        <w:tc>
          <w:tcPr>
            <w:tcW w:w="7950" w:type="dxa"/>
            <w:shd w:val="clear" w:color="auto" w:fill="auto"/>
          </w:tcPr>
          <w:p>
            <w:pPr>
              <w:rPr>
                <w:rFonts w:asciiTheme="minorEastAsia" w:hAnsiTheme="minorEastAsia"/>
                <w:szCs w:val="21"/>
              </w:rPr>
            </w:pPr>
            <w:r>
              <w:rPr>
                <w:rFonts w:hint="eastAsia" w:asciiTheme="minorEastAsia" w:hAnsiTheme="minorEastAsia"/>
                <w:szCs w:val="21"/>
              </w:rPr>
              <w:t>吞吐量≥</w:t>
            </w:r>
            <w:r>
              <w:rPr>
                <w:rFonts w:asciiTheme="minorEastAsia" w:hAnsiTheme="minorEastAsia"/>
                <w:szCs w:val="21"/>
              </w:rPr>
              <w:t>12G</w:t>
            </w:r>
            <w:r>
              <w:rPr>
                <w:rFonts w:hint="eastAsia" w:asciiTheme="minorEastAsia" w:hAnsiTheme="minorEastAsia"/>
                <w:szCs w:val="21"/>
              </w:rPr>
              <w:t>bps，最大并发连接数≥</w:t>
            </w:r>
            <w:r>
              <w:rPr>
                <w:rFonts w:asciiTheme="minorEastAsia" w:hAnsiTheme="minorEastAsia"/>
                <w:szCs w:val="21"/>
              </w:rPr>
              <w:t>600</w:t>
            </w:r>
            <w:r>
              <w:rPr>
                <w:rFonts w:hint="eastAsia" w:asciiTheme="minorEastAsia" w:hAnsiTheme="minorEastAsia"/>
                <w:szCs w:val="21"/>
              </w:rPr>
              <w:t>万，每秒新建连接数≥1</w:t>
            </w:r>
            <w:r>
              <w:rPr>
                <w:rFonts w:asciiTheme="minorEastAsia" w:hAnsiTheme="minorEastAsia"/>
                <w:szCs w:val="21"/>
              </w:rPr>
              <w:t>7</w:t>
            </w:r>
            <w:r>
              <w:rPr>
                <w:rFonts w:hint="eastAsia" w:asciiTheme="minorEastAsia" w:hAnsiTheme="minorEastAsia"/>
                <w:szCs w:val="21"/>
              </w:rPr>
              <w:t>万，IPSec吞吐量≥</w:t>
            </w:r>
            <w:r>
              <w:rPr>
                <w:rFonts w:asciiTheme="minorEastAsia" w:hAnsiTheme="minorEastAsia"/>
                <w:szCs w:val="21"/>
              </w:rPr>
              <w:t>10G</w:t>
            </w:r>
            <w:r>
              <w:rPr>
                <w:rFonts w:hint="eastAsia" w:asciiTheme="minorEastAsia" w:hAnsiTheme="minorEastAsia"/>
                <w:szCs w:val="21"/>
              </w:rPr>
              <w:t>bps；实配：千兆电口≥1</w:t>
            </w:r>
            <w:r>
              <w:rPr>
                <w:rFonts w:asciiTheme="minorEastAsia" w:hAnsiTheme="minorEastAsia"/>
                <w:szCs w:val="21"/>
              </w:rPr>
              <w:t>6</w:t>
            </w:r>
            <w:r>
              <w:rPr>
                <w:rFonts w:hint="eastAsia" w:asciiTheme="minorEastAsia" w:hAnsiTheme="minorEastAsia"/>
                <w:szCs w:val="21"/>
              </w:rPr>
              <w:t>，千兆光口≥</w:t>
            </w:r>
            <w:r>
              <w:rPr>
                <w:rFonts w:asciiTheme="minorEastAsia" w:hAnsiTheme="minorEastAsia"/>
                <w:szCs w:val="21"/>
              </w:rPr>
              <w:t>6</w:t>
            </w:r>
            <w:r>
              <w:rPr>
                <w:rFonts w:hint="eastAsia" w:asciiTheme="minorEastAsia" w:hAnsiTheme="minorEastAsia"/>
                <w:szCs w:val="21"/>
              </w:rPr>
              <w:t>，万兆光口≥</w:t>
            </w:r>
            <w:r>
              <w:rPr>
                <w:rFonts w:asciiTheme="minorEastAsia" w:hAnsiTheme="minorEastAsia"/>
                <w:szCs w:val="21"/>
              </w:rPr>
              <w:t>6</w:t>
            </w:r>
            <w:r>
              <w:rPr>
                <w:rFonts w:hint="eastAsia" w:asciiTheme="minorEastAsia" w:hAnsiTheme="minorEastAsia"/>
                <w:szCs w:val="21"/>
              </w:rPr>
              <w:t>，SSL VPN并发数实配100可扩展2000，IPSec VPN隧道≥8000，虚拟防火墙数量≥200，双电源，硬盘≥2</w:t>
            </w:r>
            <w:r>
              <w:rPr>
                <w:rFonts w:asciiTheme="minorEastAsia" w:hAnsiTheme="minorEastAsia"/>
                <w:szCs w:val="21"/>
              </w:rPr>
              <w:t>40G</w:t>
            </w:r>
            <w:r>
              <w:rPr>
                <w:rFonts w:hint="eastAsia" w:asciiTheme="minorEastAsia" w:hAnsiTheme="minorEastAsia"/>
                <w:szCs w:val="21"/>
              </w:rPr>
              <w:t>，万兆多模模块≥4，千兆多模模块≥2，含3年入侵防御、防病毒、U</w:t>
            </w:r>
            <w:r>
              <w:rPr>
                <w:rFonts w:asciiTheme="minorEastAsia" w:hAnsiTheme="minorEastAsia"/>
                <w:szCs w:val="21"/>
              </w:rPr>
              <w:t>RL过滤</w:t>
            </w:r>
            <w:r>
              <w:rPr>
                <w:rFonts w:hint="eastAsia" w:asciiTheme="minorEastAsia" w:hAnsiTheme="minorEastAsia"/>
                <w:szCs w:val="21"/>
              </w:rPr>
              <w:t>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硬件要求</w:t>
            </w:r>
          </w:p>
        </w:tc>
        <w:tc>
          <w:tcPr>
            <w:tcW w:w="7950" w:type="dxa"/>
            <w:shd w:val="clear" w:color="auto" w:fill="auto"/>
          </w:tcPr>
          <w:p>
            <w:pPr>
              <w:rPr>
                <w:rFonts w:asciiTheme="minorEastAsia" w:hAnsiTheme="minorEastAsia"/>
                <w:szCs w:val="21"/>
              </w:rPr>
            </w:pPr>
            <w:r>
              <w:rPr>
                <w:rFonts w:hint="eastAsia" w:asciiTheme="minorEastAsia" w:hAnsiTheme="minorEastAsia"/>
                <w:szCs w:val="21"/>
              </w:rPr>
              <w:t>支持USB2.0，支持风扇热插拔，严格前后风道（提供官网链接及官网产品文档说明）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架构</w:t>
            </w:r>
          </w:p>
        </w:tc>
        <w:tc>
          <w:tcPr>
            <w:tcW w:w="7950" w:type="dxa"/>
            <w:shd w:val="clear" w:color="auto" w:fill="auto"/>
          </w:tcPr>
          <w:p>
            <w:pPr>
              <w:rPr>
                <w:rFonts w:asciiTheme="minorEastAsia" w:hAnsiTheme="minorEastAsia"/>
                <w:szCs w:val="21"/>
              </w:rPr>
            </w:pPr>
            <w:r>
              <w:rPr>
                <w:rFonts w:hint="eastAsia" w:asciiTheme="minorEastAsia" w:hAnsiTheme="minorEastAsia"/>
                <w:szCs w:val="21"/>
              </w:rPr>
              <w:t>▲关键元器件主控芯片、加速芯片、分发芯片国产化，提供第三方测试报告证明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jc w:val="center"/>
              <w:rPr>
                <w:rFonts w:asciiTheme="minorEastAsia" w:hAnsiTheme="minorEastAsia"/>
                <w:szCs w:val="21"/>
              </w:rPr>
            </w:pPr>
            <w:r>
              <w:rPr>
                <w:rFonts w:hint="eastAsia" w:asciiTheme="minorEastAsia" w:hAnsiTheme="minorEastAsia"/>
                <w:szCs w:val="21"/>
              </w:rPr>
              <w:t>I</w:t>
            </w:r>
            <w:r>
              <w:rPr>
                <w:rFonts w:asciiTheme="minorEastAsia" w:hAnsiTheme="minorEastAsia"/>
                <w:szCs w:val="21"/>
              </w:rPr>
              <w:t>PV6</w:t>
            </w:r>
          </w:p>
        </w:tc>
        <w:tc>
          <w:tcPr>
            <w:tcW w:w="7950" w:type="dxa"/>
            <w:vAlign w:val="center"/>
          </w:tcPr>
          <w:p>
            <w:pPr>
              <w:rPr>
                <w:rFonts w:asciiTheme="minorEastAsia" w:hAnsiTheme="minorEastAsia"/>
                <w:szCs w:val="21"/>
              </w:rPr>
            </w:pPr>
            <w:r>
              <w:rPr>
                <w:rFonts w:hint="eastAsia" w:asciiTheme="minorEastAsia" w:hAnsiTheme="minorEastAsia"/>
                <w:szCs w:val="21"/>
              </w:rPr>
              <w:t>支持IPv6协议栈、IPV6穿越技术、IPV6路由协议；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jc w:val="center"/>
              <w:rPr>
                <w:rFonts w:asciiTheme="minorEastAsia" w:hAnsiTheme="minorEastAsia"/>
                <w:szCs w:val="21"/>
              </w:rPr>
            </w:pPr>
          </w:p>
        </w:tc>
        <w:tc>
          <w:tcPr>
            <w:tcW w:w="7950" w:type="dxa"/>
            <w:vAlign w:val="center"/>
          </w:tcPr>
          <w:p>
            <w:pPr>
              <w:rPr>
                <w:rFonts w:asciiTheme="minorEastAsia" w:hAnsiTheme="minorEastAsia"/>
                <w:szCs w:val="21"/>
              </w:rPr>
            </w:pPr>
            <w:r>
              <w:rPr>
                <w:rFonts w:hint="eastAsia" w:asciiTheme="minorEastAsia" w:hAnsiTheme="minorEastAsia"/>
                <w:szCs w:val="21"/>
              </w:rPr>
              <w:t>支持NAT66，NAT64，6RD隧道；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协议识别</w:t>
            </w:r>
          </w:p>
        </w:tc>
        <w:tc>
          <w:tcPr>
            <w:tcW w:w="7950" w:type="dxa"/>
            <w:vAlign w:val="center"/>
          </w:tcPr>
          <w:p>
            <w:pPr>
              <w:rPr>
                <w:rFonts w:asciiTheme="minorEastAsia" w:hAnsiTheme="minorEastAsia"/>
                <w:szCs w:val="21"/>
              </w:rPr>
            </w:pPr>
            <w:r>
              <w:rPr>
                <w:rFonts w:hint="eastAsia" w:asciiTheme="minorEastAsia" w:hAnsiTheme="minorEastAsia"/>
                <w:szCs w:val="21"/>
              </w:rPr>
              <w:t>支持识别国标SIP协议及主流安防厂家的私有协议；（提供功能截图）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流量控制</w:t>
            </w:r>
          </w:p>
        </w:tc>
        <w:tc>
          <w:tcPr>
            <w:tcW w:w="7950" w:type="dxa"/>
          </w:tcPr>
          <w:p>
            <w:pPr>
              <w:rPr>
                <w:rFonts w:asciiTheme="minorEastAsia" w:hAnsiTheme="minorEastAsia"/>
                <w:szCs w:val="21"/>
              </w:rPr>
            </w:pPr>
            <w:r>
              <w:rPr>
                <w:rFonts w:hint="eastAsia" w:asciiTheme="minorEastAsia" w:hAnsiTheme="minorEastAsia"/>
                <w:szCs w:val="21"/>
              </w:rPr>
              <w:t>支持</w:t>
            </w:r>
            <w:r>
              <w:rPr>
                <w:rFonts w:asciiTheme="minorEastAsia" w:hAnsiTheme="minorEastAsia"/>
                <w:szCs w:val="21"/>
              </w:rPr>
              <w:t>每IP，</w:t>
            </w:r>
            <w:r>
              <w:rPr>
                <w:rFonts w:hint="eastAsia" w:asciiTheme="minorEastAsia" w:hAnsiTheme="minorEastAsia"/>
                <w:szCs w:val="21"/>
              </w:rPr>
              <w:t xml:space="preserve"> 每</w:t>
            </w:r>
            <w:r>
              <w:rPr>
                <w:rFonts w:asciiTheme="minorEastAsia" w:hAnsiTheme="minorEastAsia"/>
                <w:szCs w:val="21"/>
              </w:rPr>
              <w:t>用户的最大连接数限制</w:t>
            </w:r>
            <w:r>
              <w:rPr>
                <w:rFonts w:hint="eastAsia" w:asciiTheme="minorEastAsia" w:hAnsiTheme="minorEastAsia"/>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jc w:val="center"/>
              <w:rPr>
                <w:rFonts w:asciiTheme="minorEastAsia" w:hAnsiTheme="minorEastAsia"/>
                <w:szCs w:val="21"/>
              </w:rPr>
            </w:pPr>
            <w:r>
              <w:rPr>
                <w:rFonts w:hint="eastAsia" w:asciiTheme="minorEastAsia" w:hAnsiTheme="minorEastAsia"/>
                <w:szCs w:val="21"/>
              </w:rPr>
              <w:t>策略管理</w:t>
            </w:r>
          </w:p>
        </w:tc>
        <w:tc>
          <w:tcPr>
            <w:tcW w:w="7950" w:type="dxa"/>
          </w:tcPr>
          <w:p>
            <w:pPr>
              <w:rPr>
                <w:rFonts w:asciiTheme="minorEastAsia" w:hAnsiTheme="minorEastAsia"/>
                <w:szCs w:val="21"/>
              </w:rPr>
            </w:pPr>
            <w:r>
              <w:rPr>
                <w:rFonts w:hint="eastAsia" w:asciiTheme="minorEastAsia" w:hAnsiTheme="minorEastAsia"/>
                <w:szCs w:val="21"/>
              </w:rPr>
              <w:t>能够基于IP、IPv6、MAC地址、时间进行访问控制策略控制;支持自定义安全策略，安全策略组功能；支持策略冗余/命中分析；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jc w:val="center"/>
              <w:rPr>
                <w:rFonts w:asciiTheme="minorEastAsia" w:hAnsiTheme="minorEastAsia"/>
                <w:szCs w:val="21"/>
              </w:rPr>
            </w:pPr>
          </w:p>
        </w:tc>
        <w:tc>
          <w:tcPr>
            <w:tcW w:w="7950" w:type="dxa"/>
          </w:tcPr>
          <w:p>
            <w:pPr>
              <w:rPr>
                <w:rFonts w:asciiTheme="minorEastAsia" w:hAnsiTheme="minorEastAsia"/>
                <w:szCs w:val="21"/>
              </w:rPr>
            </w:pPr>
            <w:r>
              <w:rPr>
                <w:rFonts w:hint="eastAsia" w:asciiTheme="minorEastAsia" w:hAnsiTheme="minorEastAsia"/>
                <w:szCs w:val="21"/>
              </w:rPr>
              <w:t>支持与</w:t>
            </w:r>
            <w:r>
              <w:rPr>
                <w:rFonts w:asciiTheme="minorEastAsia" w:hAnsiTheme="minorEastAsia"/>
                <w:szCs w:val="21"/>
              </w:rPr>
              <w:t>firemon对接，实现策略的命中，冗余分析</w:t>
            </w:r>
            <w:r>
              <w:rPr>
                <w:rFonts w:hint="eastAsia" w:asciiTheme="minorEastAsia" w:hAnsiTheme="minorEastAsia"/>
                <w:szCs w:val="21"/>
              </w:rPr>
              <w:t>及</w:t>
            </w:r>
            <w:r>
              <w:rPr>
                <w:rFonts w:asciiTheme="minorEastAsia" w:hAnsiTheme="minorEastAsia"/>
                <w:szCs w:val="21"/>
              </w:rPr>
              <w:t>风险调优</w:t>
            </w:r>
            <w:r>
              <w:rPr>
                <w:rFonts w:hint="eastAsia" w:asciiTheme="minorEastAsia" w:hAnsiTheme="minorEastAsia"/>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jc w:val="center"/>
              <w:rPr>
                <w:rFonts w:asciiTheme="minorEastAsia" w:hAnsiTheme="minorEastAsia"/>
                <w:szCs w:val="21"/>
              </w:rPr>
            </w:pPr>
            <w:r>
              <w:rPr>
                <w:rFonts w:hint="eastAsia" w:asciiTheme="minorEastAsia" w:hAnsiTheme="minorEastAsia"/>
                <w:szCs w:val="21"/>
              </w:rPr>
              <w:t>数据安全</w:t>
            </w:r>
          </w:p>
        </w:tc>
        <w:tc>
          <w:tcPr>
            <w:tcW w:w="7950" w:type="dxa"/>
          </w:tcPr>
          <w:p>
            <w:pPr>
              <w:rPr>
                <w:rFonts w:asciiTheme="minorEastAsia" w:hAnsiTheme="minorEastAsia"/>
                <w:szCs w:val="21"/>
              </w:rPr>
            </w:pPr>
            <w:r>
              <w:rPr>
                <w:rFonts w:hint="eastAsia" w:asciiTheme="minorEastAsia" w:hAnsiTheme="minorEastAsia"/>
                <w:szCs w:val="21"/>
              </w:rPr>
              <w:t>支持DNS</w:t>
            </w:r>
            <w:r>
              <w:rPr>
                <w:rFonts w:asciiTheme="minorEastAsia" w:hAnsiTheme="minorEastAsia"/>
                <w:szCs w:val="21"/>
              </w:rPr>
              <w:t>过滤，提高WEB网页过滤的性能</w:t>
            </w:r>
            <w:r>
              <w:rPr>
                <w:rFonts w:hint="eastAsia" w:asciiTheme="minorEastAsia" w:hAnsiTheme="minorEastAsia"/>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jc w:val="center"/>
              <w:rPr>
                <w:rFonts w:asciiTheme="minorEastAsia" w:hAnsiTheme="minorEastAsia"/>
                <w:szCs w:val="21"/>
              </w:rPr>
            </w:pPr>
          </w:p>
        </w:tc>
        <w:tc>
          <w:tcPr>
            <w:tcW w:w="7950" w:type="dxa"/>
          </w:tcPr>
          <w:p>
            <w:pPr>
              <w:rPr>
                <w:rFonts w:asciiTheme="minorEastAsia" w:hAnsiTheme="minorEastAsia"/>
                <w:szCs w:val="21"/>
              </w:rPr>
            </w:pPr>
            <w:r>
              <w:rPr>
                <w:rFonts w:hint="eastAsia" w:asciiTheme="minorEastAsia" w:hAnsiTheme="minorEastAsia"/>
                <w:szCs w:val="21"/>
              </w:rPr>
              <w:t>支持数据防泄露，对传输的文件和内容进行识别过滤，对内容与身份证、信用卡、银行卡、社会安全卡号等类型进行匹配；（提供功能截图）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DDoS防护</w:t>
            </w:r>
          </w:p>
        </w:tc>
        <w:tc>
          <w:tcPr>
            <w:tcW w:w="7950" w:type="dxa"/>
          </w:tcPr>
          <w:p>
            <w:pPr>
              <w:rPr>
                <w:rFonts w:asciiTheme="minorEastAsia" w:hAnsiTheme="minorEastAsia"/>
                <w:szCs w:val="21"/>
              </w:rPr>
            </w:pPr>
            <w:r>
              <w:rPr>
                <w:rFonts w:hint="eastAsia" w:asciiTheme="minorEastAsia" w:hAnsiTheme="minorEastAsia"/>
                <w:szCs w:val="21"/>
              </w:rPr>
              <w:t>支持HTTP、HTTPS、DNS、SIP等应用层Flood攻击，支持流量自学习功能，可设置自学习时间，并自动生成DDoS防范策略；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jc w:val="center"/>
              <w:rPr>
                <w:rFonts w:asciiTheme="minorEastAsia" w:hAnsiTheme="minorEastAsia"/>
                <w:szCs w:val="21"/>
              </w:rPr>
            </w:pPr>
            <w:r>
              <w:rPr>
                <w:rFonts w:hint="eastAsia" w:asciiTheme="minorEastAsia" w:hAnsiTheme="minorEastAsia"/>
                <w:szCs w:val="21"/>
              </w:rPr>
              <w:t>入侵防御及</w:t>
            </w:r>
            <w:r>
              <w:rPr>
                <w:rFonts w:asciiTheme="minorEastAsia" w:hAnsiTheme="minorEastAsia"/>
                <w:szCs w:val="21"/>
              </w:rPr>
              <w:t>病毒防护</w:t>
            </w:r>
          </w:p>
        </w:tc>
        <w:tc>
          <w:tcPr>
            <w:tcW w:w="7950" w:type="dxa"/>
          </w:tcPr>
          <w:p>
            <w:pPr>
              <w:rPr>
                <w:rFonts w:asciiTheme="minorEastAsia" w:hAnsiTheme="minorEastAsia"/>
                <w:szCs w:val="21"/>
              </w:rPr>
            </w:pPr>
            <w:r>
              <w:rPr>
                <w:rFonts w:hint="eastAsia" w:asciiTheme="minorEastAsia" w:hAnsiTheme="minorEastAsia"/>
                <w:szCs w:val="21"/>
              </w:rPr>
              <w:t>基于特征检测，支持超过</w:t>
            </w:r>
            <w:r>
              <w:rPr>
                <w:rFonts w:asciiTheme="minorEastAsia" w:hAnsiTheme="minorEastAsia"/>
                <w:szCs w:val="21"/>
              </w:rPr>
              <w:t>8000</w:t>
            </w:r>
            <w:r>
              <w:rPr>
                <w:rFonts w:hint="eastAsia" w:asciiTheme="minorEastAsia" w:hAnsiTheme="minorEastAsia"/>
                <w:szCs w:val="21"/>
              </w:rPr>
              <w:t>种特征的攻击检测和防御；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jc w:val="center"/>
              <w:rPr>
                <w:rFonts w:asciiTheme="minorEastAsia" w:hAnsiTheme="minorEastAsia"/>
                <w:szCs w:val="21"/>
              </w:rPr>
            </w:pPr>
          </w:p>
        </w:tc>
        <w:tc>
          <w:tcPr>
            <w:tcW w:w="7950" w:type="dxa"/>
          </w:tcPr>
          <w:p>
            <w:pPr>
              <w:rPr>
                <w:rFonts w:asciiTheme="minorEastAsia" w:hAnsiTheme="minorEastAsia"/>
                <w:szCs w:val="21"/>
              </w:rPr>
            </w:pPr>
            <w:r>
              <w:rPr>
                <w:rFonts w:hint="eastAsia" w:asciiTheme="minorEastAsia" w:hAnsiTheme="minorEastAsia"/>
                <w:szCs w:val="21"/>
              </w:rPr>
              <w:t>支持对常见应用服务（HTTP、FTP、SSH、SMTP、IMAP）和数据库软件（MySQL、Oracle、MSSQL）的口令暴力破解防护功能；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jc w:val="center"/>
              <w:rPr>
                <w:rFonts w:asciiTheme="minorEastAsia" w:hAnsiTheme="minorEastAsia"/>
                <w:szCs w:val="21"/>
              </w:rPr>
            </w:pPr>
            <w:r>
              <w:rPr>
                <w:rFonts w:hint="eastAsia" w:asciiTheme="minorEastAsia" w:hAnsiTheme="minorEastAsia"/>
                <w:szCs w:val="21"/>
              </w:rPr>
              <w:t>加密</w:t>
            </w:r>
            <w:r>
              <w:rPr>
                <w:rFonts w:asciiTheme="minorEastAsia" w:hAnsiTheme="minorEastAsia"/>
                <w:szCs w:val="21"/>
              </w:rPr>
              <w:t>流量</w:t>
            </w:r>
            <w:r>
              <w:rPr>
                <w:rFonts w:hint="eastAsia" w:asciiTheme="minorEastAsia" w:hAnsiTheme="minorEastAsia"/>
                <w:szCs w:val="21"/>
              </w:rPr>
              <w:t>安全防护</w:t>
            </w:r>
          </w:p>
        </w:tc>
        <w:tc>
          <w:tcPr>
            <w:tcW w:w="7950" w:type="dxa"/>
          </w:tcPr>
          <w:p>
            <w:pPr>
              <w:rPr>
                <w:rFonts w:asciiTheme="minorEastAsia" w:hAnsiTheme="minorEastAsia"/>
                <w:szCs w:val="21"/>
              </w:rPr>
            </w:pPr>
            <w:r>
              <w:rPr>
                <w:rFonts w:hint="eastAsia" w:asciiTheme="minorEastAsia" w:hAnsiTheme="minorEastAsia"/>
                <w:szCs w:val="21"/>
              </w:rPr>
              <w:t>支持基于URL分类的精细化解密，提高解密性能；（提供功能截图）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jc w:val="center"/>
              <w:rPr>
                <w:rFonts w:asciiTheme="minorEastAsia" w:hAnsiTheme="minorEastAsia"/>
                <w:szCs w:val="21"/>
              </w:rPr>
            </w:pPr>
          </w:p>
        </w:tc>
        <w:tc>
          <w:tcPr>
            <w:tcW w:w="7950" w:type="dxa"/>
          </w:tcPr>
          <w:p>
            <w:pPr>
              <w:rPr>
                <w:rFonts w:asciiTheme="minorEastAsia" w:hAnsiTheme="minorEastAsia"/>
                <w:szCs w:val="21"/>
              </w:rPr>
            </w:pPr>
            <w:r>
              <w:rPr>
                <w:rFonts w:hint="eastAsia" w:asciiTheme="minorEastAsia" w:hAnsiTheme="minorEastAsia"/>
                <w:szCs w:val="21"/>
              </w:rPr>
              <w:t>支持对HTTPS，POP3S，SMTPS,IMAPS加密流量代理解密后，并进行内容过滤，审计，安全防护；（提供功能截图）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restart"/>
            <w:vAlign w:val="center"/>
          </w:tcPr>
          <w:p>
            <w:pPr>
              <w:jc w:val="center"/>
              <w:rPr>
                <w:rFonts w:asciiTheme="minorEastAsia" w:hAnsiTheme="minorEastAsia"/>
                <w:szCs w:val="21"/>
              </w:rPr>
            </w:pPr>
            <w:r>
              <w:rPr>
                <w:rFonts w:hint="eastAsia" w:asciiTheme="minorEastAsia" w:hAnsiTheme="minorEastAsia"/>
                <w:szCs w:val="21"/>
              </w:rPr>
              <w:t>智能威胁</w:t>
            </w:r>
            <w:r>
              <w:rPr>
                <w:rFonts w:asciiTheme="minorEastAsia" w:hAnsiTheme="minorEastAsia"/>
                <w:szCs w:val="21"/>
              </w:rPr>
              <w:t>防御</w:t>
            </w:r>
          </w:p>
        </w:tc>
        <w:tc>
          <w:tcPr>
            <w:tcW w:w="7950" w:type="dxa"/>
          </w:tcPr>
          <w:p>
            <w:pPr>
              <w:rPr>
                <w:rFonts w:asciiTheme="minorEastAsia" w:hAnsiTheme="minorEastAsia"/>
                <w:szCs w:val="21"/>
              </w:rPr>
            </w:pPr>
            <w:r>
              <w:rPr>
                <w:rFonts w:hint="eastAsia" w:asciiTheme="minorEastAsia" w:hAnsiTheme="minorEastAsia"/>
                <w:szCs w:val="21"/>
              </w:rPr>
              <w:t>支持防火墙与云沙箱，本地</w:t>
            </w:r>
            <w:r>
              <w:rPr>
                <w:rFonts w:asciiTheme="minorEastAsia" w:hAnsiTheme="minorEastAsia"/>
                <w:szCs w:val="21"/>
              </w:rPr>
              <w:t>沙箱混合</w:t>
            </w:r>
            <w:r>
              <w:rPr>
                <w:rFonts w:hint="eastAsia" w:asciiTheme="minorEastAsia" w:hAnsiTheme="minorEastAsia"/>
                <w:szCs w:val="21"/>
              </w:rPr>
              <w:t>联动</w:t>
            </w:r>
            <w:r>
              <w:rPr>
                <w:rFonts w:asciiTheme="minorEastAsia" w:hAnsiTheme="minorEastAsia"/>
                <w:szCs w:val="21"/>
              </w:rPr>
              <w:t>，敏感文件在本地沙箱检测，普通文件上传到云沙箱，</w:t>
            </w:r>
            <w:r>
              <w:rPr>
                <w:rFonts w:hint="eastAsia" w:asciiTheme="minorEastAsia" w:hAnsiTheme="minorEastAsia"/>
                <w:szCs w:val="21"/>
              </w:rPr>
              <w:t>及保护</w:t>
            </w:r>
            <w:r>
              <w:rPr>
                <w:rFonts w:asciiTheme="minorEastAsia" w:hAnsiTheme="minorEastAsia"/>
                <w:szCs w:val="21"/>
              </w:rPr>
              <w:t>了客户敏感数据有提高了云</w:t>
            </w:r>
            <w:r>
              <w:rPr>
                <w:rFonts w:hint="eastAsia" w:asciiTheme="minorEastAsia" w:hAnsiTheme="minorEastAsia"/>
                <w:szCs w:val="21"/>
              </w:rPr>
              <w:t>检测</w:t>
            </w:r>
            <w:r>
              <w:rPr>
                <w:rFonts w:asciiTheme="minorEastAsia" w:hAnsiTheme="minorEastAsia"/>
                <w:szCs w:val="21"/>
              </w:rPr>
              <w:t>能力</w:t>
            </w:r>
            <w:r>
              <w:rPr>
                <w:rFonts w:hint="eastAsia" w:asciiTheme="minorEastAsia" w:hAnsiTheme="minorEastAsia"/>
                <w:szCs w:val="21"/>
              </w:rPr>
              <w:t>；（提供功能截图）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jc w:val="center"/>
              <w:rPr>
                <w:rFonts w:asciiTheme="minorEastAsia" w:hAnsiTheme="minorEastAsia"/>
                <w:szCs w:val="21"/>
              </w:rPr>
            </w:pPr>
          </w:p>
        </w:tc>
        <w:tc>
          <w:tcPr>
            <w:tcW w:w="7950" w:type="dxa"/>
          </w:tcPr>
          <w:p>
            <w:pPr>
              <w:rPr>
                <w:rFonts w:asciiTheme="minorEastAsia" w:hAnsiTheme="minorEastAsia"/>
                <w:szCs w:val="21"/>
              </w:rPr>
            </w:pPr>
            <w:r>
              <w:rPr>
                <w:rFonts w:hint="eastAsia" w:asciiTheme="minorEastAsia" w:hAnsiTheme="minorEastAsia"/>
                <w:szCs w:val="21"/>
              </w:rPr>
              <w:t>防火墙支持</w:t>
            </w:r>
            <w:r>
              <w:rPr>
                <w:rFonts w:asciiTheme="minorEastAsia" w:hAnsiTheme="minorEastAsia"/>
                <w:szCs w:val="21"/>
              </w:rPr>
              <w:t>流探针功能，</w:t>
            </w:r>
            <w:r>
              <w:rPr>
                <w:rFonts w:hint="eastAsia" w:asciiTheme="minorEastAsia" w:hAnsiTheme="minorEastAsia"/>
                <w:szCs w:val="21"/>
              </w:rPr>
              <w:t>可</w:t>
            </w:r>
            <w:r>
              <w:rPr>
                <w:rFonts w:asciiTheme="minorEastAsia" w:hAnsiTheme="minorEastAsia"/>
                <w:szCs w:val="21"/>
              </w:rPr>
              <w:t>对网络中的流量进行采集，</w:t>
            </w:r>
            <w:r>
              <w:rPr>
                <w:rFonts w:hint="eastAsia" w:asciiTheme="minorEastAsia" w:hAnsiTheme="minorEastAsia"/>
                <w:szCs w:val="21"/>
              </w:rPr>
              <w:t>上送</w:t>
            </w:r>
            <w:r>
              <w:rPr>
                <w:rFonts w:asciiTheme="minorEastAsia" w:hAnsiTheme="minorEastAsia"/>
                <w:szCs w:val="21"/>
              </w:rPr>
              <w:t>网络安全智能分析系统进行威胁分析</w:t>
            </w:r>
            <w:r>
              <w:rPr>
                <w:rFonts w:hint="eastAsia"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Merge w:val="continue"/>
            <w:vAlign w:val="center"/>
          </w:tcPr>
          <w:p>
            <w:pPr>
              <w:jc w:val="center"/>
              <w:rPr>
                <w:rFonts w:asciiTheme="minorEastAsia" w:hAnsiTheme="minorEastAsia"/>
                <w:szCs w:val="21"/>
              </w:rPr>
            </w:pPr>
          </w:p>
        </w:tc>
        <w:tc>
          <w:tcPr>
            <w:tcW w:w="7950" w:type="dxa"/>
          </w:tcPr>
          <w:p>
            <w:pPr>
              <w:rPr>
                <w:rFonts w:asciiTheme="minorEastAsia" w:hAnsiTheme="minorEastAsia"/>
                <w:szCs w:val="21"/>
              </w:rPr>
            </w:pPr>
            <w:r>
              <w:rPr>
                <w:rFonts w:hint="eastAsia" w:asciiTheme="minorEastAsia" w:hAnsiTheme="minorEastAsia"/>
                <w:szCs w:val="21"/>
              </w:rPr>
              <w:t>▲具有AI引擎用于DGA域名请求检测和恶意C&amp;C流量检测等，提供第三方测试报告；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可靠性</w:t>
            </w:r>
          </w:p>
        </w:tc>
        <w:tc>
          <w:tcPr>
            <w:tcW w:w="7950" w:type="dxa"/>
          </w:tcPr>
          <w:p>
            <w:pPr>
              <w:rPr>
                <w:rFonts w:asciiTheme="minorEastAsia" w:hAnsiTheme="minorEastAsia"/>
                <w:szCs w:val="21"/>
              </w:rPr>
            </w:pPr>
            <w:r>
              <w:rPr>
                <w:rFonts w:hint="eastAsia" w:asciiTheme="minorEastAsia" w:hAnsiTheme="minorEastAsia"/>
                <w:szCs w:val="21"/>
              </w:rPr>
              <w:t>支持BFD链路检测，支持BFD与VRRP联动实现双机快速切换，支持BFD与OSPF联动实现双机快速切换；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2" w:type="dxa"/>
            <w:vAlign w:val="center"/>
          </w:tcPr>
          <w:p>
            <w:pPr>
              <w:jc w:val="center"/>
              <w:rPr>
                <w:rFonts w:asciiTheme="minorEastAsia" w:hAnsiTheme="minorEastAsia"/>
                <w:szCs w:val="21"/>
              </w:rPr>
            </w:pPr>
            <w:r>
              <w:rPr>
                <w:rFonts w:hint="eastAsia" w:asciiTheme="minorEastAsia" w:hAnsiTheme="minorEastAsia"/>
                <w:szCs w:val="21"/>
              </w:rPr>
              <w:t>产品资质</w:t>
            </w:r>
          </w:p>
        </w:tc>
        <w:tc>
          <w:tcPr>
            <w:tcW w:w="7950" w:type="dxa"/>
          </w:tcPr>
          <w:p>
            <w:pPr>
              <w:rPr>
                <w:rFonts w:asciiTheme="minorEastAsia" w:hAnsiTheme="minorEastAsia"/>
                <w:szCs w:val="21"/>
              </w:rPr>
            </w:pPr>
            <w:r>
              <w:rPr>
                <w:rFonts w:hint="eastAsia" w:asciiTheme="minorEastAsia" w:hAnsiTheme="minorEastAsia"/>
                <w:szCs w:val="21"/>
              </w:rPr>
              <w:t>防火墙产品连续7年进入Gartner企业防火墙四象限，提供证明材料</w:t>
            </w:r>
          </w:p>
        </w:tc>
      </w:tr>
      <w:bookmarkEnd w:id="118"/>
      <w:bookmarkEnd w:id="119"/>
      <w:bookmarkEnd w:id="123"/>
    </w:tbl>
    <w:p>
      <w:pPr>
        <w:pStyle w:val="141"/>
        <w:numPr>
          <w:ilvl w:val="3"/>
          <w:numId w:val="7"/>
        </w:numPr>
        <w:tabs>
          <w:tab w:val="clear" w:pos="851"/>
        </w:tabs>
        <w:outlineLvl w:val="4"/>
        <w:rPr>
          <w:rFonts w:ascii="宋体" w:hAnsi="宋体" w:eastAsia="宋体" w:cs="宋体"/>
          <w:color w:val="auto"/>
          <w:sz w:val="24"/>
          <w:szCs w:val="24"/>
        </w:rPr>
      </w:pPr>
      <w:bookmarkStart w:id="155" w:name="_Toc46242020"/>
      <w:r>
        <w:rPr>
          <w:rFonts w:hint="eastAsia" w:ascii="宋体" w:hAnsi="宋体" w:eastAsia="宋体" w:cs="宋体"/>
          <w:color w:val="auto"/>
          <w:sz w:val="24"/>
          <w:szCs w:val="24"/>
        </w:rPr>
        <w:t>安全一体机网关</w:t>
      </w:r>
      <w:bookmarkEnd w:id="155"/>
    </w:p>
    <w:tbl>
      <w:tblPr>
        <w:tblStyle w:val="54"/>
        <w:tblW w:w="9402" w:type="dxa"/>
        <w:tblInd w:w="0" w:type="dxa"/>
        <w:tblLayout w:type="fixed"/>
        <w:tblCellMar>
          <w:top w:w="0" w:type="dxa"/>
          <w:left w:w="108" w:type="dxa"/>
          <w:bottom w:w="0" w:type="dxa"/>
          <w:right w:w="108" w:type="dxa"/>
        </w:tblCellMar>
      </w:tblPr>
      <w:tblGrid>
        <w:gridCol w:w="1354"/>
        <w:gridCol w:w="8048"/>
      </w:tblGrid>
      <w:tr>
        <w:tblPrEx>
          <w:tblLayout w:type="fixed"/>
          <w:tblCellMar>
            <w:top w:w="0" w:type="dxa"/>
            <w:left w:w="108" w:type="dxa"/>
            <w:bottom w:w="0" w:type="dxa"/>
            <w:right w:w="108" w:type="dxa"/>
          </w:tblCellMar>
        </w:tblPrEx>
        <w:trPr>
          <w:trHeight w:val="270" w:hRule="atLeast"/>
        </w:trPr>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b/>
                <w:szCs w:val="21"/>
              </w:rPr>
            </w:pPr>
            <w:r>
              <w:rPr>
                <w:rFonts w:hint="eastAsia" w:ascii="宋体" w:hAnsi="宋体" w:cs="宋体"/>
                <w:b/>
                <w:szCs w:val="21"/>
              </w:rPr>
              <w:t>指标项</w:t>
            </w:r>
          </w:p>
        </w:tc>
        <w:tc>
          <w:tcPr>
            <w:tcW w:w="80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b/>
                <w:szCs w:val="21"/>
              </w:rPr>
            </w:pPr>
            <w:r>
              <w:rPr>
                <w:rFonts w:hint="eastAsia" w:ascii="宋体" w:hAnsi="宋体" w:cs="宋体"/>
                <w:b/>
                <w:szCs w:val="21"/>
              </w:rPr>
              <w:t>指标要求</w:t>
            </w:r>
          </w:p>
        </w:tc>
      </w:tr>
      <w:tr>
        <w:tblPrEx>
          <w:tblLayout w:type="fixed"/>
          <w:tblCellMar>
            <w:top w:w="0" w:type="dxa"/>
            <w:left w:w="108" w:type="dxa"/>
            <w:bottom w:w="0" w:type="dxa"/>
            <w:right w:w="108" w:type="dxa"/>
          </w:tblCellMar>
        </w:tblPrEx>
        <w:trPr>
          <w:trHeight w:val="270" w:hRule="atLeast"/>
        </w:trPr>
        <w:tc>
          <w:tcPr>
            <w:tcW w:w="135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硬件参数</w:t>
            </w: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CPU不低于2.20 GHz*2</w:t>
            </w:r>
          </w:p>
          <w:p>
            <w:pPr>
              <w:rPr>
                <w:rFonts w:ascii="宋体" w:hAnsi="宋体" w:cs="宋体"/>
                <w:szCs w:val="21"/>
              </w:rPr>
            </w:pPr>
            <w:r>
              <w:rPr>
                <w:rFonts w:hint="eastAsia" w:ascii="宋体" w:hAnsi="宋体" w:cs="宋体"/>
                <w:szCs w:val="21"/>
              </w:rPr>
              <w:t>内存不低于128G</w:t>
            </w:r>
          </w:p>
          <w:p>
            <w:pPr>
              <w:rPr>
                <w:rFonts w:ascii="宋体" w:hAnsi="宋体" w:cs="宋体"/>
                <w:szCs w:val="21"/>
              </w:rPr>
            </w:pPr>
            <w:r>
              <w:rPr>
                <w:rFonts w:hint="eastAsia" w:ascii="宋体" w:hAnsi="宋体" w:cs="宋体"/>
                <w:szCs w:val="21"/>
              </w:rPr>
              <w:t>硬盘不低于480G SSD缓存盘，2T*2数据盘</w:t>
            </w:r>
          </w:p>
          <w:p>
            <w:pPr>
              <w:rPr>
                <w:rFonts w:ascii="宋体" w:hAnsi="宋体" w:cs="宋体"/>
                <w:szCs w:val="21"/>
              </w:rPr>
            </w:pPr>
            <w:r>
              <w:rPr>
                <w:rFonts w:hint="eastAsia" w:ascii="宋体" w:hAnsi="宋体" w:cs="宋体"/>
                <w:szCs w:val="21"/>
              </w:rPr>
              <w:t>网口不低于6个千兆电口，2个万兆光口</w:t>
            </w:r>
          </w:p>
        </w:tc>
      </w:tr>
      <w:tr>
        <w:tblPrEx>
          <w:tblLayout w:type="fixed"/>
          <w:tblCellMar>
            <w:top w:w="0" w:type="dxa"/>
            <w:left w:w="108" w:type="dxa"/>
            <w:bottom w:w="0" w:type="dxa"/>
            <w:right w:w="108" w:type="dxa"/>
          </w:tblCellMar>
        </w:tblPrEx>
        <w:trPr>
          <w:trHeight w:val="633" w:hRule="atLeast"/>
        </w:trPr>
        <w:tc>
          <w:tcPr>
            <w:tcW w:w="135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产品形态</w:t>
            </w: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产品支持软、硬件一体化与软硬件解耦两种部署方式</w:t>
            </w:r>
          </w:p>
        </w:tc>
      </w:tr>
      <w:tr>
        <w:tblPrEx>
          <w:tblLayout w:type="fixed"/>
          <w:tblCellMar>
            <w:top w:w="0" w:type="dxa"/>
            <w:left w:w="108" w:type="dxa"/>
            <w:bottom w:w="0" w:type="dxa"/>
            <w:right w:w="108" w:type="dxa"/>
          </w:tblCellMar>
        </w:tblPrEx>
        <w:trPr>
          <w:trHeight w:val="633" w:hRule="atLeast"/>
        </w:trPr>
        <w:tc>
          <w:tcPr>
            <w:tcW w:w="135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部署模式</w:t>
            </w: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▲支持网桥、路由、旁路模式部署（提供界面截图证明并加盖厂商公章）</w:t>
            </w:r>
          </w:p>
        </w:tc>
      </w:tr>
      <w:tr>
        <w:tblPrEx>
          <w:tblLayout w:type="fixed"/>
          <w:tblCellMar>
            <w:top w:w="0" w:type="dxa"/>
            <w:left w:w="108" w:type="dxa"/>
            <w:bottom w:w="0" w:type="dxa"/>
            <w:right w:w="108" w:type="dxa"/>
          </w:tblCellMar>
        </w:tblPrEx>
        <w:trPr>
          <w:trHeight w:val="270" w:hRule="atLeast"/>
        </w:trPr>
        <w:tc>
          <w:tcPr>
            <w:tcW w:w="1354" w:type="dxa"/>
            <w:vMerge w:val="restart"/>
            <w:tcBorders>
              <w:top w:val="nil"/>
              <w:left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平台要求</w:t>
            </w: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本次平台授权包含上网行为管理组件、运维审计组件、日志审计组件、主机杀毒等安全功能组件，堡垒机接入授权≥20个，日志审计接入授权≥20个，终端安全授权≥80个，上网行为管理处理能力≥200M</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 xml:space="preserve">平台可根据实际业务环境定义业务安全区域，简化运维管理； </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▲在管理平台上可以通过拖拽虚拟设备图标和连线就能完成网络拓扑的构建，快速的实现整个业务逻辑的编排，并且可以连接、开启、关闭虚拟网络设备。（提供界面截图证明并加盖厂商公章）</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平台首页可以展示详细主机状态、磁盘状态及应用状态，以及业务和用户遭受的安全风险、待处理的系统事件等相关安全信息；</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平台支持模板化的组件部署模式，至少支持出口边界安全模板、等保合规安全模板（提供界面截图证明并加盖厂商公章）</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支持故障迁移功能，当主机发生故障迁移后，可自动将组件迁移到其他主机上运行；</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▲为了提供更好的排障手段，支持在平台内节点抓包分析分析功能，能够设置抓包的网口、过滤条件、文件大小等参数（提供界面截图证明并加盖厂商公章）</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bookmarkStart w:id="156" w:name="_Hlk511382877"/>
            <w:r>
              <w:rPr>
                <w:rFonts w:hint="eastAsia" w:ascii="宋体" w:hAnsi="宋体" w:cs="宋体"/>
                <w:szCs w:val="21"/>
              </w:rPr>
              <w:t>▲平台支持关键安全组件双机功能，保障安全组件高可用</w:t>
            </w:r>
            <w:bookmarkEnd w:id="156"/>
            <w:r>
              <w:rPr>
                <w:rFonts w:hint="eastAsia" w:ascii="宋体" w:hAnsi="宋体" w:cs="宋体"/>
                <w:szCs w:val="21"/>
              </w:rPr>
              <w:t>；在双机场景下，管理平台要支持双机配置同步，在硬件故障时保障无感知切换。（提供界面截图证明并加盖厂商公章）</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支持基于一体化平台的安全运营中心功能，至少能够提供业务、用户视角的安全风险展示。</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针对业务、用户的风险事件进行分类，至少包含已经明确失陷的业务以及业务的威胁、脆弱性分析。同时能够针对已经实现、具备威胁与脆弱性不同阶段的安全事件进行等级描述、定位事件从何种安全组件上报，是否处理以及安全事件详情。（提供界面截图证明并加盖厂商公章）</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至少支持业务维度与攻击维度的大屏展示功能</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支持双因素认证功能，用户需在登录时进行双重认证，以此提高用户的安全性。</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支持禁用默认超级管理员账号，防止特权账号被滥用。</w:t>
            </w:r>
          </w:p>
        </w:tc>
      </w:tr>
      <w:tr>
        <w:tblPrEx>
          <w:tblLayout w:type="fixed"/>
          <w:tblCellMar>
            <w:top w:w="0" w:type="dxa"/>
            <w:left w:w="108" w:type="dxa"/>
            <w:bottom w:w="0" w:type="dxa"/>
            <w:right w:w="108" w:type="dxa"/>
          </w:tblCellMar>
        </w:tblPrEx>
        <w:trPr>
          <w:trHeight w:val="270" w:hRule="atLeast"/>
        </w:trPr>
        <w:tc>
          <w:tcPr>
            <w:tcW w:w="1354" w:type="dxa"/>
            <w:vMerge w:val="continue"/>
            <w:tcBorders>
              <w:left w:val="single" w:color="auto" w:sz="4" w:space="0"/>
              <w:bottom w:val="single" w:color="auto" w:sz="4" w:space="0"/>
              <w:right w:val="single" w:color="auto" w:sz="4" w:space="0"/>
            </w:tcBorders>
            <w:shd w:val="clear" w:color="auto" w:fill="auto"/>
            <w:vAlign w:val="center"/>
          </w:tcPr>
          <w:p>
            <w:pPr>
              <w:rPr>
                <w:rFonts w:ascii="宋体" w:hAnsi="宋体" w:cs="宋体"/>
                <w:szCs w:val="21"/>
              </w:rPr>
            </w:pPr>
          </w:p>
        </w:tc>
        <w:tc>
          <w:tcPr>
            <w:tcW w:w="8048" w:type="dxa"/>
            <w:tcBorders>
              <w:top w:val="nil"/>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支持针对安全组件账号的三权分立管理，实现平台管理员账号与安全组件账号权限的对应，防止平台管理员对安全组件进行越权操作。</w:t>
            </w:r>
          </w:p>
        </w:tc>
      </w:tr>
      <w:tr>
        <w:tblPrEx>
          <w:tblLayout w:type="fixed"/>
          <w:tblCellMar>
            <w:top w:w="0" w:type="dxa"/>
            <w:left w:w="108" w:type="dxa"/>
            <w:bottom w:w="0" w:type="dxa"/>
            <w:right w:w="108" w:type="dxa"/>
          </w:tblCellMar>
        </w:tblPrEx>
        <w:trPr>
          <w:trHeight w:val="784" w:hRule="atLeast"/>
        </w:trPr>
        <w:tc>
          <w:tcPr>
            <w:tcW w:w="1354" w:type="dxa"/>
            <w:vMerge w:val="restart"/>
            <w:tcBorders>
              <w:top w:val="single" w:color="auto" w:sz="4" w:space="0"/>
              <w:left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上网行为管理功能要求</w:t>
            </w: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支持细致的管理员权限划分，包括对不同用户组的管理权限、对各种主要功能界面的配置和查看权限；</w:t>
            </w:r>
          </w:p>
        </w:tc>
      </w:tr>
      <w:tr>
        <w:tblPrEx>
          <w:tblLayout w:type="fixed"/>
          <w:tblCellMar>
            <w:top w:w="0" w:type="dxa"/>
            <w:left w:w="108" w:type="dxa"/>
            <w:bottom w:w="0" w:type="dxa"/>
            <w:right w:w="108" w:type="dxa"/>
          </w:tblCellMar>
        </w:tblPrEx>
        <w:trPr>
          <w:trHeight w:val="784"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bookmarkStart w:id="157" w:name="_Hlk511381615"/>
            <w:r>
              <w:rPr>
                <w:rFonts w:hint="eastAsia" w:ascii="宋体" w:hAnsi="宋体" w:cs="宋体"/>
                <w:szCs w:val="21"/>
              </w:rPr>
              <w:t>▲支持终端调用管理员指定脚本/程序以满足个性化检查要求，比如检测系统更新是否开启、开放端口、已安装程序列表、终端发通知等；（提供界面截图证明并加盖厂商公章）</w:t>
            </w:r>
            <w:bookmarkEnd w:id="157"/>
          </w:p>
        </w:tc>
      </w:tr>
      <w:tr>
        <w:tblPrEx>
          <w:tblLayout w:type="fixed"/>
          <w:tblCellMar>
            <w:top w:w="0" w:type="dxa"/>
            <w:left w:w="108" w:type="dxa"/>
            <w:bottom w:w="0" w:type="dxa"/>
            <w:right w:w="108" w:type="dxa"/>
          </w:tblCellMar>
        </w:tblPrEx>
        <w:trPr>
          <w:trHeight w:val="644"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必须支持以USB-Key方式验证接入数据中心的管理员身份；</w:t>
            </w:r>
          </w:p>
          <w:p>
            <w:pPr>
              <w:rPr>
                <w:rFonts w:ascii="宋体" w:hAnsi="宋体" w:cs="宋体"/>
                <w:szCs w:val="21"/>
              </w:rPr>
            </w:pPr>
            <w:r>
              <w:rPr>
                <w:rFonts w:hint="eastAsia" w:ascii="宋体" w:hAnsi="宋体" w:cs="宋体"/>
                <w:szCs w:val="21"/>
              </w:rPr>
              <w:t>支持以USB-Key方式分配管理员的日志审计权限；</w:t>
            </w:r>
          </w:p>
        </w:tc>
      </w:tr>
      <w:tr>
        <w:tblPrEx>
          <w:tblLayout w:type="fixed"/>
          <w:tblCellMar>
            <w:top w:w="0" w:type="dxa"/>
            <w:left w:w="108" w:type="dxa"/>
            <w:bottom w:w="0" w:type="dxa"/>
            <w:right w:w="108" w:type="dxa"/>
          </w:tblCellMar>
        </w:tblPrEx>
        <w:trPr>
          <w:trHeight w:val="784"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支持把每一个外网IP作为通道内的用户，使得通道的用户间公平分配带宽，以及单用户最高带宽属性对外网IP有效；</w:t>
            </w:r>
          </w:p>
        </w:tc>
      </w:tr>
      <w:tr>
        <w:tblPrEx>
          <w:tblLayout w:type="fixed"/>
          <w:tblCellMar>
            <w:top w:w="0" w:type="dxa"/>
            <w:left w:w="108" w:type="dxa"/>
            <w:bottom w:w="0" w:type="dxa"/>
            <w:right w:w="108" w:type="dxa"/>
          </w:tblCellMar>
        </w:tblPrEx>
        <w:trPr>
          <w:trHeight w:val="455"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支持基于访问行为的目标IP/IP组实现带宽划分与分配；</w:t>
            </w:r>
          </w:p>
        </w:tc>
      </w:tr>
      <w:tr>
        <w:tblPrEx>
          <w:tblLayout w:type="fixed"/>
          <w:tblCellMar>
            <w:top w:w="0" w:type="dxa"/>
            <w:left w:w="108" w:type="dxa"/>
            <w:bottom w:w="0" w:type="dxa"/>
            <w:right w:w="108" w:type="dxa"/>
          </w:tblCellMar>
        </w:tblPrEx>
        <w:trPr>
          <w:trHeight w:val="784"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支持多种事件进行邮件告警，包括攻击、双机切换告警、移动终端管理告警、风险终端发现告警、web关键字过滤告警、杀毒告警、设备流量超限告警、磁盘/CPU/内存异常告警等；</w:t>
            </w:r>
          </w:p>
        </w:tc>
      </w:tr>
      <w:tr>
        <w:tblPrEx>
          <w:tblLayout w:type="fixed"/>
          <w:tblCellMar>
            <w:top w:w="0" w:type="dxa"/>
            <w:left w:w="108" w:type="dxa"/>
            <w:bottom w:w="0" w:type="dxa"/>
            <w:right w:w="108" w:type="dxa"/>
          </w:tblCellMar>
        </w:tblPrEx>
        <w:trPr>
          <w:trHeight w:val="654" w:hRule="atLeast"/>
        </w:trPr>
        <w:tc>
          <w:tcPr>
            <w:tcW w:w="1354" w:type="dxa"/>
            <w:vMerge w:val="restart"/>
            <w:tcBorders>
              <w:top w:val="single" w:color="auto" w:sz="4" w:space="0"/>
              <w:left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运维审计功能要求</w:t>
            </w: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bookmarkStart w:id="158" w:name="_Hlk511381652"/>
            <w:r>
              <w:rPr>
                <w:rFonts w:hint="eastAsia" w:ascii="宋体" w:hAnsi="宋体" w:cs="宋体"/>
                <w:szCs w:val="21"/>
              </w:rPr>
              <w:t>内置配置管理员、密码管理员、审计管理员、系统管理员、系统审计员、普通运维用户等管理角色；（提供界面截图证明并加盖厂商公章）；</w:t>
            </w:r>
            <w:bookmarkEnd w:id="158"/>
          </w:p>
        </w:tc>
      </w:tr>
      <w:tr>
        <w:tblPrEx>
          <w:tblLayout w:type="fixed"/>
          <w:tblCellMar>
            <w:top w:w="0" w:type="dxa"/>
            <w:left w:w="108" w:type="dxa"/>
            <w:bottom w:w="0" w:type="dxa"/>
            <w:right w:w="108" w:type="dxa"/>
          </w:tblCellMar>
        </w:tblPrEx>
        <w:trPr>
          <w:trHeight w:val="381"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针对RDP、VNC、X11等图形终端操作的连接情况进行记录及审计；记录发生时间、发生地址、服务端IP、客户端IP、操作指令、返回信息、操作备注、客户端端口、服务器端口、运维用户帐号、运维用户姓名、审批用户帐号、审批用户姓名、服务器用户名等信息；</w:t>
            </w:r>
          </w:p>
        </w:tc>
      </w:tr>
      <w:tr>
        <w:tblPrEx>
          <w:tblLayout w:type="fixed"/>
          <w:tblCellMar>
            <w:top w:w="0" w:type="dxa"/>
            <w:left w:w="108" w:type="dxa"/>
            <w:bottom w:w="0" w:type="dxa"/>
            <w:right w:w="108" w:type="dxa"/>
          </w:tblCellMar>
        </w:tblPrEx>
        <w:trPr>
          <w:trHeight w:val="381" w:hRule="atLeast"/>
        </w:trPr>
        <w:tc>
          <w:tcPr>
            <w:tcW w:w="1354" w:type="dxa"/>
            <w:vMerge w:val="continue"/>
            <w:tcBorders>
              <w:left w:val="single" w:color="auto" w:sz="4" w:space="0"/>
              <w:bottom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 xml:space="preserve">能够记录RDP协议中的活动窗口名称、删除文件等动作，并能记录RDP会话中的键盘输入信息； </w:t>
            </w:r>
          </w:p>
        </w:tc>
      </w:tr>
      <w:tr>
        <w:tblPrEx>
          <w:tblLayout w:type="fixed"/>
          <w:tblCellMar>
            <w:top w:w="0" w:type="dxa"/>
            <w:left w:w="108" w:type="dxa"/>
            <w:bottom w:w="0" w:type="dxa"/>
            <w:right w:w="108" w:type="dxa"/>
          </w:tblCellMar>
        </w:tblPrEx>
        <w:trPr>
          <w:trHeight w:val="381" w:hRule="atLeast"/>
        </w:trPr>
        <w:tc>
          <w:tcPr>
            <w:tcW w:w="1354" w:type="dxa"/>
            <w:vMerge w:val="restart"/>
            <w:tcBorders>
              <w:top w:val="single" w:color="auto" w:sz="4" w:space="0"/>
              <w:left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日志审计功能要求</w:t>
            </w: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系统从不同设备或系统中所获得的各类日志、事件中抽取相关片段准确和完整地映射至安全事件的标准字段</w:t>
            </w:r>
          </w:p>
        </w:tc>
      </w:tr>
      <w:tr>
        <w:tblPrEx>
          <w:tblLayout w:type="fixed"/>
          <w:tblCellMar>
            <w:top w:w="0" w:type="dxa"/>
            <w:left w:w="108" w:type="dxa"/>
            <w:bottom w:w="0" w:type="dxa"/>
            <w:right w:w="108" w:type="dxa"/>
          </w:tblCellMar>
        </w:tblPrEx>
        <w:trPr>
          <w:trHeight w:val="381"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bookmarkStart w:id="159" w:name="_Hlk511381686"/>
            <w:r>
              <w:rPr>
                <w:rFonts w:hint="eastAsia" w:ascii="宋体" w:hAnsi="宋体" w:cs="宋体"/>
                <w:szCs w:val="21"/>
              </w:rPr>
              <w:t>对安全事件重新定级。能根据统一的安全策略，按照安全设备识别名、事件类别、事件级别等所有可能的条件及各种条件的组合对事件严重级别进行重定义（提供界面截图证明并加盖厂商公章）</w:t>
            </w:r>
            <w:bookmarkEnd w:id="159"/>
          </w:p>
        </w:tc>
      </w:tr>
      <w:tr>
        <w:tblPrEx>
          <w:tblLayout w:type="fixed"/>
          <w:tblCellMar>
            <w:top w:w="0" w:type="dxa"/>
            <w:left w:w="108" w:type="dxa"/>
            <w:bottom w:w="0" w:type="dxa"/>
            <w:right w:w="108" w:type="dxa"/>
          </w:tblCellMar>
        </w:tblPrEx>
        <w:trPr>
          <w:trHeight w:val="381" w:hRule="atLeast"/>
        </w:trPr>
        <w:tc>
          <w:tcPr>
            <w:tcW w:w="1354" w:type="dxa"/>
            <w:vMerge w:val="continue"/>
            <w:tcBorders>
              <w:left w:val="single" w:color="auto" w:sz="4" w:space="0"/>
              <w:bottom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系统既可以完全收集采集对象上的日志信息，也支持在安全事件收集引擎上设置过滤条件，可过滤出无关安全事件，满足根据实际业务需求减少采集对象发送到核心服务器的安全事件数，从而减少对网络带宽和数据库存储空间地占用。</w:t>
            </w:r>
          </w:p>
        </w:tc>
      </w:tr>
      <w:tr>
        <w:tblPrEx>
          <w:tblLayout w:type="fixed"/>
          <w:tblCellMar>
            <w:top w:w="0" w:type="dxa"/>
            <w:left w:w="108" w:type="dxa"/>
            <w:bottom w:w="0" w:type="dxa"/>
            <w:right w:w="108" w:type="dxa"/>
          </w:tblCellMar>
        </w:tblPrEx>
        <w:trPr>
          <w:trHeight w:val="381" w:hRule="atLeast"/>
        </w:trPr>
        <w:tc>
          <w:tcPr>
            <w:tcW w:w="1354" w:type="dxa"/>
            <w:vMerge w:val="restart"/>
            <w:tcBorders>
              <w:top w:val="single" w:color="auto" w:sz="4" w:space="0"/>
              <w:left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主机杀毒功能要求</w:t>
            </w: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支持多语言安装方式，支持远程安装控制台和客户端；</w:t>
            </w:r>
          </w:p>
        </w:tc>
      </w:tr>
      <w:tr>
        <w:tblPrEx>
          <w:tblLayout w:type="fixed"/>
          <w:tblCellMar>
            <w:top w:w="0" w:type="dxa"/>
            <w:left w:w="108" w:type="dxa"/>
            <w:bottom w:w="0" w:type="dxa"/>
            <w:right w:w="108" w:type="dxa"/>
          </w:tblCellMar>
        </w:tblPrEx>
        <w:trPr>
          <w:trHeight w:val="381"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支持多级系统中心，并能够对每级系统中心及所属客户端进行统一升级、统一管理；</w:t>
            </w:r>
          </w:p>
        </w:tc>
      </w:tr>
      <w:tr>
        <w:tblPrEx>
          <w:tblLayout w:type="fixed"/>
          <w:tblCellMar>
            <w:top w:w="0" w:type="dxa"/>
            <w:left w:w="108" w:type="dxa"/>
            <w:bottom w:w="0" w:type="dxa"/>
            <w:right w:w="108" w:type="dxa"/>
          </w:tblCellMar>
        </w:tblPrEx>
        <w:trPr>
          <w:trHeight w:val="381" w:hRule="atLeast"/>
        </w:trPr>
        <w:tc>
          <w:tcPr>
            <w:tcW w:w="1354" w:type="dxa"/>
            <w:vMerge w:val="continue"/>
            <w:tcBorders>
              <w:left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支持全网统一自动升级，不需要人为干涉，支持病毒库无缝主动式智能升级，增量升级，以减少升级时带来的网络流量；</w:t>
            </w:r>
          </w:p>
        </w:tc>
      </w:tr>
      <w:tr>
        <w:tblPrEx>
          <w:tblLayout w:type="fixed"/>
          <w:tblCellMar>
            <w:top w:w="0" w:type="dxa"/>
            <w:left w:w="108" w:type="dxa"/>
            <w:bottom w:w="0" w:type="dxa"/>
            <w:right w:w="108" w:type="dxa"/>
          </w:tblCellMar>
        </w:tblPrEx>
        <w:trPr>
          <w:trHeight w:val="381" w:hRule="atLeast"/>
        </w:trPr>
        <w:tc>
          <w:tcPr>
            <w:tcW w:w="1354" w:type="dxa"/>
            <w:vMerge w:val="continue"/>
            <w:tcBorders>
              <w:left w:val="single" w:color="auto" w:sz="4" w:space="0"/>
              <w:bottom w:val="single" w:color="auto" w:sz="4" w:space="0"/>
              <w:right w:val="single" w:color="auto" w:sz="4" w:space="0"/>
            </w:tcBorders>
            <w:vAlign w:val="center"/>
          </w:tcPr>
          <w:p>
            <w:pPr>
              <w:rPr>
                <w:rFonts w:ascii="宋体" w:hAnsi="宋体" w:cs="宋体"/>
                <w:szCs w:val="21"/>
              </w:rPr>
            </w:pP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支持多种病毒报警方式，包括发送到管理控制台、声音报警、发送邮件、显示消息框、报告给上级系统中心等；</w:t>
            </w:r>
          </w:p>
        </w:tc>
      </w:tr>
      <w:tr>
        <w:tblPrEx>
          <w:tblLayout w:type="fixed"/>
          <w:tblCellMar>
            <w:top w:w="0" w:type="dxa"/>
            <w:left w:w="108" w:type="dxa"/>
            <w:bottom w:w="0" w:type="dxa"/>
            <w:right w:w="108" w:type="dxa"/>
          </w:tblCellMar>
        </w:tblPrEx>
        <w:trPr>
          <w:trHeight w:val="381" w:hRule="atLeast"/>
        </w:trPr>
        <w:tc>
          <w:tcPr>
            <w:tcW w:w="135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资质要求</w:t>
            </w:r>
          </w:p>
        </w:tc>
        <w:tc>
          <w:tcPr>
            <w:tcW w:w="8048" w:type="dxa"/>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r>
              <w:rPr>
                <w:rFonts w:hint="eastAsia" w:ascii="宋体" w:hAnsi="宋体" w:cs="宋体"/>
                <w:szCs w:val="21"/>
              </w:rPr>
              <w:t>所投厂商具备云安全成熟度模型CS-CMMI 5认证，提供证书复印件并加盖厂商公章；</w:t>
            </w:r>
          </w:p>
        </w:tc>
      </w:tr>
    </w:tbl>
    <w:p>
      <w:pPr>
        <w:pStyle w:val="141"/>
        <w:numPr>
          <w:ilvl w:val="1"/>
          <w:numId w:val="9"/>
        </w:numPr>
        <w:tabs>
          <w:tab w:val="left" w:pos="709"/>
          <w:tab w:val="clear" w:pos="851"/>
        </w:tabs>
        <w:rPr>
          <w:rFonts w:ascii="宋体" w:hAnsi="宋体" w:eastAsia="宋体" w:cs="宋体"/>
          <w:color w:val="auto"/>
          <w:sz w:val="24"/>
          <w:szCs w:val="24"/>
        </w:rPr>
      </w:pPr>
      <w:bookmarkStart w:id="160" w:name="_Toc46242021"/>
      <w:r>
        <w:rPr>
          <w:rFonts w:hint="eastAsia" w:ascii="宋体" w:hAnsi="宋体" w:eastAsia="宋体" w:cs="宋体"/>
          <w:color w:val="auto"/>
          <w:sz w:val="24"/>
          <w:szCs w:val="24"/>
        </w:rPr>
        <w:t>服务要求内容</w:t>
      </w:r>
      <w:bookmarkEnd w:id="160"/>
    </w:p>
    <w:p>
      <w:pPr>
        <w:pStyle w:val="141"/>
        <w:numPr>
          <w:ilvl w:val="2"/>
          <w:numId w:val="7"/>
        </w:numPr>
        <w:tabs>
          <w:tab w:val="clear" w:pos="851"/>
        </w:tabs>
        <w:outlineLvl w:val="3"/>
        <w:rPr>
          <w:rFonts w:ascii="宋体" w:hAnsi="宋体" w:eastAsia="宋体" w:cs="宋体"/>
          <w:color w:val="auto"/>
          <w:sz w:val="24"/>
          <w:szCs w:val="24"/>
        </w:rPr>
      </w:pPr>
      <w:bookmarkStart w:id="161" w:name="_Toc28284287"/>
      <w:bookmarkStart w:id="162" w:name="_Toc28252702"/>
      <w:bookmarkStart w:id="163" w:name="_Toc46242022"/>
      <w:r>
        <w:rPr>
          <w:rFonts w:hint="eastAsia" w:ascii="宋体" w:hAnsi="宋体" w:eastAsia="宋体" w:cs="宋体"/>
          <w:color w:val="auto"/>
          <w:sz w:val="24"/>
          <w:szCs w:val="24"/>
        </w:rPr>
        <w:t>管理要求</w:t>
      </w:r>
      <w:bookmarkEnd w:id="161"/>
      <w:bookmarkEnd w:id="162"/>
      <w:bookmarkEnd w:id="163"/>
    </w:p>
    <w:p>
      <w:pPr>
        <w:pStyle w:val="141"/>
        <w:numPr>
          <w:ilvl w:val="3"/>
          <w:numId w:val="7"/>
        </w:numPr>
        <w:tabs>
          <w:tab w:val="clear" w:pos="851"/>
        </w:tabs>
        <w:outlineLvl w:val="4"/>
        <w:rPr>
          <w:rFonts w:ascii="宋体" w:hAnsi="宋体" w:eastAsia="宋体" w:cs="宋体"/>
          <w:color w:val="auto"/>
          <w:sz w:val="24"/>
          <w:szCs w:val="24"/>
        </w:rPr>
      </w:pPr>
      <w:bookmarkStart w:id="164" w:name="_Toc46242023"/>
      <w:r>
        <w:rPr>
          <w:rFonts w:hint="eastAsia" w:ascii="宋体" w:hAnsi="宋体" w:eastAsia="宋体" w:cs="宋体"/>
          <w:color w:val="auto"/>
          <w:sz w:val="24"/>
          <w:szCs w:val="24"/>
        </w:rPr>
        <w:t>服务人员</w:t>
      </w:r>
      <w:bookmarkEnd w:id="164"/>
    </w:p>
    <w:p>
      <w:pPr>
        <w:spacing w:line="360" w:lineRule="auto"/>
        <w:ind w:firstLine="480"/>
        <w:rPr>
          <w:rFonts w:ascii="宋体" w:hAnsi="宋体"/>
          <w:color w:val="000000"/>
          <w:szCs w:val="21"/>
        </w:rPr>
      </w:pPr>
      <w:r>
        <w:rPr>
          <w:rFonts w:hint="eastAsia" w:ascii="宋体" w:hAnsi="宋体"/>
          <w:color w:val="000000"/>
          <w:szCs w:val="21"/>
        </w:rPr>
        <w:t>投标人须书面承诺，如在项目实际执行过程中发生项目经理不能按采购文件要求胜任相关工作的，采购人有权要求更换项目经理，投标人必须在两周内调整为符合采购文件要求且能胜任相关工作的项目经理并到位开展工作，否则采购人有权终止合同并报相关管理部门进行处理。</w:t>
      </w:r>
    </w:p>
    <w:p>
      <w:pPr>
        <w:spacing w:line="360" w:lineRule="auto"/>
        <w:ind w:firstLine="480"/>
        <w:rPr>
          <w:rFonts w:ascii="宋体" w:hAnsi="宋体"/>
          <w:color w:val="000000"/>
          <w:szCs w:val="21"/>
        </w:rPr>
      </w:pPr>
      <w:r>
        <w:rPr>
          <w:rFonts w:hint="eastAsia" w:ascii="宋体" w:hAnsi="宋体"/>
          <w:color w:val="000000"/>
          <w:szCs w:val="21"/>
        </w:rPr>
        <w:t>投标人承诺的项目经理和开发实施的主要人员未经用户同意不得调整；投标人如中途更换项目经理和主要开发技术人员，应征得用户同意，否则采购人有权终止合同。</w:t>
      </w:r>
    </w:p>
    <w:p>
      <w:pPr>
        <w:spacing w:line="360" w:lineRule="auto"/>
        <w:ind w:firstLine="480"/>
        <w:rPr>
          <w:rFonts w:ascii="宋体" w:hAnsi="宋体"/>
          <w:color w:val="000000"/>
          <w:szCs w:val="21"/>
        </w:rPr>
      </w:pPr>
      <w:r>
        <w:rPr>
          <w:rFonts w:hint="eastAsia" w:ascii="宋体" w:hAnsi="宋体"/>
          <w:color w:val="000000"/>
          <w:szCs w:val="21"/>
        </w:rPr>
        <w:t>为保障项目的实施质量，要求中标人在服务期内，本项目须配置服务人员不少于</w:t>
      </w:r>
      <w:r>
        <w:rPr>
          <w:rFonts w:ascii="宋体" w:hAnsi="宋体"/>
          <w:color w:val="000000"/>
          <w:szCs w:val="21"/>
        </w:rPr>
        <w:t>15人，包含项目经理1人，</w:t>
      </w:r>
      <w:r>
        <w:rPr>
          <w:rFonts w:hint="eastAsia" w:ascii="宋体" w:hAnsi="宋体"/>
          <w:color w:val="000000"/>
          <w:szCs w:val="21"/>
        </w:rPr>
        <w:t>总体技术架构负责人1名，技术</w:t>
      </w:r>
      <w:r>
        <w:rPr>
          <w:rFonts w:ascii="宋体" w:hAnsi="宋体"/>
          <w:color w:val="000000"/>
          <w:szCs w:val="21"/>
        </w:rPr>
        <w:t>服务工程师9人</w:t>
      </w:r>
      <w:r>
        <w:rPr>
          <w:rFonts w:hint="eastAsia" w:ascii="宋体" w:hAnsi="宋体"/>
          <w:color w:val="000000"/>
          <w:szCs w:val="21"/>
        </w:rPr>
        <w:t>，测试人员不少于2人，文档员不少于1人</w:t>
      </w:r>
      <w:r>
        <w:rPr>
          <w:rFonts w:ascii="宋体" w:hAnsi="宋体"/>
          <w:color w:val="000000"/>
          <w:szCs w:val="21"/>
        </w:rPr>
        <w:t>。</w:t>
      </w:r>
      <w:r>
        <w:rPr>
          <w:rFonts w:hint="eastAsia" w:ascii="宋体" w:hAnsi="宋体"/>
          <w:color w:val="000000"/>
          <w:szCs w:val="21"/>
        </w:rPr>
        <w:t>服务商应指派固定的团队为本项目提供专业服务。</w:t>
      </w:r>
    </w:p>
    <w:p>
      <w:pPr>
        <w:spacing w:line="360" w:lineRule="auto"/>
        <w:ind w:firstLine="480"/>
        <w:rPr>
          <w:rFonts w:ascii="宋体" w:hAnsi="宋体"/>
          <w:color w:val="000000"/>
          <w:szCs w:val="21"/>
        </w:rPr>
      </w:pPr>
      <w:r>
        <w:rPr>
          <w:rFonts w:hint="eastAsia" w:ascii="宋体" w:hAnsi="宋体"/>
          <w:color w:val="000000"/>
          <w:szCs w:val="21"/>
        </w:rPr>
        <w:t>如须调整服务团队成员，须书面向采购人提出申请，说明申请理由，经采购人书面同意方可调整团队人员，调入人员的资历和从业经验不低于调出人员，否则视为违约行为，采购人有权终止服务合同。</w:t>
      </w:r>
    </w:p>
    <w:p>
      <w:pPr>
        <w:pStyle w:val="141"/>
        <w:numPr>
          <w:ilvl w:val="3"/>
          <w:numId w:val="7"/>
        </w:numPr>
        <w:tabs>
          <w:tab w:val="clear" w:pos="851"/>
        </w:tabs>
        <w:outlineLvl w:val="4"/>
        <w:rPr>
          <w:rFonts w:ascii="宋体" w:hAnsi="宋体" w:eastAsia="宋体" w:cs="宋体"/>
          <w:color w:val="auto"/>
          <w:sz w:val="24"/>
          <w:szCs w:val="24"/>
        </w:rPr>
      </w:pPr>
      <w:bookmarkStart w:id="165" w:name="_Toc46242024"/>
      <w:r>
        <w:rPr>
          <w:rFonts w:hint="eastAsia" w:ascii="宋体" w:hAnsi="宋体" w:eastAsia="宋体" w:cs="宋体"/>
          <w:color w:val="auto"/>
          <w:sz w:val="24"/>
          <w:szCs w:val="24"/>
        </w:rPr>
        <w:t>进度要求</w:t>
      </w:r>
      <w:bookmarkEnd w:id="165"/>
    </w:p>
    <w:p>
      <w:pPr>
        <w:spacing w:line="360" w:lineRule="auto"/>
        <w:ind w:firstLine="480"/>
        <w:rPr>
          <w:rFonts w:ascii="宋体" w:hAnsi="宋体"/>
          <w:color w:val="000000"/>
          <w:szCs w:val="21"/>
        </w:rPr>
      </w:pPr>
      <w:r>
        <w:rPr>
          <w:rFonts w:hint="eastAsia" w:ascii="宋体" w:hAnsi="宋体"/>
          <w:color w:val="000000"/>
          <w:szCs w:val="21"/>
        </w:rPr>
        <w:t>项目工期要求：本项目期限为自合同签订后</w:t>
      </w:r>
      <w:r>
        <w:rPr>
          <w:rFonts w:ascii="宋体" w:hAnsi="宋体"/>
          <w:color w:val="000000"/>
          <w:szCs w:val="21"/>
        </w:rPr>
        <w:t>15</w:t>
      </w:r>
      <w:r>
        <w:rPr>
          <w:rFonts w:hint="eastAsia" w:ascii="宋体" w:hAnsi="宋体"/>
          <w:color w:val="000000"/>
          <w:szCs w:val="21"/>
        </w:rPr>
        <w:t>个月实施部署完成，正常试运行</w:t>
      </w:r>
      <w:r>
        <w:rPr>
          <w:rFonts w:ascii="宋体" w:hAnsi="宋体"/>
          <w:color w:val="000000"/>
          <w:szCs w:val="21"/>
        </w:rPr>
        <w:t>3</w:t>
      </w:r>
      <w:r>
        <w:rPr>
          <w:rFonts w:hint="eastAsia" w:ascii="宋体" w:hAnsi="宋体"/>
          <w:color w:val="000000"/>
          <w:szCs w:val="21"/>
        </w:rPr>
        <w:t>个月后完成项目验收，转入运维阶段。</w:t>
      </w:r>
    </w:p>
    <w:p>
      <w:pPr>
        <w:spacing w:line="360" w:lineRule="auto"/>
        <w:ind w:firstLine="480"/>
        <w:rPr>
          <w:rFonts w:ascii="宋体" w:hAnsi="宋体"/>
          <w:color w:val="000000"/>
          <w:szCs w:val="21"/>
        </w:rPr>
      </w:pPr>
      <w:r>
        <w:rPr>
          <w:rFonts w:hint="eastAsia" w:ascii="宋体" w:hAnsi="宋体"/>
          <w:color w:val="000000"/>
          <w:szCs w:val="21"/>
        </w:rPr>
        <w:t>报价供应商需明确采购项目工作的方式、方法、过程步骤、按阶段分解的详细计划、对应计划应提交的工作成果、需要采购人协调与配合的事项，并经采购人审核、批准。</w:t>
      </w:r>
    </w:p>
    <w:p>
      <w:pPr>
        <w:spacing w:line="360" w:lineRule="auto"/>
        <w:ind w:firstLine="480"/>
        <w:rPr>
          <w:rFonts w:ascii="宋体" w:hAnsi="宋体"/>
          <w:color w:val="000000"/>
          <w:szCs w:val="21"/>
        </w:rPr>
      </w:pPr>
      <w:r>
        <w:rPr>
          <w:rFonts w:hint="eastAsia" w:ascii="宋体" w:hAnsi="宋体"/>
          <w:color w:val="000000"/>
          <w:szCs w:val="21"/>
        </w:rPr>
        <w:t>采购人有权监督和管理报价项目的测试、安装、调试、故障诊断、系统开发和验收等各项工作，报价供应商须接受并服从采购人的监督、管理要求，按要求提供中间过程工作成果。</w:t>
      </w:r>
    </w:p>
    <w:p>
      <w:pPr>
        <w:pStyle w:val="141"/>
        <w:numPr>
          <w:ilvl w:val="3"/>
          <w:numId w:val="7"/>
        </w:numPr>
        <w:tabs>
          <w:tab w:val="clear" w:pos="851"/>
        </w:tabs>
        <w:outlineLvl w:val="4"/>
        <w:rPr>
          <w:rFonts w:ascii="宋体" w:hAnsi="宋体" w:eastAsia="宋体" w:cs="宋体"/>
          <w:color w:val="auto"/>
          <w:sz w:val="24"/>
          <w:szCs w:val="24"/>
        </w:rPr>
      </w:pPr>
      <w:bookmarkStart w:id="166" w:name="_Toc46242025"/>
      <w:r>
        <w:rPr>
          <w:rFonts w:hint="eastAsia" w:ascii="宋体" w:hAnsi="宋体" w:eastAsia="宋体" w:cs="宋体"/>
          <w:color w:val="auto"/>
          <w:sz w:val="24"/>
          <w:szCs w:val="24"/>
        </w:rPr>
        <w:t>组织实施要求</w:t>
      </w:r>
      <w:bookmarkEnd w:id="166"/>
    </w:p>
    <w:p>
      <w:pPr>
        <w:spacing w:line="360" w:lineRule="auto"/>
        <w:ind w:firstLine="480"/>
        <w:rPr>
          <w:rFonts w:ascii="宋体" w:hAnsi="宋体"/>
          <w:color w:val="000000"/>
          <w:szCs w:val="21"/>
        </w:rPr>
      </w:pPr>
      <w:r>
        <w:rPr>
          <w:rFonts w:ascii="宋体" w:hAnsi="宋体"/>
          <w:color w:val="000000"/>
          <w:szCs w:val="21"/>
        </w:rPr>
        <w:t>1.成交方须承诺向采购方提供优秀的项目组织，并向采购方保证项目人员组织的稳定性。</w:t>
      </w:r>
    </w:p>
    <w:p>
      <w:pPr>
        <w:spacing w:line="360" w:lineRule="auto"/>
        <w:ind w:firstLine="480"/>
        <w:rPr>
          <w:rFonts w:ascii="宋体" w:hAnsi="宋体"/>
          <w:color w:val="000000"/>
          <w:szCs w:val="21"/>
        </w:rPr>
      </w:pPr>
      <w:r>
        <w:rPr>
          <w:rFonts w:ascii="宋体" w:hAnsi="宋体"/>
          <w:color w:val="000000"/>
          <w:szCs w:val="21"/>
        </w:rPr>
        <w:t>2.项目执行期间，成交方不得抽调或随意更换项目核心人员，如果更换，须事先征得采购方同意。</w:t>
      </w:r>
    </w:p>
    <w:p>
      <w:pPr>
        <w:spacing w:line="360" w:lineRule="auto"/>
        <w:ind w:firstLine="480"/>
        <w:rPr>
          <w:rFonts w:ascii="宋体" w:hAnsi="宋体"/>
          <w:color w:val="000000"/>
          <w:szCs w:val="21"/>
        </w:rPr>
      </w:pPr>
      <w:r>
        <w:rPr>
          <w:rFonts w:ascii="宋体" w:hAnsi="宋体"/>
          <w:color w:val="000000"/>
          <w:szCs w:val="21"/>
        </w:rPr>
        <w:t>3.报价供应商应在技术建议书中提交项目经理、</w:t>
      </w:r>
      <w:r>
        <w:rPr>
          <w:rFonts w:hint="eastAsia" w:ascii="宋体" w:hAnsi="宋体"/>
          <w:color w:val="000000"/>
          <w:szCs w:val="21"/>
        </w:rPr>
        <w:t>技术</w:t>
      </w:r>
      <w:r>
        <w:rPr>
          <w:rFonts w:ascii="宋体" w:hAnsi="宋体"/>
          <w:color w:val="000000"/>
          <w:szCs w:val="21"/>
        </w:rPr>
        <w:t>架构师、</w:t>
      </w:r>
      <w:r>
        <w:rPr>
          <w:rFonts w:hint="eastAsia" w:ascii="宋体" w:hAnsi="宋体"/>
          <w:color w:val="000000"/>
          <w:szCs w:val="21"/>
        </w:rPr>
        <w:t>技术服务工程师</w:t>
      </w:r>
      <w:r>
        <w:rPr>
          <w:rFonts w:ascii="宋体" w:hAnsi="宋体"/>
          <w:color w:val="000000"/>
          <w:szCs w:val="21"/>
        </w:rPr>
        <w:t>、测试工程师、</w:t>
      </w:r>
      <w:r>
        <w:rPr>
          <w:rFonts w:hint="eastAsia" w:ascii="宋体" w:hAnsi="宋体"/>
          <w:color w:val="000000"/>
          <w:szCs w:val="21"/>
        </w:rPr>
        <w:t>文档员</w:t>
      </w:r>
      <w:r>
        <w:rPr>
          <w:rFonts w:ascii="宋体" w:hAnsi="宋体"/>
          <w:color w:val="000000"/>
          <w:szCs w:val="21"/>
        </w:rPr>
        <w:t>等骨干人员名单、组织结构图以及上述人员的简历，包括相关工作年限、毕业院校、所学专业、学历、相关资质证书、以往参与项目情况、在本项目承担的角色等。</w:t>
      </w:r>
    </w:p>
    <w:p>
      <w:pPr>
        <w:spacing w:line="360" w:lineRule="auto"/>
        <w:ind w:firstLine="480"/>
        <w:rPr>
          <w:rFonts w:ascii="宋体" w:hAnsi="宋体"/>
          <w:color w:val="000000"/>
          <w:szCs w:val="21"/>
        </w:rPr>
      </w:pPr>
      <w:r>
        <w:rPr>
          <w:rFonts w:ascii="宋体" w:hAnsi="宋体"/>
          <w:color w:val="000000"/>
          <w:szCs w:val="21"/>
        </w:rPr>
        <w:t>4.报价供应商应提供项目核心开发人员的有关工作履历以及其在本次工程中的具体职责。</w:t>
      </w:r>
    </w:p>
    <w:p>
      <w:pPr>
        <w:spacing w:line="360" w:lineRule="auto"/>
        <w:ind w:firstLine="480"/>
        <w:rPr>
          <w:rFonts w:ascii="宋体" w:hAnsi="宋体"/>
          <w:color w:val="000000"/>
          <w:szCs w:val="21"/>
        </w:rPr>
      </w:pPr>
      <w:r>
        <w:rPr>
          <w:rFonts w:ascii="宋体" w:hAnsi="宋体"/>
          <w:color w:val="000000"/>
          <w:szCs w:val="21"/>
        </w:rPr>
        <w:t>5.对于项目执行过程中，成交方所提供的项目团队人员无法胜任采购方的项目工作，采购方有权要求成交方无条件的更换人员，且不能影响项目进度。</w:t>
      </w:r>
    </w:p>
    <w:p>
      <w:pPr>
        <w:pStyle w:val="141"/>
        <w:numPr>
          <w:ilvl w:val="3"/>
          <w:numId w:val="7"/>
        </w:numPr>
        <w:tabs>
          <w:tab w:val="clear" w:pos="851"/>
        </w:tabs>
        <w:outlineLvl w:val="4"/>
        <w:rPr>
          <w:rFonts w:ascii="宋体" w:hAnsi="宋体" w:eastAsia="宋体" w:cs="宋体"/>
          <w:color w:val="auto"/>
          <w:sz w:val="24"/>
          <w:szCs w:val="24"/>
        </w:rPr>
      </w:pPr>
      <w:bookmarkStart w:id="167" w:name="_Toc46242026"/>
      <w:r>
        <w:rPr>
          <w:rFonts w:hint="eastAsia" w:ascii="宋体" w:hAnsi="宋体" w:eastAsia="宋体" w:cs="宋体"/>
          <w:color w:val="auto"/>
          <w:sz w:val="24"/>
          <w:szCs w:val="24"/>
        </w:rPr>
        <w:t>售后服务及质保期要求</w:t>
      </w:r>
      <w:bookmarkEnd w:id="167"/>
    </w:p>
    <w:p>
      <w:pPr>
        <w:pStyle w:val="171"/>
        <w:rPr>
          <w:rFonts w:ascii="宋体" w:hAnsi="宋体" w:cs="宋体"/>
          <w:sz w:val="21"/>
          <w:szCs w:val="21"/>
        </w:rPr>
      </w:pPr>
      <w:r>
        <w:rPr>
          <w:rFonts w:ascii="宋体" w:hAnsi="宋体"/>
          <w:szCs w:val="21"/>
        </w:rPr>
        <w:t>1、</w:t>
      </w:r>
      <w:r>
        <w:rPr>
          <w:rFonts w:hint="eastAsia" w:ascii="宋体" w:hAnsi="宋体" w:cs="宋体"/>
          <w:sz w:val="21"/>
          <w:szCs w:val="21"/>
        </w:rPr>
        <w:t>★要求投标人承诺本项目从用户初步验收完成之日开始，硬件设备提供不少于三年免费售后服务，涉及软件开发的提供不少于一年免费售后服务。（提供承诺函，格式自拟。）</w:t>
      </w:r>
    </w:p>
    <w:p>
      <w:pPr>
        <w:spacing w:line="360" w:lineRule="auto"/>
        <w:ind w:firstLine="420"/>
        <w:rPr>
          <w:rFonts w:ascii="宋体" w:hAnsi="宋体"/>
          <w:kern w:val="0"/>
          <w:szCs w:val="21"/>
        </w:rPr>
      </w:pPr>
      <w:r>
        <w:rPr>
          <w:rFonts w:ascii="宋体" w:hAnsi="宋体"/>
          <w:kern w:val="0"/>
          <w:szCs w:val="21"/>
        </w:rPr>
        <w:t>2、质保期：产品验收合格后，在质量保证（修）期内，凡属产品本身引起的故障，卖方负责免费保修，所有费用由卖方承担；产品质量保证（修）期限从产品验收合格之日起计算。</w:t>
      </w:r>
    </w:p>
    <w:p>
      <w:pPr>
        <w:spacing w:line="360" w:lineRule="auto"/>
        <w:ind w:firstLine="420"/>
        <w:rPr>
          <w:rFonts w:ascii="宋体" w:hAnsi="宋体"/>
          <w:kern w:val="0"/>
          <w:szCs w:val="21"/>
        </w:rPr>
      </w:pPr>
      <w:r>
        <w:rPr>
          <w:rFonts w:hint="eastAsia" w:ascii="宋体" w:hAnsi="宋体"/>
          <w:kern w:val="0"/>
          <w:szCs w:val="21"/>
        </w:rPr>
        <w:t>3</w:t>
      </w:r>
      <w:r>
        <w:rPr>
          <w:rFonts w:ascii="宋体" w:hAnsi="宋体"/>
          <w:kern w:val="0"/>
          <w:szCs w:val="21"/>
        </w:rPr>
        <w:t>、设备故障报修的响应时间：2小时。若电话中无法解决，</w:t>
      </w:r>
      <w:r>
        <w:rPr>
          <w:rFonts w:hint="eastAsia" w:ascii="宋体" w:hAnsi="宋体"/>
          <w:kern w:val="0"/>
          <w:szCs w:val="21"/>
        </w:rPr>
        <w:t>6</w:t>
      </w:r>
      <w:r>
        <w:rPr>
          <w:rFonts w:ascii="宋体" w:hAnsi="宋体"/>
          <w:kern w:val="0"/>
          <w:szCs w:val="21"/>
        </w:rPr>
        <w:t>小时内到达现场进行维护。除特殊情况外，故障排除时间不超过</w:t>
      </w:r>
      <w:r>
        <w:rPr>
          <w:rFonts w:hint="eastAsia" w:ascii="宋体" w:hAnsi="宋体"/>
          <w:kern w:val="0"/>
          <w:szCs w:val="21"/>
        </w:rPr>
        <w:t>12</w:t>
      </w:r>
      <w:r>
        <w:rPr>
          <w:rFonts w:ascii="宋体" w:hAnsi="宋体"/>
          <w:kern w:val="0"/>
          <w:szCs w:val="21"/>
        </w:rPr>
        <w:t>小时。</w:t>
      </w:r>
    </w:p>
    <w:p>
      <w:pPr>
        <w:spacing w:line="360" w:lineRule="auto"/>
        <w:ind w:firstLine="420"/>
        <w:rPr>
          <w:rFonts w:ascii="宋体" w:hAnsi="宋体"/>
          <w:kern w:val="0"/>
          <w:szCs w:val="21"/>
        </w:rPr>
      </w:pPr>
      <w:r>
        <w:rPr>
          <w:rFonts w:hint="eastAsia" w:ascii="宋体" w:hAnsi="宋体"/>
          <w:kern w:val="0"/>
          <w:szCs w:val="21"/>
        </w:rPr>
        <w:t>4</w:t>
      </w:r>
      <w:r>
        <w:rPr>
          <w:rFonts w:ascii="宋体" w:hAnsi="宋体"/>
          <w:kern w:val="0"/>
          <w:szCs w:val="21"/>
        </w:rPr>
        <w:t>、若货物故障在检修工作</w:t>
      </w:r>
      <w:r>
        <w:rPr>
          <w:rFonts w:hint="eastAsia" w:ascii="宋体" w:hAnsi="宋体"/>
          <w:kern w:val="0"/>
          <w:szCs w:val="21"/>
        </w:rPr>
        <w:t>12</w:t>
      </w:r>
      <w:r>
        <w:rPr>
          <w:rFonts w:ascii="宋体" w:hAnsi="宋体"/>
          <w:kern w:val="0"/>
          <w:szCs w:val="21"/>
        </w:rPr>
        <w:t>小时后仍无法排除，中标人应在24小时内免费提供不低于故障货物规格型号档次的备用货物供采购人使用，直至故障货物修复。</w:t>
      </w:r>
    </w:p>
    <w:p>
      <w:pPr>
        <w:spacing w:line="360" w:lineRule="auto"/>
        <w:ind w:firstLine="420"/>
        <w:rPr>
          <w:rFonts w:ascii="宋体" w:hAnsi="宋体"/>
          <w:kern w:val="0"/>
          <w:szCs w:val="21"/>
        </w:rPr>
      </w:pPr>
      <w:r>
        <w:rPr>
          <w:rFonts w:hint="eastAsia" w:ascii="宋体" w:hAnsi="宋体"/>
          <w:kern w:val="0"/>
          <w:szCs w:val="21"/>
        </w:rPr>
        <w:t>5</w:t>
      </w:r>
      <w:r>
        <w:rPr>
          <w:rFonts w:ascii="宋体" w:hAnsi="宋体"/>
          <w:kern w:val="0"/>
          <w:szCs w:val="21"/>
        </w:rPr>
        <w:t>、提供操作流程、注意事项的培训，并提供相应的书面材料。</w:t>
      </w:r>
    </w:p>
    <w:p>
      <w:pPr>
        <w:spacing w:line="360" w:lineRule="auto"/>
        <w:ind w:firstLine="420"/>
      </w:pPr>
      <w:r>
        <w:rPr>
          <w:rFonts w:hint="eastAsia" w:ascii="宋体" w:hAnsi="宋体"/>
          <w:szCs w:val="21"/>
        </w:rPr>
        <w:t>6、★要求投标人承诺本项目对省监测中心提供1名工程师不少于三年驻场服务并提供地市监测站的设备巡检服务（三个月巡检一次）；所有设备提供不少于叁年免费售后服务。</w:t>
      </w:r>
    </w:p>
    <w:p>
      <w:pPr>
        <w:pStyle w:val="141"/>
        <w:numPr>
          <w:ilvl w:val="3"/>
          <w:numId w:val="7"/>
        </w:numPr>
        <w:tabs>
          <w:tab w:val="clear" w:pos="851"/>
        </w:tabs>
        <w:outlineLvl w:val="4"/>
        <w:rPr>
          <w:rFonts w:ascii="宋体" w:hAnsi="宋体" w:eastAsia="宋体" w:cs="宋体"/>
          <w:color w:val="auto"/>
          <w:sz w:val="24"/>
          <w:szCs w:val="24"/>
        </w:rPr>
      </w:pPr>
      <w:bookmarkStart w:id="168" w:name="_Toc46242027"/>
      <w:r>
        <w:rPr>
          <w:rFonts w:hint="eastAsia" w:ascii="宋体" w:hAnsi="宋体" w:eastAsia="宋体" w:cs="宋体"/>
          <w:color w:val="auto"/>
          <w:sz w:val="24"/>
          <w:szCs w:val="24"/>
        </w:rPr>
        <w:t>培训要求</w:t>
      </w:r>
      <w:bookmarkEnd w:id="168"/>
    </w:p>
    <w:p>
      <w:pPr>
        <w:numPr>
          <w:ilvl w:val="0"/>
          <w:numId w:val="10"/>
        </w:numPr>
        <w:spacing w:line="360" w:lineRule="auto"/>
        <w:ind w:firstLine="480"/>
        <w:rPr>
          <w:rFonts w:ascii="宋体" w:hAnsi="宋体"/>
          <w:szCs w:val="21"/>
        </w:rPr>
      </w:pPr>
      <w:r>
        <w:rPr>
          <w:rFonts w:ascii="宋体" w:hAnsi="宋体"/>
          <w:szCs w:val="21"/>
        </w:rPr>
        <w:t>应提供完整的培训计划和方案，列明培训人员数量、达到的水平等，培训内容包括设备的操作、日常维修、简单故障的识别及排除等。</w:t>
      </w:r>
    </w:p>
    <w:p>
      <w:pPr>
        <w:spacing w:line="360" w:lineRule="auto"/>
        <w:ind w:firstLine="480"/>
        <w:rPr>
          <w:rFonts w:ascii="宋体" w:hAnsi="宋体"/>
          <w:szCs w:val="21"/>
        </w:rPr>
      </w:pPr>
      <w:r>
        <w:rPr>
          <w:rFonts w:ascii="宋体" w:hAnsi="宋体"/>
          <w:szCs w:val="21"/>
        </w:rPr>
        <w:t>2、应提供技术培训不低于</w:t>
      </w:r>
      <w:r>
        <w:rPr>
          <w:rFonts w:hint="eastAsia" w:ascii="宋体" w:hAnsi="宋体"/>
          <w:szCs w:val="21"/>
        </w:rPr>
        <w:t>5</w:t>
      </w:r>
      <w:r>
        <w:rPr>
          <w:rFonts w:ascii="宋体" w:hAnsi="宋体"/>
          <w:szCs w:val="21"/>
        </w:rPr>
        <w:t>0人/天，培训内容包括：</w:t>
      </w:r>
      <w:r>
        <w:rPr>
          <w:rFonts w:hint="eastAsia" w:ascii="宋体" w:hAnsi="宋体"/>
          <w:szCs w:val="21"/>
        </w:rPr>
        <w:t>网络安全、视频会商、视频融合及分布式等知识技能培训。培训费用（包含食宿、市内交通、场地、讲师、教材费用等）标准按国家相关要求，培训的具体时间、地点根据用户要求进行。</w:t>
      </w:r>
    </w:p>
    <w:p>
      <w:pPr>
        <w:spacing w:line="360" w:lineRule="auto"/>
        <w:ind w:firstLine="420"/>
        <w:rPr>
          <w:rFonts w:ascii="宋体" w:hAnsi="宋体"/>
          <w:kern w:val="0"/>
          <w:szCs w:val="21"/>
        </w:rPr>
      </w:pPr>
      <w:r>
        <w:rPr>
          <w:rFonts w:hint="eastAsia" w:ascii="宋体" w:hAnsi="宋体"/>
          <w:kern w:val="0"/>
          <w:szCs w:val="21"/>
        </w:rPr>
        <w:t>3、针对视频会议、视频监控云平台日常维护向甲方技术人员提供不少于</w:t>
      </w:r>
      <w:r>
        <w:rPr>
          <w:rFonts w:ascii="宋体" w:hAnsi="宋体"/>
          <w:kern w:val="0"/>
          <w:szCs w:val="21"/>
        </w:rPr>
        <w:t>20</w:t>
      </w:r>
      <w:r>
        <w:rPr>
          <w:rFonts w:hint="eastAsia" w:ascii="宋体" w:hAnsi="宋体"/>
          <w:kern w:val="0"/>
          <w:szCs w:val="21"/>
        </w:rPr>
        <w:t>人/天专项培训，确保省监测中心日常维护日常可以正常开展维护工作。</w:t>
      </w:r>
    </w:p>
    <w:p>
      <w:pPr>
        <w:spacing w:line="360" w:lineRule="auto"/>
        <w:ind w:firstLine="420"/>
        <w:rPr>
          <w:rFonts w:ascii="宋体" w:hAnsi="宋体"/>
          <w:kern w:val="0"/>
          <w:szCs w:val="21"/>
        </w:rPr>
      </w:pPr>
      <w:r>
        <w:rPr>
          <w:rFonts w:ascii="宋体" w:hAnsi="宋体"/>
          <w:kern w:val="0"/>
          <w:szCs w:val="21"/>
        </w:rPr>
        <w:t>4、培训所需全部费用均由中标供应商支付。</w:t>
      </w:r>
    </w:p>
    <w:p>
      <w:pPr>
        <w:pStyle w:val="141"/>
        <w:numPr>
          <w:ilvl w:val="2"/>
          <w:numId w:val="7"/>
        </w:numPr>
        <w:tabs>
          <w:tab w:val="clear" w:pos="851"/>
        </w:tabs>
        <w:outlineLvl w:val="3"/>
        <w:rPr>
          <w:rFonts w:ascii="宋体" w:hAnsi="宋体" w:eastAsia="宋体" w:cs="宋体"/>
          <w:color w:val="auto"/>
          <w:sz w:val="24"/>
          <w:szCs w:val="24"/>
        </w:rPr>
      </w:pPr>
      <w:bookmarkStart w:id="169" w:name="_Toc28252703"/>
      <w:bookmarkStart w:id="170" w:name="_Toc28284288"/>
      <w:bookmarkStart w:id="171" w:name="_Toc46242028"/>
      <w:r>
        <w:rPr>
          <w:rFonts w:hint="eastAsia" w:ascii="宋体" w:hAnsi="宋体" w:eastAsia="宋体" w:cs="宋体"/>
          <w:color w:val="auto"/>
          <w:sz w:val="24"/>
          <w:szCs w:val="24"/>
        </w:rPr>
        <w:t>验收</w:t>
      </w:r>
      <w:bookmarkEnd w:id="169"/>
      <w:bookmarkEnd w:id="170"/>
      <w:r>
        <w:rPr>
          <w:rFonts w:hint="eastAsia" w:ascii="宋体" w:hAnsi="宋体" w:eastAsia="宋体" w:cs="宋体"/>
          <w:color w:val="auto"/>
          <w:sz w:val="24"/>
          <w:szCs w:val="24"/>
        </w:rPr>
        <w:t>要求</w:t>
      </w:r>
      <w:bookmarkEnd w:id="171"/>
    </w:p>
    <w:p>
      <w:pPr>
        <w:pStyle w:val="141"/>
        <w:numPr>
          <w:ilvl w:val="3"/>
          <w:numId w:val="7"/>
        </w:numPr>
        <w:tabs>
          <w:tab w:val="clear" w:pos="851"/>
        </w:tabs>
        <w:outlineLvl w:val="4"/>
        <w:rPr>
          <w:rFonts w:ascii="宋体" w:hAnsi="宋体" w:eastAsia="宋体" w:cs="宋体"/>
          <w:color w:val="auto"/>
          <w:sz w:val="24"/>
          <w:szCs w:val="24"/>
        </w:rPr>
      </w:pPr>
      <w:bookmarkStart w:id="172" w:name="_Toc46242029"/>
      <w:r>
        <w:rPr>
          <w:rFonts w:hint="eastAsia" w:ascii="宋体" w:hAnsi="宋体" w:eastAsia="宋体" w:cs="宋体"/>
          <w:color w:val="auto"/>
          <w:sz w:val="24"/>
          <w:szCs w:val="24"/>
        </w:rPr>
        <w:t>验收指标</w:t>
      </w:r>
      <w:bookmarkEnd w:id="172"/>
    </w:p>
    <w:p>
      <w:pPr>
        <w:spacing w:line="360" w:lineRule="auto"/>
        <w:ind w:firstLine="480"/>
        <w:rPr>
          <w:rFonts w:ascii="宋体" w:hAnsi="宋体"/>
          <w:color w:val="000000"/>
          <w:szCs w:val="21"/>
        </w:rPr>
      </w:pPr>
      <w:r>
        <w:rPr>
          <w:rFonts w:hint="eastAsia" w:ascii="宋体" w:hAnsi="宋体"/>
          <w:color w:val="000000"/>
          <w:szCs w:val="21"/>
        </w:rPr>
        <w:t>信息网络安全验收指标：本项目地市信息网络（除广州、深圳）需要满足网络信息安全等级保护二级要求，按照《网络安全等级保护基本要求》（GB/T 22239-2019）要求开展整体安全测评工作。</w:t>
      </w:r>
    </w:p>
    <w:p>
      <w:pPr>
        <w:spacing w:line="360" w:lineRule="auto"/>
        <w:ind w:firstLine="480"/>
        <w:rPr>
          <w:rFonts w:ascii="宋体" w:hAnsi="宋体"/>
          <w:color w:val="000000"/>
          <w:szCs w:val="21"/>
        </w:rPr>
      </w:pPr>
      <w:r>
        <w:rPr>
          <w:rFonts w:hint="eastAsia" w:ascii="宋体" w:hAnsi="宋体"/>
          <w:color w:val="000000"/>
          <w:szCs w:val="21"/>
        </w:rPr>
        <w:t>信息网络验收指标：中标人需按采购人指定的各地市设备安装地点完成网络设备安装部署及业务开通，支撑本项目视频会议系统融合和视频云平台资源整合等业务稳定可靠运行，网络丢包延时时间≤</w:t>
      </w:r>
      <w:r>
        <w:rPr>
          <w:rFonts w:ascii="宋体" w:hAnsi="宋体"/>
          <w:color w:val="000000"/>
          <w:szCs w:val="21"/>
        </w:rPr>
        <w:t>60 ms</w:t>
      </w:r>
      <w:r>
        <w:rPr>
          <w:rFonts w:hint="eastAsia" w:ascii="宋体" w:hAnsi="宋体"/>
          <w:color w:val="000000"/>
          <w:szCs w:val="21"/>
        </w:rPr>
        <w:t>。产品所有技术性能规格及参数应符合招标文件所要求的标准要求，对于主要设备关键参数，采购人将根据需求聘请第三方单位对指标符合性进行验证。</w:t>
      </w:r>
    </w:p>
    <w:p>
      <w:pPr>
        <w:spacing w:line="360" w:lineRule="auto"/>
        <w:ind w:firstLine="480"/>
        <w:rPr>
          <w:rFonts w:ascii="宋体" w:hAnsi="宋体"/>
          <w:color w:val="000000"/>
          <w:szCs w:val="21"/>
        </w:rPr>
      </w:pPr>
      <w:r>
        <w:rPr>
          <w:rFonts w:hint="eastAsia" w:ascii="宋体" w:hAnsi="宋体"/>
          <w:color w:val="000000"/>
          <w:szCs w:val="21"/>
        </w:rPr>
        <w:t xml:space="preserve">监控融合平台、跨平台调度验收指标：满足标准SIP/H.323/GB28181开放协议，能够实现省监测中心与21个地市监测站的视频互联互通，满足生态监测机构内部日常的视频会商要求，同时将现网周边视频会议、视频监控、单兵、无人机、移动终端等系统对接进来，前端设备与接入监控中心（即接入平台）的信息延迟应≤200ms，分布式中控控制指令响应时延≤100ms，满足在应急情况下的指挥调度和大屏显示要求。 </w:t>
      </w:r>
    </w:p>
    <w:p>
      <w:pPr>
        <w:spacing w:line="360" w:lineRule="auto"/>
        <w:ind w:firstLine="480"/>
        <w:rPr>
          <w:rFonts w:ascii="宋体" w:hAnsi="宋体"/>
          <w:color w:val="000000"/>
          <w:szCs w:val="21"/>
        </w:rPr>
      </w:pPr>
      <w:r>
        <w:rPr>
          <w:rFonts w:hint="eastAsia" w:ascii="宋体" w:hAnsi="宋体"/>
          <w:color w:val="000000"/>
          <w:szCs w:val="21"/>
        </w:rPr>
        <w:t>视频云平台验收指标：满足对接现有省监测中心视频监控平台，可在视频云平台上查看调阅省监测中心已有视频监控平台上的画面，实现随时查阅相关监控视频画面的要求。视频云平台网络时延上限值为150ms；具备5000路摄像机接入能力，可实现100路视频并发调阅，以及4路人脸识别的能力。</w:t>
      </w:r>
    </w:p>
    <w:p>
      <w:pPr>
        <w:pStyle w:val="141"/>
        <w:numPr>
          <w:ilvl w:val="3"/>
          <w:numId w:val="7"/>
        </w:numPr>
        <w:tabs>
          <w:tab w:val="clear" w:pos="851"/>
        </w:tabs>
        <w:outlineLvl w:val="4"/>
        <w:rPr>
          <w:rFonts w:ascii="宋体" w:hAnsi="宋体" w:eastAsia="宋体" w:cs="宋体"/>
          <w:color w:val="auto"/>
          <w:sz w:val="24"/>
          <w:szCs w:val="24"/>
        </w:rPr>
      </w:pPr>
      <w:bookmarkStart w:id="173" w:name="_Toc46242030"/>
      <w:r>
        <w:rPr>
          <w:rFonts w:hint="eastAsia" w:ascii="宋体" w:hAnsi="宋体" w:eastAsia="宋体" w:cs="宋体"/>
          <w:color w:val="auto"/>
          <w:sz w:val="24"/>
          <w:szCs w:val="24"/>
        </w:rPr>
        <w:t>验收要求</w:t>
      </w:r>
      <w:bookmarkEnd w:id="173"/>
    </w:p>
    <w:p>
      <w:pPr>
        <w:spacing w:line="360" w:lineRule="auto"/>
        <w:ind w:firstLine="480"/>
        <w:rPr>
          <w:rFonts w:ascii="宋体" w:hAnsi="宋体"/>
          <w:color w:val="000000"/>
          <w:szCs w:val="21"/>
        </w:rPr>
      </w:pPr>
      <w:r>
        <w:rPr>
          <w:rFonts w:ascii="宋体" w:hAnsi="宋体"/>
          <w:color w:val="000000"/>
          <w:szCs w:val="21"/>
        </w:rPr>
        <w:t>1.验收时间：产品安装、调试完毕，产品试用后，由中标方提出验收申请，采购人应于</w:t>
      </w:r>
      <w:r>
        <w:rPr>
          <w:rFonts w:hint="eastAsia" w:ascii="宋体" w:hAnsi="宋体"/>
          <w:color w:val="000000"/>
          <w:szCs w:val="21"/>
        </w:rPr>
        <w:t>承建商</w:t>
      </w:r>
      <w:r>
        <w:rPr>
          <w:rFonts w:ascii="宋体" w:hAnsi="宋体"/>
          <w:color w:val="000000"/>
          <w:szCs w:val="21"/>
        </w:rPr>
        <w:t>提出验收申请后组织验收。采购人验收合格后应当出具验收报告，需要其他管理机构验收的由验收机构出具验收报告。</w:t>
      </w:r>
    </w:p>
    <w:p>
      <w:pPr>
        <w:spacing w:line="360" w:lineRule="auto"/>
        <w:ind w:firstLine="480"/>
        <w:rPr>
          <w:rFonts w:ascii="宋体" w:hAnsi="宋体"/>
          <w:color w:val="000000"/>
          <w:szCs w:val="21"/>
        </w:rPr>
      </w:pPr>
      <w:r>
        <w:rPr>
          <w:rFonts w:ascii="宋体" w:hAnsi="宋体"/>
          <w:color w:val="000000"/>
          <w:szCs w:val="21"/>
        </w:rPr>
        <w:t>2.验收标准：</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1）初验要求</w:t>
      </w:r>
    </w:p>
    <w:p>
      <w:pPr>
        <w:spacing w:line="360" w:lineRule="auto"/>
        <w:ind w:firstLine="480"/>
        <w:rPr>
          <w:rFonts w:ascii="宋体" w:hAnsi="宋体"/>
          <w:color w:val="000000"/>
          <w:szCs w:val="21"/>
        </w:rPr>
      </w:pPr>
      <w:r>
        <w:rPr>
          <w:rFonts w:hint="eastAsia" w:ascii="宋体" w:hAnsi="宋体"/>
          <w:color w:val="000000"/>
          <w:szCs w:val="21"/>
        </w:rPr>
        <w:t>系统开发、部署、调试完成后，经用户、监理认可、总集成测试，用户组织初验。初验前应完成的工作包括但不限于：系统开发、系统部署调试，并进行相关的配置和系统优化调试，确保合同项系统可正常运行并支持其他系统的正常运行，完成实施过程中所有文档的提交（技术文档、实施文档、用户使用手册等）。承建商在初验前</w:t>
      </w:r>
      <w:r>
        <w:rPr>
          <w:rFonts w:ascii="宋体" w:hAnsi="宋体"/>
          <w:color w:val="000000"/>
          <w:szCs w:val="21"/>
        </w:rPr>
        <w:t>10天提供一份详细的初验方案，经用户、监理认可</w:t>
      </w:r>
      <w:r>
        <w:rPr>
          <w:rFonts w:hint="eastAsia" w:ascii="宋体" w:hAnsi="宋体"/>
          <w:color w:val="000000"/>
          <w:szCs w:val="21"/>
        </w:rPr>
        <w:t>、总集成测试</w:t>
      </w:r>
      <w:r>
        <w:rPr>
          <w:rFonts w:ascii="宋体" w:hAnsi="宋体"/>
          <w:color w:val="000000"/>
          <w:szCs w:val="21"/>
        </w:rPr>
        <w:t>后执行。用户在完成上述工作后即可申请初验。</w:t>
      </w:r>
    </w:p>
    <w:p>
      <w:pPr>
        <w:spacing w:line="360" w:lineRule="auto"/>
        <w:ind w:firstLine="480"/>
        <w:rPr>
          <w:rFonts w:ascii="宋体" w:hAnsi="宋体"/>
          <w:color w:val="000000"/>
          <w:szCs w:val="21"/>
        </w:rPr>
      </w:pPr>
      <w:r>
        <w:rPr>
          <w:rFonts w:hint="eastAsia" w:ascii="宋体" w:hAnsi="宋体"/>
          <w:color w:val="000000"/>
          <w:szCs w:val="21"/>
        </w:rPr>
        <w:t>对于技术文档有如下要求：</w:t>
      </w:r>
    </w:p>
    <w:p>
      <w:pPr>
        <w:spacing w:line="360" w:lineRule="auto"/>
        <w:ind w:firstLine="480"/>
        <w:rPr>
          <w:rFonts w:ascii="宋体" w:hAnsi="宋体"/>
          <w:color w:val="000000"/>
          <w:szCs w:val="21"/>
        </w:rPr>
      </w:pPr>
      <w:r>
        <w:rPr>
          <w:rFonts w:hint="eastAsia" w:ascii="宋体" w:hAnsi="宋体"/>
          <w:color w:val="000000"/>
          <w:szCs w:val="21"/>
        </w:rPr>
        <w:t>承建商应在初验时向用户提交随设备或软件交付完整的技术文档，提交的技术文档的内容必须与所提供的产品相一致，并应尽可能详细。所提交的技术文档费用应包括在该品目的基本报价中。为了培训的目的，最终用户有权复制这些资料而不受限制和另付费用。所有技术文档包括但不限于如下内容：</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1）对产品各项技术指标的测试报告；</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2）技术文件：产品说明书、产品操作手册、产品维护手册、故障诊断手册、开发手册（如果有）等；</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3）详细的产品质量文件：包括材质、材质检验、加工质量、外形尺寸、性能检验、产品合格证明书等文件；</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4）安装指南：承建商应向最终用户提供安装调试过程中的各种文档资料,以便最终用户能掌握操作方法和维护方法。有关产品正确安装与详细配置（包括安装方法、安装步骤及各种配置参数等）资料要以易理解的方式（包括详细说明及图示）形成中文文档，交于用户；</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5）验收文档。</w:t>
      </w:r>
    </w:p>
    <w:p>
      <w:pPr>
        <w:spacing w:line="360" w:lineRule="auto"/>
        <w:ind w:firstLine="480"/>
        <w:rPr>
          <w:rFonts w:ascii="宋体" w:hAnsi="宋体"/>
          <w:color w:val="000000"/>
          <w:szCs w:val="21"/>
        </w:rPr>
      </w:pPr>
      <w:r>
        <w:rPr>
          <w:rFonts w:ascii="宋体" w:hAnsi="宋体"/>
          <w:color w:val="000000"/>
          <w:szCs w:val="21"/>
        </w:rPr>
        <w:t>2.试运行要求</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1）系统安装调试完成并通过初步验收后，进入3个月的连续试运行期。</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2）在试运行期间，承建商进行用户培训。并按相关用户意见反馈，对系统进行优化修改。应在24小时内（节假日也不例外）修复和解决系统的任何故障或问题，并给出详细修复细节报告。</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3）试运行期内如出现重大故障，则试运行期从故障排除之日起重新计算，直到系统连续3个月无重大故障为止。</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4）所有试运行期间的软件变化都应写入试运行记录中，并在结束后由承建商写入操作和维护手册中。</w:t>
      </w:r>
    </w:p>
    <w:p>
      <w:pPr>
        <w:spacing w:line="360" w:lineRule="auto"/>
        <w:ind w:firstLine="480"/>
        <w:rPr>
          <w:rFonts w:ascii="宋体" w:hAnsi="宋体"/>
          <w:color w:val="000000"/>
          <w:szCs w:val="21"/>
        </w:rPr>
      </w:pPr>
      <w:r>
        <w:rPr>
          <w:rFonts w:ascii="宋体" w:hAnsi="宋体"/>
          <w:color w:val="000000"/>
          <w:szCs w:val="21"/>
        </w:rPr>
        <w:t>3. 最终验收要求</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1）试运行期满合格可以进行终验。系统最终验收合格必须满足以下条件：</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2）提供了合同的全部产品和资料（含用户认可的详细全面的运维管理手册和用户操作手册）；</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3）提交实施过程中所产生的全部文档，如技术文档、实施文档、用户使用和操作手册等；</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4）从系统初验通过之日起，进行3个月的连续试运行，在此期间要保障系统的正常运行；终验后陆续上线的应用系统在运行时如发现承建商提供产品有质量问题，承建商也必须更换产品或按用户同意的方式处理产品；</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5）安装、调试、测试和试运行时出现的问题均已被解决；</w:t>
      </w:r>
    </w:p>
    <w:p>
      <w:pPr>
        <w:spacing w:line="360" w:lineRule="auto"/>
        <w:ind w:firstLine="480"/>
        <w:rPr>
          <w:rFonts w:ascii="宋体" w:hAnsi="宋体"/>
          <w:color w:val="000000"/>
          <w:szCs w:val="21"/>
        </w:rPr>
      </w:pPr>
      <w:r>
        <w:rPr>
          <w:rFonts w:hint="eastAsia" w:ascii="宋体" w:hAnsi="宋体"/>
          <w:color w:val="000000"/>
          <w:szCs w:val="21"/>
        </w:rPr>
        <w:t>（</w:t>
      </w:r>
      <w:r>
        <w:rPr>
          <w:rFonts w:ascii="宋体" w:hAnsi="宋体"/>
          <w:color w:val="000000"/>
          <w:szCs w:val="21"/>
        </w:rPr>
        <w:t>6）最终用户单位、监理单位出具的系统可正常运转的说明文件。</w:t>
      </w:r>
      <w:r>
        <w:rPr>
          <w:rFonts w:hint="eastAsia" w:ascii="宋体" w:hAnsi="宋体"/>
          <w:color w:val="000000"/>
          <w:szCs w:val="21"/>
        </w:rPr>
        <w:t>在项目实施完成后，中标人提交交付申请，采购人组织第三方测评，测评通过后组织交付验收，验收通过后正式上线。</w:t>
      </w:r>
    </w:p>
    <w:p>
      <w:pPr>
        <w:spacing w:line="360" w:lineRule="auto"/>
        <w:ind w:firstLine="480"/>
        <w:rPr>
          <w:rFonts w:ascii="宋体" w:hAnsi="宋体"/>
          <w:color w:val="000000"/>
          <w:szCs w:val="21"/>
        </w:rPr>
      </w:pPr>
      <w:r>
        <w:rPr>
          <w:rFonts w:hint="eastAsia" w:ascii="宋体" w:hAnsi="宋体"/>
          <w:color w:val="000000"/>
          <w:szCs w:val="21"/>
        </w:rPr>
        <w:t>其他未尽事宜按照广东省环境监测中心生态环境监测网络建设项目管理细则执行。</w:t>
      </w:r>
    </w:p>
    <w:p>
      <w:pPr>
        <w:pStyle w:val="141"/>
        <w:numPr>
          <w:ilvl w:val="2"/>
          <w:numId w:val="7"/>
        </w:numPr>
        <w:tabs>
          <w:tab w:val="clear" w:pos="851"/>
        </w:tabs>
        <w:outlineLvl w:val="3"/>
        <w:rPr>
          <w:rFonts w:ascii="宋体" w:hAnsi="宋体" w:eastAsia="宋体" w:cs="宋体"/>
          <w:color w:val="auto"/>
          <w:sz w:val="24"/>
          <w:szCs w:val="24"/>
        </w:rPr>
      </w:pPr>
      <w:bookmarkStart w:id="174" w:name="_Toc28038356"/>
      <w:bookmarkEnd w:id="174"/>
      <w:bookmarkStart w:id="175" w:name="_Toc28038347"/>
      <w:bookmarkEnd w:id="175"/>
      <w:bookmarkStart w:id="176" w:name="_Toc28038483"/>
      <w:bookmarkEnd w:id="176"/>
      <w:bookmarkStart w:id="177" w:name="_Toc28038481"/>
      <w:bookmarkEnd w:id="177"/>
      <w:bookmarkStart w:id="178" w:name="_Toc28038482"/>
      <w:bookmarkEnd w:id="178"/>
      <w:bookmarkStart w:id="179" w:name="_Toc28038488"/>
      <w:bookmarkEnd w:id="179"/>
      <w:bookmarkStart w:id="180" w:name="_Toc28038486"/>
      <w:bookmarkEnd w:id="180"/>
      <w:bookmarkStart w:id="181" w:name="_Toc28038348"/>
      <w:bookmarkEnd w:id="181"/>
      <w:bookmarkStart w:id="182" w:name="_Toc28038351"/>
      <w:bookmarkEnd w:id="182"/>
      <w:bookmarkStart w:id="183" w:name="_Toc28038487"/>
      <w:bookmarkEnd w:id="183"/>
      <w:bookmarkStart w:id="184" w:name="_Toc28038490"/>
      <w:bookmarkEnd w:id="184"/>
      <w:bookmarkStart w:id="185" w:name="_Toc28038484"/>
      <w:bookmarkEnd w:id="185"/>
      <w:bookmarkStart w:id="186" w:name="_Toc28038480"/>
      <w:bookmarkEnd w:id="186"/>
      <w:bookmarkStart w:id="187" w:name="_Toc28038485"/>
      <w:bookmarkEnd w:id="187"/>
      <w:bookmarkStart w:id="188" w:name="_Toc28038344"/>
      <w:bookmarkEnd w:id="188"/>
      <w:bookmarkStart w:id="189" w:name="_Toc28038352"/>
      <w:bookmarkEnd w:id="189"/>
      <w:bookmarkStart w:id="190" w:name="_Toc28038350"/>
      <w:bookmarkEnd w:id="190"/>
      <w:bookmarkStart w:id="191" w:name="_Toc28038353"/>
      <w:bookmarkEnd w:id="191"/>
      <w:bookmarkStart w:id="192" w:name="_Toc28038354"/>
      <w:bookmarkEnd w:id="192"/>
      <w:bookmarkStart w:id="193" w:name="_Toc28038355"/>
      <w:bookmarkEnd w:id="193"/>
      <w:bookmarkStart w:id="194" w:name="_Toc28038491"/>
      <w:bookmarkEnd w:id="194"/>
      <w:bookmarkStart w:id="195" w:name="_Toc28038346"/>
      <w:bookmarkEnd w:id="195"/>
      <w:bookmarkStart w:id="196" w:name="_Toc28038492"/>
      <w:bookmarkEnd w:id="196"/>
      <w:bookmarkStart w:id="197" w:name="_Toc28038489"/>
      <w:bookmarkEnd w:id="197"/>
      <w:bookmarkStart w:id="198" w:name="_Toc28038349"/>
      <w:bookmarkEnd w:id="198"/>
      <w:bookmarkStart w:id="199" w:name="_Toc28038345"/>
      <w:bookmarkEnd w:id="199"/>
      <w:bookmarkStart w:id="200" w:name="_Toc28252704"/>
      <w:bookmarkStart w:id="201" w:name="_Toc28284289"/>
      <w:bookmarkStart w:id="202" w:name="_Toc46242031"/>
      <w:r>
        <w:rPr>
          <w:rFonts w:hint="eastAsia" w:ascii="宋体" w:hAnsi="宋体" w:eastAsia="宋体" w:cs="宋体"/>
          <w:color w:val="auto"/>
          <w:sz w:val="24"/>
          <w:szCs w:val="24"/>
        </w:rPr>
        <w:t>其他要求</w:t>
      </w:r>
      <w:bookmarkEnd w:id="200"/>
      <w:bookmarkEnd w:id="201"/>
      <w:bookmarkEnd w:id="202"/>
    </w:p>
    <w:p>
      <w:pPr>
        <w:pStyle w:val="141"/>
        <w:numPr>
          <w:ilvl w:val="3"/>
          <w:numId w:val="7"/>
        </w:numPr>
        <w:tabs>
          <w:tab w:val="clear" w:pos="851"/>
        </w:tabs>
        <w:outlineLvl w:val="4"/>
        <w:rPr>
          <w:rFonts w:ascii="宋体" w:hAnsi="宋体" w:eastAsia="宋体" w:cs="宋体"/>
          <w:color w:val="auto"/>
          <w:sz w:val="24"/>
          <w:szCs w:val="24"/>
        </w:rPr>
      </w:pPr>
      <w:bookmarkStart w:id="203" w:name="_Toc46242032"/>
      <w:r>
        <w:rPr>
          <w:rFonts w:hint="eastAsia" w:ascii="宋体" w:hAnsi="宋体" w:eastAsia="宋体" w:cs="宋体"/>
          <w:color w:val="auto"/>
          <w:sz w:val="24"/>
          <w:szCs w:val="24"/>
        </w:rPr>
        <w:t>资产权属</w:t>
      </w:r>
      <w:bookmarkEnd w:id="203"/>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1.</w:t>
      </w:r>
      <w:r>
        <w:rPr>
          <w:rFonts w:hint="eastAsia" w:ascii="宋体" w:hAnsi="宋体" w:eastAsia="宋体"/>
          <w:color w:val="000000"/>
          <w:sz w:val="21"/>
          <w:szCs w:val="21"/>
        </w:rPr>
        <w:t>本项目所涉及的数据所有权归政府所有，投标人只能用于履行本项目义务之目的。</w:t>
      </w:r>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2.</w:t>
      </w:r>
      <w:r>
        <w:rPr>
          <w:rFonts w:hint="eastAsia" w:ascii="宋体" w:hAnsi="宋体" w:eastAsia="宋体"/>
          <w:color w:val="000000"/>
          <w:sz w:val="21"/>
          <w:szCs w:val="21"/>
        </w:rPr>
        <w:t>本项目不会引起任何已申请、登记的知识产权所有权的转移。</w:t>
      </w:r>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3.</w:t>
      </w:r>
      <w:r>
        <w:rPr>
          <w:rFonts w:hint="eastAsia" w:ascii="宋体" w:hAnsi="宋体" w:eastAsia="宋体"/>
          <w:color w:val="000000"/>
          <w:sz w:val="21"/>
          <w:szCs w:val="21"/>
        </w:rPr>
        <w:t>投标人为履行义务所形成的服务成果的知识产权归采购人所有。或采购人委托投标人提供的产品、程序、服务等的知识产权归采购人、投标人（可含投标人合作商）共同所有，投标人应按采购人书面要求交付该共有部分的源代码；投标人（可含投标人合作商）在共有部分的基础上进行二次开发的及对二次开发形成产品、程序等财产的处置的，需经采购人书面同意，，二次开发所形成的产品、程序、服务等的知识产权归开发者所有，共有部分仍归采购人、投标人（可含投标人合作商）共同所有。</w:t>
      </w:r>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4.</w:t>
      </w:r>
      <w:r>
        <w:rPr>
          <w:rFonts w:hint="eastAsia" w:ascii="宋体" w:hAnsi="宋体" w:eastAsia="宋体"/>
          <w:color w:val="000000"/>
          <w:sz w:val="21"/>
          <w:szCs w:val="21"/>
        </w:rPr>
        <w:t>投标人保证向采购人提供的服务成果不存在任何侵犯第三方专利权、商标权、著作权等合法权益。如因投标人提供的服务成果侵犯任何第三方的合法权益，导致该第三方追究采购人责任的，投标人应负责解决并赔偿因此给采购人造成的全部损失。</w:t>
      </w:r>
    </w:p>
    <w:p>
      <w:pPr>
        <w:pStyle w:val="141"/>
        <w:numPr>
          <w:ilvl w:val="3"/>
          <w:numId w:val="7"/>
        </w:numPr>
        <w:tabs>
          <w:tab w:val="clear" w:pos="851"/>
        </w:tabs>
        <w:outlineLvl w:val="4"/>
        <w:rPr>
          <w:rFonts w:ascii="宋体" w:hAnsi="宋体" w:eastAsia="宋体" w:cs="宋体"/>
          <w:color w:val="auto"/>
          <w:sz w:val="24"/>
          <w:szCs w:val="24"/>
        </w:rPr>
      </w:pPr>
      <w:bookmarkStart w:id="204" w:name="_Toc46242033"/>
      <w:r>
        <w:rPr>
          <w:rFonts w:hint="eastAsia" w:ascii="宋体" w:hAnsi="宋体" w:eastAsia="宋体" w:cs="宋体"/>
          <w:color w:val="auto"/>
          <w:sz w:val="24"/>
          <w:szCs w:val="24"/>
        </w:rPr>
        <w:t>保密要求</w:t>
      </w:r>
      <w:bookmarkEnd w:id="204"/>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1.</w:t>
      </w:r>
      <w:r>
        <w:rPr>
          <w:rFonts w:hint="eastAsia" w:ascii="宋体" w:hAnsi="宋体" w:eastAsia="宋体"/>
          <w:color w:val="000000"/>
          <w:sz w:val="21"/>
          <w:szCs w:val="21"/>
        </w:rPr>
        <w:t>投标人应签订保密协议，对其因身份、职务、职业或技术关系而知悉的采购人商业秘密和党政机关保密信息应严格保守，保证不被披露或使用，包括意外或过失。</w:t>
      </w:r>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2.</w:t>
      </w:r>
      <w:r>
        <w:rPr>
          <w:rFonts w:hint="eastAsia" w:ascii="宋体" w:hAnsi="宋体" w:eastAsia="宋体"/>
          <w:color w:val="000000"/>
          <w:sz w:val="21"/>
          <w:szCs w:val="21"/>
        </w:rPr>
        <w:t>投标人不得以竞争为目的、或出于私利、或为第三人谋利而擅自保存、披露、使用采购人商业秘密和党政机关保密信息；不得直接或间接地向无关人员泄露采购人的商业秘密和党政机关保密信息；不得向不承担保密义务的任何第三人披露采购人的商业秘密和党政机关保密信息。投标人在从事政府项目时，不得擅自记录、复制、拍摄、摘抄、收藏在工作中涉及的保密信息，严禁将涉及政府项目的任何资料、数据透露或以其他方式提供给项目以外的其他方或投标人内部与该项目无关的任何人员。</w:t>
      </w:r>
      <w:r>
        <w:rPr>
          <w:rFonts w:ascii="宋体" w:hAnsi="宋体" w:eastAsia="宋体"/>
          <w:color w:val="000000"/>
          <w:sz w:val="21"/>
          <w:szCs w:val="21"/>
        </w:rPr>
        <w:t xml:space="preserve"> </w:t>
      </w:r>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3.</w:t>
      </w:r>
      <w:r>
        <w:rPr>
          <w:rFonts w:hint="eastAsia" w:ascii="宋体" w:hAnsi="宋体" w:eastAsia="宋体"/>
          <w:color w:val="000000"/>
          <w:sz w:val="21"/>
          <w:szCs w:val="21"/>
        </w:rPr>
        <w:t>投标人对于工作期间知悉采购人的商业秘密和党政机关保密信息（包括业务信息在内）或工作过程中接触到的政府机关文件（包括内部发文、各类通知及会议记录等）的内容，同样承担保密责任，严禁将政府机关内部会议、谈话内容泄露给无关人员；不得翻阅与工作无关的文件和资料。</w:t>
      </w:r>
      <w:r>
        <w:rPr>
          <w:rFonts w:ascii="宋体" w:hAnsi="宋体" w:eastAsia="宋体"/>
          <w:color w:val="000000"/>
          <w:sz w:val="21"/>
          <w:szCs w:val="21"/>
        </w:rPr>
        <w:t xml:space="preserve"> </w:t>
      </w:r>
    </w:p>
    <w:p>
      <w:pPr>
        <w:pStyle w:val="250"/>
        <w:spacing w:line="360" w:lineRule="auto"/>
        <w:ind w:firstLine="420"/>
        <w:rPr>
          <w:rFonts w:ascii="宋体" w:hAnsi="宋体" w:eastAsia="宋体"/>
          <w:color w:val="000000"/>
          <w:sz w:val="21"/>
          <w:szCs w:val="21"/>
        </w:rPr>
      </w:pPr>
      <w:r>
        <w:rPr>
          <w:rFonts w:ascii="宋体" w:hAnsi="宋体" w:eastAsia="宋体"/>
          <w:color w:val="000000"/>
          <w:sz w:val="21"/>
          <w:szCs w:val="21"/>
        </w:rPr>
        <w:t>4.</w:t>
      </w:r>
      <w:r>
        <w:rPr>
          <w:rFonts w:hint="eastAsia" w:ascii="宋体" w:hAnsi="宋体" w:eastAsia="宋体"/>
          <w:color w:val="000000"/>
          <w:sz w:val="21"/>
          <w:szCs w:val="21"/>
        </w:rPr>
        <w:t>严禁泄露在工作中接触到的政府机关科技研究、发明、装备器材及其技术资料和政府工作信息。</w:t>
      </w:r>
      <w:r>
        <w:rPr>
          <w:rFonts w:ascii="宋体" w:hAnsi="宋体" w:eastAsia="宋体"/>
          <w:color w:val="000000"/>
          <w:sz w:val="21"/>
          <w:szCs w:val="21"/>
        </w:rPr>
        <w:t xml:space="preserve"> </w:t>
      </w:r>
    </w:p>
    <w:p>
      <w:pPr>
        <w:pStyle w:val="141"/>
        <w:numPr>
          <w:ilvl w:val="3"/>
          <w:numId w:val="7"/>
        </w:numPr>
        <w:tabs>
          <w:tab w:val="clear" w:pos="851"/>
        </w:tabs>
        <w:outlineLvl w:val="4"/>
        <w:rPr>
          <w:rFonts w:ascii="宋体" w:hAnsi="宋体" w:eastAsia="宋体" w:cs="宋体"/>
          <w:color w:val="auto"/>
          <w:sz w:val="24"/>
          <w:szCs w:val="24"/>
        </w:rPr>
      </w:pPr>
      <w:bookmarkStart w:id="205" w:name="_Toc46242034"/>
      <w:r>
        <w:rPr>
          <w:rFonts w:hint="eastAsia" w:ascii="宋体" w:hAnsi="宋体" w:eastAsia="宋体" w:cs="宋体"/>
          <w:color w:val="auto"/>
          <w:sz w:val="24"/>
          <w:szCs w:val="24"/>
        </w:rPr>
        <w:t>监理要求</w:t>
      </w:r>
      <w:bookmarkEnd w:id="205"/>
    </w:p>
    <w:p>
      <w:pPr>
        <w:pStyle w:val="250"/>
        <w:spacing w:line="360" w:lineRule="auto"/>
        <w:ind w:firstLine="420"/>
        <w:rPr>
          <w:rFonts w:ascii="宋体" w:hAnsi="宋体" w:eastAsia="宋体"/>
          <w:color w:val="000000"/>
          <w:sz w:val="21"/>
          <w:szCs w:val="21"/>
        </w:rPr>
      </w:pPr>
      <w:r>
        <w:rPr>
          <w:rFonts w:hint="eastAsia" w:ascii="宋体" w:hAnsi="宋体" w:eastAsia="宋体"/>
          <w:color w:val="000000"/>
          <w:sz w:val="21"/>
          <w:szCs w:val="21"/>
        </w:rPr>
        <w:t>投标人须承诺，在项目开展过程中接受采购人指定的咨询监理机构的监理。</w:t>
      </w:r>
    </w:p>
    <w:p>
      <w:pPr>
        <w:pStyle w:val="141"/>
        <w:numPr>
          <w:ilvl w:val="2"/>
          <w:numId w:val="7"/>
        </w:numPr>
        <w:tabs>
          <w:tab w:val="clear" w:pos="851"/>
        </w:tabs>
        <w:outlineLvl w:val="3"/>
        <w:rPr>
          <w:rFonts w:ascii="宋体" w:hAnsi="宋体" w:eastAsia="宋体" w:cs="宋体"/>
          <w:color w:val="auto"/>
          <w:sz w:val="24"/>
          <w:szCs w:val="24"/>
        </w:rPr>
      </w:pPr>
      <w:bookmarkStart w:id="215" w:name="_GoBack"/>
      <w:bookmarkEnd w:id="215"/>
      <w:bookmarkStart w:id="206" w:name="_Toc46242035"/>
      <w:bookmarkStart w:id="207" w:name="_Toc28252705"/>
      <w:bookmarkStart w:id="208" w:name="_Toc28284290"/>
      <w:r>
        <w:rPr>
          <w:rFonts w:hint="eastAsia" w:ascii="宋体" w:hAnsi="宋体" w:eastAsia="宋体" w:cs="宋体"/>
          <w:color w:val="auto"/>
          <w:sz w:val="24"/>
          <w:szCs w:val="24"/>
        </w:rPr>
        <w:t>付款方式</w:t>
      </w:r>
      <w:bookmarkEnd w:id="206"/>
      <w:bookmarkEnd w:id="207"/>
      <w:bookmarkEnd w:id="208"/>
    </w:p>
    <w:p>
      <w:pPr>
        <w:pStyle w:val="141"/>
        <w:numPr>
          <w:ilvl w:val="3"/>
          <w:numId w:val="7"/>
        </w:numPr>
        <w:tabs>
          <w:tab w:val="clear" w:pos="851"/>
        </w:tabs>
        <w:outlineLvl w:val="4"/>
        <w:rPr>
          <w:rFonts w:ascii="宋体" w:hAnsi="宋体" w:eastAsia="宋体" w:cs="宋体"/>
          <w:color w:val="auto"/>
          <w:sz w:val="24"/>
          <w:szCs w:val="24"/>
        </w:rPr>
      </w:pPr>
      <w:bookmarkStart w:id="209" w:name="_Toc46242036"/>
      <w:r>
        <w:rPr>
          <w:rFonts w:hint="eastAsia" w:ascii="宋体" w:hAnsi="宋体" w:eastAsia="宋体" w:cs="宋体"/>
          <w:color w:val="auto"/>
          <w:sz w:val="24"/>
          <w:szCs w:val="24"/>
        </w:rPr>
        <w:t>预付款</w:t>
      </w:r>
      <w:bookmarkEnd w:id="209"/>
    </w:p>
    <w:p>
      <w:pPr>
        <w:pStyle w:val="171"/>
        <w:numPr>
          <w:ilvl w:val="1"/>
          <w:numId w:val="11"/>
        </w:numPr>
        <w:ind w:firstLineChars="0"/>
        <w:rPr>
          <w:rFonts w:ascii="宋体" w:hAnsi="宋体" w:cs="宋体"/>
          <w:sz w:val="21"/>
          <w:szCs w:val="21"/>
        </w:rPr>
      </w:pPr>
      <w:r>
        <w:rPr>
          <w:rFonts w:hint="eastAsia" w:ascii="宋体" w:hAnsi="宋体" w:cs="宋体"/>
          <w:sz w:val="21"/>
          <w:szCs w:val="21"/>
        </w:rPr>
        <w:t>签订合同后 10 个工作日内，支付合同总价的80%。中标人须于签订合同后50天内提供合同额30%的银行预付款保函，中标人凭以下有效的文件向采购人提出支付货款的申请：</w:t>
      </w:r>
    </w:p>
    <w:p>
      <w:pPr>
        <w:pStyle w:val="171"/>
        <w:numPr>
          <w:ilvl w:val="1"/>
          <w:numId w:val="11"/>
        </w:numPr>
        <w:ind w:firstLineChars="0"/>
        <w:rPr>
          <w:rFonts w:ascii="宋体" w:hAnsi="宋体" w:cs="宋体"/>
          <w:sz w:val="21"/>
          <w:szCs w:val="21"/>
        </w:rPr>
      </w:pPr>
      <w:r>
        <w:rPr>
          <w:rFonts w:hint="eastAsia" w:ascii="宋体" w:hAnsi="宋体" w:cs="宋体"/>
          <w:sz w:val="21"/>
          <w:szCs w:val="21"/>
        </w:rPr>
        <w:t>项目合同；</w:t>
      </w:r>
    </w:p>
    <w:p>
      <w:pPr>
        <w:pStyle w:val="171"/>
        <w:numPr>
          <w:ilvl w:val="1"/>
          <w:numId w:val="11"/>
        </w:numPr>
        <w:ind w:firstLineChars="0"/>
        <w:rPr>
          <w:rFonts w:ascii="宋体" w:hAnsi="宋体" w:cs="宋体"/>
          <w:sz w:val="21"/>
          <w:szCs w:val="21"/>
        </w:rPr>
      </w:pPr>
      <w:r>
        <w:rPr>
          <w:rFonts w:hint="eastAsia" w:ascii="宋体" w:hAnsi="宋体" w:cs="宋体"/>
          <w:sz w:val="21"/>
          <w:szCs w:val="21"/>
        </w:rPr>
        <w:t>中标人开具的正式发票（发票税号：12440000455857094E）；</w:t>
      </w:r>
    </w:p>
    <w:p>
      <w:pPr>
        <w:pStyle w:val="171"/>
        <w:numPr>
          <w:ilvl w:val="1"/>
          <w:numId w:val="11"/>
        </w:numPr>
        <w:ind w:firstLineChars="0"/>
        <w:rPr>
          <w:rFonts w:ascii="宋体" w:hAnsi="宋体" w:cs="宋体"/>
          <w:sz w:val="21"/>
          <w:szCs w:val="21"/>
        </w:rPr>
      </w:pPr>
      <w:r>
        <w:rPr>
          <w:rFonts w:hint="eastAsia" w:ascii="宋体" w:hAnsi="宋体" w:cs="宋体"/>
          <w:sz w:val="21"/>
          <w:szCs w:val="21"/>
        </w:rPr>
        <w:t>本项目中标通知书；</w:t>
      </w:r>
    </w:p>
    <w:p>
      <w:pPr>
        <w:pStyle w:val="141"/>
        <w:numPr>
          <w:ilvl w:val="3"/>
          <w:numId w:val="7"/>
        </w:numPr>
        <w:tabs>
          <w:tab w:val="clear" w:pos="851"/>
        </w:tabs>
        <w:outlineLvl w:val="4"/>
        <w:rPr>
          <w:rFonts w:ascii="宋体" w:hAnsi="宋体" w:eastAsia="宋体" w:cs="宋体"/>
          <w:color w:val="auto"/>
          <w:sz w:val="24"/>
          <w:szCs w:val="24"/>
        </w:rPr>
      </w:pPr>
      <w:bookmarkStart w:id="210" w:name="_Toc46242037"/>
      <w:r>
        <w:rPr>
          <w:rFonts w:hint="eastAsia" w:ascii="宋体" w:hAnsi="宋体" w:eastAsia="宋体" w:cs="宋体"/>
          <w:color w:val="auto"/>
          <w:sz w:val="24"/>
          <w:szCs w:val="24"/>
        </w:rPr>
        <w:t>项目验收款</w:t>
      </w:r>
      <w:bookmarkEnd w:id="210"/>
    </w:p>
    <w:p>
      <w:pPr>
        <w:pStyle w:val="171"/>
        <w:numPr>
          <w:ilvl w:val="0"/>
          <w:numId w:val="12"/>
        </w:numPr>
        <w:ind w:firstLineChars="0"/>
        <w:rPr>
          <w:rFonts w:ascii="宋体" w:hAnsi="宋体" w:cs="宋体"/>
          <w:sz w:val="21"/>
          <w:szCs w:val="21"/>
        </w:rPr>
      </w:pPr>
      <w:r>
        <w:rPr>
          <w:rFonts w:hint="eastAsia" w:ascii="宋体" w:hAnsi="宋体" w:cs="宋体"/>
          <w:sz w:val="21"/>
          <w:szCs w:val="21"/>
        </w:rPr>
        <w:t>中标人完成全部项目建设，并通过专家评审/验收会后10个工作日内，采购人启动支付流程，支付合同总额的20%。中标人凭以下有效的文件向采购人提出支付货款的申请：</w:t>
      </w:r>
    </w:p>
    <w:p>
      <w:pPr>
        <w:pStyle w:val="171"/>
        <w:numPr>
          <w:ilvl w:val="1"/>
          <w:numId w:val="12"/>
        </w:numPr>
        <w:ind w:firstLineChars="0"/>
        <w:rPr>
          <w:rFonts w:ascii="宋体" w:hAnsi="宋体" w:cs="宋体"/>
          <w:sz w:val="21"/>
          <w:szCs w:val="21"/>
        </w:rPr>
      </w:pPr>
      <w:r>
        <w:rPr>
          <w:rFonts w:hint="eastAsia" w:ascii="宋体" w:hAnsi="宋体" w:cs="宋体"/>
          <w:sz w:val="21"/>
          <w:szCs w:val="21"/>
        </w:rPr>
        <w:t>项目合同；</w:t>
      </w:r>
    </w:p>
    <w:p>
      <w:pPr>
        <w:pStyle w:val="171"/>
        <w:numPr>
          <w:ilvl w:val="1"/>
          <w:numId w:val="12"/>
        </w:numPr>
        <w:ind w:firstLineChars="0"/>
        <w:rPr>
          <w:rFonts w:ascii="宋体" w:hAnsi="宋体" w:cs="宋体"/>
          <w:sz w:val="21"/>
          <w:szCs w:val="21"/>
        </w:rPr>
      </w:pPr>
      <w:r>
        <w:rPr>
          <w:rFonts w:hint="eastAsia" w:ascii="宋体" w:hAnsi="宋体" w:cs="宋体"/>
          <w:sz w:val="21"/>
          <w:szCs w:val="21"/>
        </w:rPr>
        <w:t>中标人开具的相应金额的正式发票（发票税号：12440000455857094E）；</w:t>
      </w:r>
    </w:p>
    <w:p>
      <w:pPr>
        <w:pStyle w:val="171"/>
        <w:numPr>
          <w:ilvl w:val="1"/>
          <w:numId w:val="12"/>
        </w:numPr>
        <w:ind w:firstLineChars="0"/>
        <w:rPr>
          <w:rFonts w:ascii="宋体" w:hAnsi="宋体" w:cs="宋体"/>
          <w:sz w:val="21"/>
          <w:szCs w:val="21"/>
        </w:rPr>
      </w:pPr>
      <w:r>
        <w:rPr>
          <w:rFonts w:hint="eastAsia" w:ascii="宋体" w:hAnsi="宋体" w:cs="宋体"/>
          <w:sz w:val="21"/>
          <w:szCs w:val="21"/>
        </w:rPr>
        <w:t>项目评审/验收意见。</w:t>
      </w:r>
    </w:p>
    <w:p>
      <w:pPr>
        <w:pStyle w:val="141"/>
        <w:numPr>
          <w:ilvl w:val="3"/>
          <w:numId w:val="7"/>
        </w:numPr>
        <w:tabs>
          <w:tab w:val="clear" w:pos="851"/>
        </w:tabs>
        <w:outlineLvl w:val="4"/>
        <w:rPr>
          <w:rFonts w:ascii="宋体" w:hAnsi="宋体" w:eastAsia="宋体" w:cs="宋体"/>
          <w:color w:val="auto"/>
          <w:sz w:val="24"/>
          <w:szCs w:val="24"/>
        </w:rPr>
      </w:pPr>
      <w:bookmarkStart w:id="211" w:name="_Toc46242038"/>
      <w:r>
        <w:rPr>
          <w:rFonts w:hint="eastAsia" w:ascii="宋体" w:hAnsi="宋体" w:eastAsia="宋体" w:cs="宋体"/>
          <w:color w:val="auto"/>
          <w:sz w:val="24"/>
          <w:szCs w:val="24"/>
        </w:rPr>
        <w:t>预付款保函的退还</w:t>
      </w:r>
      <w:bookmarkEnd w:id="211"/>
    </w:p>
    <w:p>
      <w:pPr>
        <w:pStyle w:val="171"/>
        <w:numPr>
          <w:ilvl w:val="0"/>
          <w:numId w:val="13"/>
        </w:numPr>
        <w:ind w:firstLineChars="0"/>
        <w:rPr>
          <w:rFonts w:ascii="宋体" w:hAnsi="宋体" w:cs="宋体"/>
          <w:sz w:val="21"/>
          <w:szCs w:val="21"/>
        </w:rPr>
      </w:pPr>
      <w:r>
        <w:rPr>
          <w:rFonts w:hint="eastAsia" w:ascii="宋体" w:hAnsi="宋体" w:cs="宋体"/>
          <w:sz w:val="21"/>
          <w:szCs w:val="21"/>
        </w:rPr>
        <w:t>中标人完成项目初步验收，经采购人同意，并通过专家评审后（专家由采购人邀请，中标人支付专家评审费），中标人开具合同额10%的银行履约保函，凭专家评审通过的意见和履约保函，采购人退回预付款保函；</w:t>
      </w:r>
    </w:p>
    <w:p>
      <w:pPr>
        <w:pStyle w:val="171"/>
        <w:numPr>
          <w:ilvl w:val="0"/>
          <w:numId w:val="13"/>
        </w:numPr>
        <w:ind w:firstLineChars="0"/>
        <w:rPr>
          <w:rFonts w:ascii="宋体" w:hAnsi="宋体" w:cs="宋体"/>
          <w:sz w:val="21"/>
          <w:szCs w:val="21"/>
        </w:rPr>
      </w:pPr>
      <w:r>
        <w:rPr>
          <w:rFonts w:hint="eastAsia" w:ascii="宋体" w:hAnsi="宋体" w:cs="宋体"/>
          <w:sz w:val="21"/>
          <w:szCs w:val="21"/>
        </w:rPr>
        <w:t>履约保函一直保持有效到本合同规定的项目质保期满，经采购人考核合格后10个工作日内无息退还给中标人。</w:t>
      </w:r>
    </w:p>
    <w:p>
      <w:pPr>
        <w:pStyle w:val="20"/>
        <w:spacing w:line="360" w:lineRule="auto"/>
        <w:ind w:firstLine="420" w:firstLineChars="200"/>
        <w:rPr>
          <w:rFonts w:ascii="宋体" w:hAnsi="宋体" w:cs="宋体"/>
          <w:szCs w:val="21"/>
        </w:rPr>
      </w:pPr>
      <w:r>
        <w:rPr>
          <w:rFonts w:hint="eastAsia" w:ascii="宋体" w:hAnsi="宋体" w:cs="宋体"/>
          <w:szCs w:val="21"/>
        </w:rPr>
        <w:t>4、因采购人使用的是财政资金，采购人在前款规定的付款时间向政府采购支付部门提出办理财政支付申请手续的时间（不含政府财政支付部门审核的时间），在规定时间内提出支付申请手续后即视为采购人已经按期支付。</w:t>
      </w:r>
    </w:p>
    <w:p>
      <w:pPr>
        <w:spacing w:line="360" w:lineRule="auto"/>
        <w:ind w:firstLine="420" w:firstLineChars="200"/>
        <w:rPr>
          <w:color w:val="000000"/>
          <w:szCs w:val="21"/>
        </w:rPr>
      </w:pPr>
      <w:r>
        <w:rPr>
          <w:rFonts w:hint="eastAsia" w:ascii="宋体" w:hAnsi="宋体" w:cs="宋体"/>
          <w:szCs w:val="21"/>
        </w:rPr>
        <w:t>5、合同执行期间，如遇</w:t>
      </w:r>
      <w:r>
        <w:rPr>
          <w:rFonts w:ascii="宋体" w:hAnsi="宋体" w:cs="宋体"/>
          <w:szCs w:val="21"/>
        </w:rPr>
        <w:t>甲方</w:t>
      </w:r>
      <w:r>
        <w:rPr>
          <w:rFonts w:hint="eastAsia" w:ascii="宋体" w:hAnsi="宋体" w:cs="宋体"/>
          <w:szCs w:val="21"/>
        </w:rPr>
        <w:t>因财政政策影响关帐，合同余款（合同总额的2</w:t>
      </w:r>
      <w:r>
        <w:rPr>
          <w:rFonts w:ascii="宋体" w:hAnsi="宋体" w:cs="宋体"/>
          <w:szCs w:val="21"/>
        </w:rPr>
        <w:t>0</w:t>
      </w:r>
      <w:r>
        <w:rPr>
          <w:rFonts w:hint="eastAsia" w:ascii="宋体" w:hAnsi="宋体" w:cs="宋体"/>
          <w:szCs w:val="21"/>
        </w:rPr>
        <w:t>%，由</w:t>
      </w:r>
      <w:r>
        <w:rPr>
          <w:rFonts w:ascii="宋体" w:hAnsi="宋体" w:cs="宋体"/>
          <w:szCs w:val="21"/>
        </w:rPr>
        <w:t>乙方</w:t>
      </w:r>
      <w:r>
        <w:rPr>
          <w:rFonts w:hint="eastAsia" w:ascii="宋体" w:hAnsi="宋体" w:cs="宋体"/>
          <w:szCs w:val="21"/>
        </w:rPr>
        <w:t>先提供银行开具的等额保函，保函金额为</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元），</w:t>
      </w:r>
      <w:r>
        <w:rPr>
          <w:rFonts w:ascii="宋体" w:hAnsi="宋体" w:cs="宋体"/>
          <w:szCs w:val="21"/>
        </w:rPr>
        <w:t>甲方</w:t>
      </w:r>
      <w:r>
        <w:rPr>
          <w:rFonts w:hint="eastAsia" w:ascii="宋体" w:hAnsi="宋体" w:cs="宋体"/>
          <w:szCs w:val="21"/>
        </w:rPr>
        <w:t>收到付款申请和保函后十五个工作日内向</w:t>
      </w:r>
      <w:r>
        <w:rPr>
          <w:rFonts w:ascii="宋体" w:hAnsi="宋体" w:cs="宋体"/>
          <w:szCs w:val="21"/>
        </w:rPr>
        <w:t>乙方</w:t>
      </w:r>
      <w:r>
        <w:rPr>
          <w:rFonts w:hint="eastAsia" w:ascii="宋体" w:hAnsi="宋体" w:cs="宋体"/>
          <w:szCs w:val="21"/>
        </w:rPr>
        <w:t>支付合同余款。项目验收合格后，</w:t>
      </w:r>
      <w:r>
        <w:rPr>
          <w:rFonts w:ascii="宋体" w:hAnsi="宋体" w:cs="宋体"/>
          <w:szCs w:val="21"/>
        </w:rPr>
        <w:t>甲方</w:t>
      </w:r>
      <w:r>
        <w:rPr>
          <w:rFonts w:hint="eastAsia" w:ascii="宋体" w:hAnsi="宋体" w:cs="宋体"/>
          <w:szCs w:val="21"/>
        </w:rPr>
        <w:t>将银行保函退还给</w:t>
      </w:r>
      <w:r>
        <w:rPr>
          <w:rFonts w:ascii="宋体" w:hAnsi="宋体" w:cs="宋体"/>
          <w:szCs w:val="21"/>
        </w:rPr>
        <w:t>乙方</w:t>
      </w:r>
      <w:r>
        <w:rPr>
          <w:rFonts w:hint="eastAsia"/>
        </w:rPr>
        <w:t>。</w:t>
      </w:r>
    </w:p>
    <w:p>
      <w:pPr>
        <w:spacing w:after="156" w:afterLines="50"/>
        <w:ind w:firstLine="480"/>
        <w:rPr>
          <w:rFonts w:ascii="宋体" w:hAnsi="宋体"/>
          <w:color w:val="000000"/>
          <w:szCs w:val="21"/>
        </w:rPr>
      </w:pPr>
    </w:p>
    <w:p>
      <w:pPr>
        <w:spacing w:after="156" w:afterLines="50"/>
        <w:ind w:firstLine="480"/>
        <w:rPr>
          <w:rFonts w:ascii="宋体" w:hAnsi="宋体"/>
          <w:color w:val="000000"/>
          <w:szCs w:val="21"/>
        </w:rPr>
      </w:pPr>
    </w:p>
    <w:p>
      <w:pPr>
        <w:spacing w:line="360" w:lineRule="auto"/>
        <w:ind w:firstLine="424" w:firstLineChars="202"/>
        <w:rPr>
          <w:color w:val="000000"/>
        </w:rPr>
      </w:pP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ind w:firstLine="478" w:firstLineChars="228"/>
        <w:rPr>
          <w:rFonts w:ascii="宋体" w:hAnsi="宋体" w:cs="宋体"/>
        </w:rPr>
      </w:pPr>
      <w:r>
        <w:rPr>
          <w:rFonts w:hAnsi="宋体"/>
          <w:color w:val="000000"/>
          <w:szCs w:val="21"/>
        </w:rPr>
        <w:br w:type="page"/>
      </w:r>
    </w:p>
    <w:p>
      <w:pPr>
        <w:pStyle w:val="131"/>
        <w:numPr>
          <w:ilvl w:val="1"/>
          <w:numId w:val="7"/>
        </w:numPr>
        <w:ind w:left="567"/>
        <w:outlineLvl w:val="2"/>
        <w:rPr>
          <w:rFonts w:ascii="宋体" w:hAnsi="宋体" w:eastAsia="宋体" w:cs="宋体"/>
          <w:sz w:val="24"/>
          <w:szCs w:val="24"/>
        </w:rPr>
      </w:pPr>
      <w:bookmarkStart w:id="212" w:name="_Toc46242039"/>
      <w:r>
        <w:rPr>
          <w:rFonts w:hint="eastAsia" w:ascii="宋体" w:hAnsi="宋体" w:eastAsia="宋体" w:cs="宋体"/>
          <w:sz w:val="24"/>
          <w:szCs w:val="24"/>
        </w:rPr>
        <w:t>评分</w:t>
      </w:r>
      <w:bookmarkEnd w:id="212"/>
    </w:p>
    <w:p>
      <w:pPr>
        <w:pStyle w:val="141"/>
        <w:numPr>
          <w:ilvl w:val="2"/>
          <w:numId w:val="7"/>
        </w:numPr>
        <w:tabs>
          <w:tab w:val="clear" w:pos="851"/>
        </w:tabs>
        <w:outlineLvl w:val="3"/>
        <w:rPr>
          <w:rFonts w:ascii="宋体" w:hAnsi="宋体" w:eastAsia="宋体" w:cs="宋体"/>
          <w:color w:val="auto"/>
          <w:sz w:val="24"/>
          <w:szCs w:val="24"/>
        </w:rPr>
      </w:pPr>
      <w:bookmarkStart w:id="213" w:name="_Toc46242040"/>
      <w:r>
        <w:rPr>
          <w:rFonts w:hint="eastAsia" w:ascii="宋体" w:hAnsi="宋体" w:eastAsia="宋体" w:cs="宋体"/>
          <w:color w:val="auto"/>
          <w:sz w:val="24"/>
          <w:szCs w:val="24"/>
        </w:rPr>
        <w:t>技术评分</w:t>
      </w:r>
      <w:bookmarkEnd w:id="213"/>
    </w:p>
    <w:tbl>
      <w:tblPr>
        <w:tblStyle w:val="54"/>
        <w:tblW w:w="8500" w:type="dxa"/>
        <w:jc w:val="center"/>
        <w:tblInd w:w="0" w:type="dxa"/>
        <w:tblLayout w:type="fixed"/>
        <w:tblCellMar>
          <w:top w:w="0" w:type="dxa"/>
          <w:left w:w="108" w:type="dxa"/>
          <w:bottom w:w="0" w:type="dxa"/>
          <w:right w:w="108" w:type="dxa"/>
        </w:tblCellMar>
      </w:tblPr>
      <w:tblGrid>
        <w:gridCol w:w="988"/>
        <w:gridCol w:w="1559"/>
        <w:gridCol w:w="5953"/>
      </w:tblGrid>
      <w:tr>
        <w:tblPrEx>
          <w:tblLayout w:type="fixed"/>
          <w:tblCellMar>
            <w:top w:w="0" w:type="dxa"/>
            <w:left w:w="108" w:type="dxa"/>
            <w:bottom w:w="0" w:type="dxa"/>
            <w:right w:w="108" w:type="dxa"/>
          </w:tblCellMar>
        </w:tblPrEx>
        <w:trPr>
          <w:trHeight w:val="28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分值（45）</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评审内容</w:t>
            </w:r>
          </w:p>
        </w:tc>
        <w:tc>
          <w:tcPr>
            <w:tcW w:w="595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szCs w:val="21"/>
              </w:rPr>
            </w:pPr>
            <w:r>
              <w:rPr>
                <w:rFonts w:hint="eastAsia" w:ascii="宋体" w:hAnsi="宋体" w:cs="宋体"/>
                <w:szCs w:val="21"/>
              </w:rPr>
              <w:t>评分细则</w:t>
            </w:r>
          </w:p>
        </w:tc>
      </w:tr>
      <w:tr>
        <w:tblPrEx>
          <w:tblLayout w:type="fixed"/>
          <w:tblCellMar>
            <w:top w:w="0" w:type="dxa"/>
            <w:left w:w="108" w:type="dxa"/>
            <w:bottom w:w="0" w:type="dxa"/>
            <w:right w:w="108" w:type="dxa"/>
          </w:tblCellMar>
        </w:tblPrEx>
        <w:trPr>
          <w:trHeight w:val="1247" w:hRule="atLeast"/>
          <w:jc w:val="center"/>
        </w:trPr>
        <w:tc>
          <w:tcPr>
            <w:tcW w:w="98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35</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投标货物技术参数响应程度</w:t>
            </w:r>
          </w:p>
        </w:tc>
        <w:tc>
          <w:tcPr>
            <w:tcW w:w="5953"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Cs w:val="21"/>
              </w:rPr>
            </w:pPr>
            <w:r>
              <w:rPr>
                <w:rFonts w:hint="eastAsia" w:ascii="宋体" w:hAnsi="宋体" w:cs="宋体"/>
                <w:szCs w:val="21"/>
              </w:rPr>
              <w:t>投标人所投产品技术参数完全满足或优于招标文件技术参数的得35分；其中“▲”部分每负偏离一项扣</w:t>
            </w:r>
            <w:r>
              <w:rPr>
                <w:rFonts w:ascii="宋体" w:hAnsi="宋体" w:cs="宋体"/>
                <w:szCs w:val="21"/>
              </w:rPr>
              <w:t>2</w:t>
            </w:r>
            <w:r>
              <w:rPr>
                <w:rFonts w:hint="eastAsia" w:ascii="宋体" w:hAnsi="宋体" w:cs="宋体"/>
                <w:szCs w:val="21"/>
              </w:rPr>
              <w:t>分，非“▲”每负偏离一项扣1分，扣完为止。(参数中涉及相关截图、检测报告、证书及▲指标等证件文件，必须加盖厂商印章，不加盖0分）</w:t>
            </w:r>
          </w:p>
        </w:tc>
      </w:tr>
      <w:tr>
        <w:tblPrEx>
          <w:tblLayout w:type="fixed"/>
          <w:tblCellMar>
            <w:top w:w="0" w:type="dxa"/>
            <w:left w:w="108" w:type="dxa"/>
            <w:bottom w:w="0" w:type="dxa"/>
            <w:right w:w="108" w:type="dxa"/>
          </w:tblCellMar>
        </w:tblPrEx>
        <w:trPr>
          <w:trHeight w:val="280" w:hRule="atLeast"/>
          <w:jc w:val="center"/>
        </w:trPr>
        <w:tc>
          <w:tcPr>
            <w:tcW w:w="98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5</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s="宋体"/>
                <w:szCs w:val="21"/>
              </w:rPr>
            </w:pPr>
            <w:r>
              <w:rPr>
                <w:rFonts w:hint="eastAsia" w:ascii="宋体" w:hAnsi="宋体" w:cs="宋体"/>
                <w:szCs w:val="21"/>
              </w:rPr>
              <w:t>对现有网络、视频会商融合方案</w:t>
            </w:r>
          </w:p>
        </w:tc>
        <w:tc>
          <w:tcPr>
            <w:tcW w:w="5953"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cs="宋体"/>
                <w:szCs w:val="21"/>
              </w:rPr>
            </w:pPr>
            <w:r>
              <w:rPr>
                <w:rFonts w:hint="eastAsia" w:ascii="宋体" w:hAnsi="宋体" w:cs="宋体"/>
                <w:szCs w:val="21"/>
              </w:rPr>
              <w:t>根据对招标需求的、对现有网络、视频会商融合方案完整性、清晰性、合理性等进行横向对比评价。</w:t>
            </w:r>
          </w:p>
          <w:p>
            <w:pPr>
              <w:jc w:val="left"/>
              <w:rPr>
                <w:rFonts w:ascii="宋体" w:hAnsi="宋体" w:cs="宋体"/>
                <w:szCs w:val="21"/>
              </w:rPr>
            </w:pPr>
            <w:r>
              <w:rPr>
                <w:rFonts w:hint="eastAsia" w:ascii="宋体" w:hAnsi="宋体" w:cs="宋体"/>
                <w:szCs w:val="21"/>
              </w:rPr>
              <w:t>对招标需求的理解透彻、对现有网络、视频会商融合方案完整、清晰、合理的得5分；</w:t>
            </w:r>
          </w:p>
          <w:p>
            <w:pPr>
              <w:jc w:val="left"/>
              <w:rPr>
                <w:rFonts w:ascii="宋体" w:hAnsi="宋体" w:cs="宋体"/>
                <w:szCs w:val="21"/>
              </w:rPr>
            </w:pPr>
            <w:r>
              <w:rPr>
                <w:rFonts w:hint="eastAsia" w:ascii="宋体" w:hAnsi="宋体" w:cs="宋体"/>
                <w:szCs w:val="21"/>
              </w:rPr>
              <w:t>对招标需求的理解较透彻、对现有网络、视频会商融合方案较完整、较清晰、较合理的得3分；</w:t>
            </w:r>
          </w:p>
          <w:p>
            <w:pPr>
              <w:jc w:val="left"/>
              <w:rPr>
                <w:rFonts w:ascii="宋体" w:hAnsi="宋体" w:cs="宋体"/>
                <w:szCs w:val="21"/>
              </w:rPr>
            </w:pPr>
            <w:r>
              <w:rPr>
                <w:rFonts w:hint="eastAsia" w:ascii="宋体" w:hAnsi="宋体" w:cs="宋体"/>
                <w:szCs w:val="21"/>
              </w:rPr>
              <w:t>对招标需求的有一定的理解、对现有网络、视频会商融合方案有一定的完整性、清晰度、合理度得1分；</w:t>
            </w:r>
          </w:p>
          <w:p>
            <w:pPr>
              <w:jc w:val="left"/>
              <w:rPr>
                <w:rFonts w:ascii="宋体" w:hAnsi="宋体" w:cs="宋体"/>
                <w:szCs w:val="21"/>
              </w:rPr>
            </w:pPr>
            <w:r>
              <w:rPr>
                <w:rFonts w:hint="eastAsia" w:ascii="宋体" w:hAnsi="宋体" w:cs="宋体"/>
                <w:szCs w:val="21"/>
              </w:rPr>
              <w:t>不提供方案0分。</w:t>
            </w:r>
          </w:p>
        </w:tc>
      </w:tr>
      <w:tr>
        <w:tblPrEx>
          <w:tblLayout w:type="fixed"/>
          <w:tblCellMar>
            <w:top w:w="0" w:type="dxa"/>
            <w:left w:w="108" w:type="dxa"/>
            <w:bottom w:w="0" w:type="dxa"/>
            <w:right w:w="108" w:type="dxa"/>
          </w:tblCellMar>
        </w:tblPrEx>
        <w:trPr>
          <w:trHeight w:val="1425" w:hRule="atLeast"/>
          <w:jc w:val="center"/>
        </w:trPr>
        <w:tc>
          <w:tcPr>
            <w:tcW w:w="988"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5</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szCs w:val="21"/>
              </w:rPr>
            </w:pPr>
            <w:r>
              <w:rPr>
                <w:rFonts w:hint="eastAsia" w:ascii="宋体" w:hAnsi="宋体" w:cs="宋体"/>
                <w:szCs w:val="21"/>
              </w:rPr>
              <w:t>实施方案、售后服务及培训方案</w:t>
            </w:r>
          </w:p>
        </w:tc>
        <w:tc>
          <w:tcPr>
            <w:tcW w:w="5953" w:type="dxa"/>
            <w:tcBorders>
              <w:top w:val="single" w:color="auto" w:sz="4" w:space="0"/>
              <w:left w:val="nil"/>
              <w:bottom w:val="single" w:color="auto" w:sz="4" w:space="0"/>
              <w:right w:val="single" w:color="auto" w:sz="4" w:space="0"/>
            </w:tcBorders>
            <w:shd w:val="clear" w:color="auto" w:fill="auto"/>
            <w:vAlign w:val="center"/>
          </w:tcPr>
          <w:p>
            <w:pPr>
              <w:jc w:val="left"/>
              <w:rPr>
                <w:rFonts w:ascii="宋体" w:hAnsi="宋体" w:cs="宋体"/>
                <w:szCs w:val="21"/>
              </w:rPr>
            </w:pPr>
            <w:r>
              <w:rPr>
                <w:rFonts w:hint="eastAsia" w:ascii="宋体" w:hAnsi="宋体" w:cs="宋体"/>
                <w:szCs w:val="21"/>
              </w:rPr>
              <w:t>根据投标人提供的实施方案、售后服务及培训方案进行横向对比评价。</w:t>
            </w:r>
          </w:p>
          <w:p>
            <w:pPr>
              <w:jc w:val="left"/>
              <w:rPr>
                <w:rFonts w:ascii="宋体" w:hAnsi="宋体" w:cs="宋体"/>
                <w:szCs w:val="21"/>
              </w:rPr>
            </w:pPr>
            <w:r>
              <w:rPr>
                <w:rFonts w:hint="eastAsia" w:ascii="宋体" w:hAnsi="宋体" w:cs="宋体"/>
                <w:szCs w:val="21"/>
              </w:rPr>
              <w:t>实施方案、售后服务及培训方案有详细的内容，并且合理、可行，有利于项目实施的得5分；</w:t>
            </w:r>
          </w:p>
          <w:p>
            <w:pPr>
              <w:jc w:val="left"/>
              <w:rPr>
                <w:rFonts w:ascii="宋体" w:hAnsi="宋体" w:cs="宋体"/>
                <w:szCs w:val="21"/>
              </w:rPr>
            </w:pPr>
            <w:r>
              <w:rPr>
                <w:rFonts w:hint="eastAsia" w:ascii="宋体" w:hAnsi="宋体" w:cs="宋体"/>
                <w:szCs w:val="21"/>
              </w:rPr>
              <w:t>实施方案、售后服务及培训方案具体可行的得3分；</w:t>
            </w:r>
          </w:p>
          <w:p>
            <w:pPr>
              <w:jc w:val="left"/>
              <w:rPr>
                <w:rFonts w:ascii="宋体" w:hAnsi="宋体" w:cs="宋体"/>
                <w:szCs w:val="21"/>
              </w:rPr>
            </w:pPr>
            <w:r>
              <w:rPr>
                <w:rFonts w:hint="eastAsia" w:ascii="宋体" w:hAnsi="宋体" w:cs="宋体"/>
                <w:szCs w:val="21"/>
              </w:rPr>
              <w:t>实施方案、售后服务及培训方案基本可行的得1分；</w:t>
            </w:r>
          </w:p>
          <w:p>
            <w:pPr>
              <w:jc w:val="left"/>
              <w:rPr>
                <w:rFonts w:ascii="宋体" w:hAnsi="宋体" w:cs="宋体"/>
                <w:szCs w:val="21"/>
              </w:rPr>
            </w:pPr>
            <w:r>
              <w:rPr>
                <w:rFonts w:hint="eastAsia" w:ascii="宋体" w:hAnsi="宋体" w:cs="宋体"/>
                <w:szCs w:val="21"/>
              </w:rPr>
              <w:t>不提供0分。</w:t>
            </w:r>
          </w:p>
        </w:tc>
      </w:tr>
    </w:tbl>
    <w:p>
      <w:pPr>
        <w:pStyle w:val="141"/>
        <w:numPr>
          <w:ilvl w:val="2"/>
          <w:numId w:val="7"/>
        </w:numPr>
        <w:tabs>
          <w:tab w:val="clear" w:pos="851"/>
        </w:tabs>
        <w:outlineLvl w:val="3"/>
        <w:rPr>
          <w:rFonts w:ascii="宋体" w:hAnsi="宋体" w:eastAsia="宋体" w:cs="宋体"/>
          <w:color w:val="auto"/>
          <w:sz w:val="24"/>
          <w:szCs w:val="24"/>
        </w:rPr>
      </w:pPr>
      <w:bookmarkStart w:id="214" w:name="_Toc46242041"/>
      <w:r>
        <w:rPr>
          <w:rFonts w:hint="eastAsia" w:ascii="宋体" w:hAnsi="宋体" w:eastAsia="宋体" w:cs="宋体"/>
          <w:color w:val="auto"/>
          <w:sz w:val="24"/>
          <w:szCs w:val="24"/>
        </w:rPr>
        <w:t>商务评分</w:t>
      </w:r>
      <w:bookmarkEnd w:id="214"/>
    </w:p>
    <w:tbl>
      <w:tblPr>
        <w:tblStyle w:val="54"/>
        <w:tblW w:w="8922" w:type="dxa"/>
        <w:jc w:val="center"/>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130"/>
        <w:gridCol w:w="2689"/>
        <w:gridCol w:w="5103"/>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3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hint="eastAsia" w:ascii="宋体" w:hAnsi="宋体" w:cs="宋体"/>
                <w:szCs w:val="21"/>
              </w:rPr>
              <w:t>分值（25）</w:t>
            </w:r>
          </w:p>
        </w:tc>
        <w:tc>
          <w:tcPr>
            <w:tcW w:w="268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hint="eastAsia" w:ascii="宋体" w:hAnsi="宋体" w:cs="宋体"/>
                <w:szCs w:val="21"/>
              </w:rPr>
              <w:t>评审内容</w:t>
            </w:r>
          </w:p>
        </w:tc>
        <w:tc>
          <w:tcPr>
            <w:tcW w:w="5103"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hint="eastAsia" w:ascii="宋体" w:hAnsi="宋体" w:cs="宋体"/>
                <w:szCs w:val="21"/>
              </w:rPr>
              <w:t>评分细则</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30" w:type="dxa"/>
            <w:tcBorders>
              <w:top w:val="outset" w:color="auto" w:sz="6" w:space="0"/>
              <w:left w:val="outset" w:color="auto" w:sz="6" w:space="0"/>
              <w:bottom w:val="outset" w:color="auto" w:sz="6" w:space="0"/>
              <w:right w:val="outset" w:color="auto" w:sz="6" w:space="0"/>
            </w:tcBorders>
            <w:vAlign w:val="center"/>
          </w:tcPr>
          <w:p>
            <w:pPr>
              <w:ind w:firstLine="273" w:firstLineChars="130"/>
              <w:jc w:val="center"/>
              <w:rPr>
                <w:rFonts w:ascii="宋体" w:hAnsi="宋体" w:cs="宋体"/>
                <w:szCs w:val="21"/>
              </w:rPr>
            </w:pPr>
            <w:r>
              <w:rPr>
                <w:rFonts w:hint="eastAsia" w:ascii="宋体" w:hAnsi="宋体" w:cs="宋体"/>
                <w:szCs w:val="21"/>
              </w:rPr>
              <w:t>2</w:t>
            </w:r>
          </w:p>
        </w:tc>
        <w:tc>
          <w:tcPr>
            <w:tcW w:w="2689"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中国企业商务信用等级证书AAA证书（中国信用建设促进委员会颁发）</w:t>
            </w:r>
          </w:p>
        </w:tc>
        <w:tc>
          <w:tcPr>
            <w:tcW w:w="510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三年或以上得2分，其它得0.5分，没有不得分。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3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ascii="宋体" w:hAnsi="宋体" w:cs="宋体"/>
                <w:szCs w:val="21"/>
              </w:rPr>
              <w:t>2.5</w:t>
            </w:r>
          </w:p>
        </w:tc>
        <w:tc>
          <w:tcPr>
            <w:tcW w:w="2689"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资质认证情况</w:t>
            </w:r>
          </w:p>
        </w:tc>
        <w:tc>
          <w:tcPr>
            <w:tcW w:w="510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ascii="宋体" w:hAnsi="宋体" w:cs="宋体"/>
                <w:szCs w:val="21"/>
              </w:rPr>
              <w:t>1</w:t>
            </w:r>
            <w:r>
              <w:rPr>
                <w:rFonts w:hint="eastAsia" w:ascii="宋体" w:hAnsi="宋体" w:cs="宋体"/>
                <w:szCs w:val="21"/>
              </w:rPr>
              <w:t xml:space="preserve">、具有质量管理体系认证证书ISO9001:2015 </w:t>
            </w:r>
          </w:p>
          <w:p>
            <w:pPr>
              <w:jc w:val="left"/>
              <w:rPr>
                <w:rFonts w:ascii="宋体" w:hAnsi="宋体" w:cs="宋体"/>
                <w:szCs w:val="21"/>
              </w:rPr>
            </w:pPr>
            <w:r>
              <w:rPr>
                <w:rFonts w:ascii="宋体" w:hAnsi="宋体" w:cs="宋体"/>
                <w:szCs w:val="21"/>
              </w:rPr>
              <w:t>2</w:t>
            </w:r>
            <w:r>
              <w:rPr>
                <w:rFonts w:hint="eastAsia" w:ascii="宋体" w:hAnsi="宋体" w:cs="宋体"/>
                <w:szCs w:val="21"/>
              </w:rPr>
              <w:t xml:space="preserve">、具有IT服务管理体系认证证书ISO20000-1:2011 </w:t>
            </w:r>
          </w:p>
          <w:p>
            <w:pPr>
              <w:jc w:val="left"/>
              <w:rPr>
                <w:rFonts w:ascii="宋体" w:hAnsi="宋体" w:cs="宋体"/>
                <w:szCs w:val="21"/>
              </w:rPr>
            </w:pPr>
            <w:r>
              <w:rPr>
                <w:rFonts w:ascii="宋体" w:hAnsi="宋体" w:cs="宋体"/>
                <w:szCs w:val="21"/>
              </w:rPr>
              <w:t>3</w:t>
            </w:r>
            <w:r>
              <w:rPr>
                <w:rFonts w:hint="eastAsia" w:ascii="宋体" w:hAnsi="宋体" w:cs="宋体"/>
                <w:szCs w:val="21"/>
              </w:rPr>
              <w:t xml:space="preserve">、具有信息安全管理体系认证证书ISO27001:2013 </w:t>
            </w:r>
          </w:p>
          <w:p>
            <w:pPr>
              <w:jc w:val="left"/>
              <w:rPr>
                <w:rFonts w:ascii="宋体" w:hAnsi="宋体" w:cs="宋体"/>
                <w:szCs w:val="21"/>
              </w:rPr>
            </w:pPr>
            <w:r>
              <w:rPr>
                <w:rFonts w:ascii="宋体" w:hAnsi="宋体" w:cs="宋体"/>
                <w:szCs w:val="21"/>
              </w:rPr>
              <w:t>4</w:t>
            </w:r>
            <w:r>
              <w:rPr>
                <w:rFonts w:hint="eastAsia" w:ascii="宋体" w:hAnsi="宋体" w:cs="宋体"/>
                <w:szCs w:val="21"/>
              </w:rPr>
              <w:t>、具有环境管理体系ISO 14001：2015</w:t>
            </w:r>
          </w:p>
          <w:p>
            <w:r>
              <w:rPr>
                <w:rFonts w:ascii="宋体" w:hAnsi="宋体" w:cs="宋体"/>
                <w:szCs w:val="21"/>
              </w:rPr>
              <w:t>5</w:t>
            </w:r>
            <w:r>
              <w:rPr>
                <w:rFonts w:hint="eastAsia" w:ascii="宋体" w:hAnsi="宋体" w:cs="宋体"/>
                <w:szCs w:val="21"/>
              </w:rPr>
              <w:t>、具有职业健康管理体系OHSAS 18001:2007</w:t>
            </w:r>
          </w:p>
          <w:p>
            <w:pPr>
              <w:jc w:val="left"/>
              <w:rPr>
                <w:rFonts w:ascii="宋体" w:hAnsi="宋体" w:cs="宋体"/>
                <w:szCs w:val="21"/>
              </w:rPr>
            </w:pPr>
            <w:r>
              <w:rPr>
                <w:rFonts w:hint="eastAsia" w:ascii="宋体" w:hAnsi="宋体" w:cs="宋体"/>
                <w:szCs w:val="21"/>
              </w:rPr>
              <w:t>每缺少一项扣0.5分扣完为止</w:t>
            </w:r>
          </w:p>
          <w:p>
            <w:pPr>
              <w:jc w:val="left"/>
              <w:rPr>
                <w:rFonts w:ascii="宋体" w:hAnsi="宋体" w:cs="宋体"/>
                <w:szCs w:val="21"/>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3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hint="eastAsia" w:ascii="宋体" w:hAnsi="宋体" w:cs="宋体"/>
                <w:szCs w:val="21"/>
              </w:rPr>
              <w:t>3.5</w:t>
            </w:r>
          </w:p>
        </w:tc>
        <w:tc>
          <w:tcPr>
            <w:tcW w:w="2689"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企业实力情况</w:t>
            </w:r>
          </w:p>
        </w:tc>
        <w:tc>
          <w:tcPr>
            <w:tcW w:w="510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1、具有CMMI3或以上资质</w:t>
            </w:r>
          </w:p>
          <w:p>
            <w:pPr>
              <w:jc w:val="left"/>
              <w:rPr>
                <w:rFonts w:ascii="宋体" w:hAnsi="宋体" w:cs="宋体"/>
                <w:szCs w:val="21"/>
              </w:rPr>
            </w:pPr>
            <w:r>
              <w:rPr>
                <w:rFonts w:hint="eastAsia" w:ascii="宋体" w:hAnsi="宋体" w:cs="宋体"/>
                <w:szCs w:val="21"/>
              </w:rPr>
              <w:t>2、曾获信息系统集成及服务资质证书壹级。</w:t>
            </w:r>
          </w:p>
          <w:p>
            <w:pPr>
              <w:jc w:val="left"/>
              <w:rPr>
                <w:rFonts w:ascii="宋体" w:hAnsi="宋体" w:cs="宋体"/>
                <w:szCs w:val="21"/>
              </w:rPr>
            </w:pPr>
            <w:r>
              <w:rPr>
                <w:rFonts w:hint="eastAsia" w:ascii="宋体" w:hAnsi="宋体" w:cs="宋体"/>
                <w:szCs w:val="21"/>
              </w:rPr>
              <w:t>3、安防工程企业设计施工维护能力证书（壹级）</w:t>
            </w:r>
          </w:p>
          <w:p>
            <w:pPr>
              <w:jc w:val="left"/>
              <w:rPr>
                <w:rFonts w:ascii="宋体" w:hAnsi="宋体" w:cs="宋体"/>
                <w:szCs w:val="21"/>
              </w:rPr>
            </w:pPr>
            <w:r>
              <w:rPr>
                <w:rFonts w:hint="eastAsia" w:ascii="宋体" w:hAnsi="宋体" w:cs="宋体"/>
                <w:szCs w:val="21"/>
              </w:rPr>
              <w:t>4、电子与智能化工程专业承包贰级。</w:t>
            </w:r>
          </w:p>
          <w:p>
            <w:pPr>
              <w:jc w:val="left"/>
              <w:rPr>
                <w:rFonts w:ascii="宋体" w:hAnsi="宋体" w:cs="宋体"/>
                <w:szCs w:val="21"/>
              </w:rPr>
            </w:pPr>
            <w:r>
              <w:rPr>
                <w:rFonts w:hint="eastAsia" w:ascii="宋体" w:hAnsi="宋体" w:cs="宋体"/>
                <w:szCs w:val="21"/>
              </w:rPr>
              <w:t>5、ITSS信息技术服务运行维护标准符合性证书贰级。</w:t>
            </w:r>
          </w:p>
          <w:p>
            <w:pPr>
              <w:jc w:val="left"/>
              <w:rPr>
                <w:rFonts w:ascii="宋体" w:hAnsi="宋体" w:cs="宋体"/>
                <w:szCs w:val="21"/>
              </w:rPr>
            </w:pPr>
            <w:r>
              <w:rPr>
                <w:rFonts w:hint="eastAsia" w:ascii="宋体" w:hAnsi="宋体" w:cs="宋体"/>
                <w:szCs w:val="21"/>
              </w:rPr>
              <w:t>6、ITSS云计算服务能力标准符合性证书叁级（软件即服务SaaS）。</w:t>
            </w:r>
          </w:p>
          <w:p>
            <w:pPr>
              <w:jc w:val="left"/>
              <w:rPr>
                <w:rFonts w:ascii="宋体" w:hAnsi="宋体" w:cs="宋体"/>
                <w:szCs w:val="21"/>
              </w:rPr>
            </w:pPr>
            <w:r>
              <w:rPr>
                <w:rFonts w:hint="eastAsia" w:ascii="宋体" w:hAnsi="宋体" w:cs="宋体"/>
                <w:szCs w:val="21"/>
              </w:rPr>
              <w:t>7、</w:t>
            </w:r>
            <w:r>
              <w:rPr>
                <w:rFonts w:ascii="宋体" w:hAnsi="宋体" w:cs="宋体"/>
                <w:szCs w:val="21"/>
              </w:rPr>
              <w:t xml:space="preserve">CNITSEC </w:t>
            </w:r>
            <w:r>
              <w:rPr>
                <w:rFonts w:hint="eastAsia" w:ascii="宋体" w:hAnsi="宋体" w:cs="宋体"/>
                <w:szCs w:val="21"/>
              </w:rPr>
              <w:t>信息安全服务资质证书（安全工程类一级）；</w:t>
            </w:r>
          </w:p>
          <w:p>
            <w:pPr>
              <w:jc w:val="left"/>
              <w:rPr>
                <w:rFonts w:ascii="宋体" w:hAnsi="宋体" w:cs="宋体"/>
                <w:szCs w:val="21"/>
              </w:rPr>
            </w:pPr>
            <w:r>
              <w:rPr>
                <w:rFonts w:hint="eastAsia" w:ascii="宋体" w:hAnsi="宋体" w:cs="宋体"/>
                <w:szCs w:val="21"/>
              </w:rPr>
              <w:t>每缺少一项扣0.5分扣完为止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30" w:type="dxa"/>
            <w:tcBorders>
              <w:top w:val="outset" w:color="auto" w:sz="6" w:space="0"/>
              <w:left w:val="outset" w:color="auto" w:sz="6" w:space="0"/>
              <w:bottom w:val="outset" w:color="auto" w:sz="6" w:space="0"/>
              <w:right w:val="outset" w:color="auto" w:sz="6" w:space="0"/>
            </w:tcBorders>
            <w:vAlign w:val="center"/>
          </w:tcPr>
          <w:p>
            <w:pPr>
              <w:rPr>
                <w:rFonts w:ascii="宋体" w:hAnsi="宋体" w:cs="宋体"/>
                <w:szCs w:val="21"/>
              </w:rPr>
            </w:pPr>
            <w:r>
              <w:rPr>
                <w:rFonts w:hint="eastAsia" w:ascii="宋体" w:hAnsi="宋体" w:cs="宋体"/>
                <w:szCs w:val="21"/>
              </w:rPr>
              <w:t xml:space="preserve">    </w:t>
            </w:r>
            <w:r>
              <w:rPr>
                <w:rFonts w:ascii="宋体" w:hAnsi="宋体" w:cs="宋体"/>
                <w:szCs w:val="21"/>
              </w:rPr>
              <w:t>9</w:t>
            </w:r>
          </w:p>
        </w:tc>
        <w:tc>
          <w:tcPr>
            <w:tcW w:w="2689"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项目经理资质</w:t>
            </w:r>
          </w:p>
        </w:tc>
        <w:tc>
          <w:tcPr>
            <w:tcW w:w="510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项目经理同时具有PMP证书，ITSS</w:t>
            </w:r>
            <w:r>
              <w:rPr>
                <w:rFonts w:ascii="宋体" w:hAnsi="宋体" w:cs="宋体"/>
                <w:szCs w:val="21"/>
              </w:rPr>
              <w:t xml:space="preserve"> IT</w:t>
            </w:r>
            <w:r>
              <w:rPr>
                <w:rFonts w:hint="eastAsia" w:ascii="宋体" w:hAnsi="宋体" w:cs="宋体"/>
                <w:szCs w:val="21"/>
              </w:rPr>
              <w:t>服务项目经理认证证书，ISO 27001</w:t>
            </w:r>
            <w:r>
              <w:rPr>
                <w:rFonts w:ascii="宋体" w:hAnsi="宋体" w:cs="宋体"/>
                <w:szCs w:val="21"/>
              </w:rPr>
              <w:t>:2013</w:t>
            </w:r>
            <w:r>
              <w:rPr>
                <w:rFonts w:hint="eastAsia" w:ascii="宋体" w:hAnsi="宋体" w:cs="宋体"/>
                <w:szCs w:val="21"/>
              </w:rPr>
              <w:t>内审员认证证书，智能建筑弱电高级工程师证书， ITSS国家信息技术服务标准评估师，DevOps证书，每缺少一项扣1</w:t>
            </w:r>
            <w:r>
              <w:rPr>
                <w:rFonts w:ascii="宋体" w:hAnsi="宋体" w:cs="宋体"/>
                <w:szCs w:val="21"/>
              </w:rPr>
              <w:t>.5</w:t>
            </w:r>
            <w:r>
              <w:rPr>
                <w:rFonts w:hint="eastAsia" w:ascii="宋体" w:hAnsi="宋体" w:cs="宋体"/>
                <w:szCs w:val="21"/>
              </w:rPr>
              <w:t>分，扣完为止。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1545" w:hRule="atLeast"/>
          <w:jc w:val="center"/>
        </w:trPr>
        <w:tc>
          <w:tcPr>
            <w:tcW w:w="113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ascii="宋体" w:hAnsi="宋体" w:cs="宋体"/>
                <w:szCs w:val="21"/>
              </w:rPr>
              <w:t>4</w:t>
            </w:r>
          </w:p>
        </w:tc>
        <w:tc>
          <w:tcPr>
            <w:tcW w:w="268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hint="eastAsia" w:ascii="宋体" w:hAnsi="宋体" w:cs="宋体"/>
                <w:szCs w:val="21"/>
              </w:rPr>
              <w:t>参与本项目的主要技术管理人员资质情况，提供技术人员的认证证书等技术证书复印件，并提供以上人员在本公司任职的外部证明材料（如加盖政府有关部门印章的打印日期在本项目投标截止日之前六个月以内的《投保单》或《社会保险参保人员证明》，或单位代缴个人所得税税单等。</w:t>
            </w:r>
          </w:p>
        </w:tc>
        <w:tc>
          <w:tcPr>
            <w:tcW w:w="5103" w:type="dxa"/>
            <w:tcBorders>
              <w:top w:val="outset" w:color="auto" w:sz="6" w:space="0"/>
              <w:left w:val="outset" w:color="auto" w:sz="6" w:space="0"/>
              <w:bottom w:val="outset" w:color="auto" w:sz="6" w:space="0"/>
              <w:right w:val="outset" w:color="auto" w:sz="6" w:space="0"/>
            </w:tcBorders>
          </w:tcPr>
          <w:p>
            <w:pPr>
              <w:jc w:val="left"/>
              <w:rPr>
                <w:rFonts w:ascii="宋体" w:hAnsi="宋体" w:cs="宋体"/>
                <w:szCs w:val="21"/>
              </w:rPr>
            </w:pPr>
            <w:r>
              <w:rPr>
                <w:rFonts w:hint="eastAsia" w:ascii="宋体" w:hAnsi="宋体" w:cs="宋体"/>
                <w:szCs w:val="21"/>
              </w:rPr>
              <w:t>具有OCM工程师认证1人或以上；</w:t>
            </w:r>
          </w:p>
          <w:p>
            <w:pPr>
              <w:jc w:val="left"/>
              <w:rPr>
                <w:rFonts w:ascii="宋体" w:hAnsi="宋体" w:cs="宋体"/>
                <w:szCs w:val="21"/>
              </w:rPr>
            </w:pPr>
            <w:r>
              <w:rPr>
                <w:rFonts w:hint="eastAsia" w:ascii="宋体" w:hAnsi="宋体" w:cs="宋体"/>
                <w:szCs w:val="21"/>
              </w:rPr>
              <w:t>具有HCIE/CCIE或以上认证证书8人或以上；</w:t>
            </w:r>
          </w:p>
          <w:p>
            <w:pPr>
              <w:jc w:val="left"/>
              <w:rPr>
                <w:rFonts w:ascii="宋体" w:hAnsi="宋体" w:cs="宋体"/>
                <w:szCs w:val="21"/>
              </w:rPr>
            </w:pPr>
            <w:r>
              <w:rPr>
                <w:rFonts w:hint="eastAsia" w:ascii="宋体" w:hAnsi="宋体" w:cs="宋体"/>
                <w:szCs w:val="21"/>
              </w:rPr>
              <w:t>智能建筑弱电高级工程师2人或以上</w:t>
            </w:r>
          </w:p>
          <w:p>
            <w:pPr>
              <w:jc w:val="left"/>
              <w:rPr>
                <w:rFonts w:ascii="宋体" w:hAnsi="宋体" w:cs="宋体"/>
                <w:szCs w:val="21"/>
              </w:rPr>
            </w:pPr>
            <w:r>
              <w:rPr>
                <w:rFonts w:hint="eastAsia" w:ascii="宋体" w:hAnsi="宋体" w:cs="宋体"/>
                <w:szCs w:val="21"/>
              </w:rPr>
              <w:t>CCSSP（云安全）证书</w:t>
            </w:r>
            <w:r>
              <w:rPr>
                <w:rFonts w:ascii="宋体" w:hAnsi="宋体" w:cs="宋体"/>
                <w:szCs w:val="21"/>
              </w:rPr>
              <w:t>2</w:t>
            </w:r>
            <w:r>
              <w:rPr>
                <w:rFonts w:hint="eastAsia" w:ascii="宋体" w:hAnsi="宋体" w:cs="宋体"/>
                <w:szCs w:val="21"/>
              </w:rPr>
              <w:t>人或以上；</w:t>
            </w:r>
          </w:p>
          <w:p>
            <w:pPr>
              <w:jc w:val="left"/>
              <w:rPr>
                <w:rFonts w:ascii="宋体" w:hAnsi="宋体" w:cs="宋体"/>
                <w:szCs w:val="21"/>
              </w:rPr>
            </w:pPr>
            <w:r>
              <w:rPr>
                <w:rFonts w:hint="eastAsia" w:ascii="宋体" w:hAnsi="宋体" w:cs="宋体"/>
                <w:szCs w:val="21"/>
              </w:rPr>
              <w:t>CCSMP（云安全）证书1人或以上；</w:t>
            </w:r>
          </w:p>
          <w:p>
            <w:pPr>
              <w:jc w:val="left"/>
              <w:rPr>
                <w:rFonts w:ascii="宋体" w:hAnsi="宋体" w:cs="宋体"/>
                <w:szCs w:val="21"/>
              </w:rPr>
            </w:pPr>
            <w:r>
              <w:rPr>
                <w:rFonts w:hint="eastAsia" w:ascii="宋体" w:hAnsi="宋体" w:cs="宋体"/>
                <w:szCs w:val="21"/>
              </w:rPr>
              <w:t>注册信息安全工程师CISP证书；</w:t>
            </w:r>
          </w:p>
          <w:p>
            <w:pPr>
              <w:jc w:val="left"/>
              <w:rPr>
                <w:rFonts w:ascii="宋体" w:hAnsi="宋体" w:cs="宋体"/>
                <w:szCs w:val="21"/>
              </w:rPr>
            </w:pPr>
            <w:r>
              <w:rPr>
                <w:rFonts w:ascii="宋体" w:hAnsi="宋体" w:cs="宋体"/>
                <w:szCs w:val="21"/>
              </w:rPr>
              <w:t>VCP虚拟化认证证书3人或以上；</w:t>
            </w:r>
          </w:p>
          <w:p>
            <w:pPr>
              <w:jc w:val="left"/>
              <w:rPr>
                <w:rFonts w:ascii="宋体" w:hAnsi="宋体" w:cs="宋体"/>
                <w:szCs w:val="21"/>
              </w:rPr>
            </w:pPr>
            <w:r>
              <w:rPr>
                <w:rFonts w:hint="eastAsia" w:ascii="宋体" w:hAnsi="宋体" w:cs="宋体"/>
                <w:szCs w:val="21"/>
              </w:rPr>
              <w:t>DevOps运维证书6人或以上</w:t>
            </w:r>
          </w:p>
          <w:p>
            <w:pPr>
              <w:jc w:val="left"/>
              <w:rPr>
                <w:rFonts w:ascii="宋体" w:hAnsi="宋体" w:cs="宋体"/>
                <w:szCs w:val="21"/>
              </w:rPr>
            </w:pPr>
            <w:r>
              <w:rPr>
                <w:rFonts w:hint="eastAsia" w:ascii="宋体" w:hAnsi="宋体" w:cs="宋体"/>
                <w:szCs w:val="21"/>
              </w:rPr>
              <w:t>每缺少一项扣0.5分，扣完为止。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13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hint="eastAsia" w:ascii="宋体" w:hAnsi="宋体" w:cs="宋体"/>
                <w:szCs w:val="21"/>
              </w:rPr>
              <w:t>2</w:t>
            </w:r>
          </w:p>
        </w:tc>
        <w:tc>
          <w:tcPr>
            <w:tcW w:w="2689"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产品技术和服务保障</w:t>
            </w:r>
          </w:p>
        </w:tc>
        <w:tc>
          <w:tcPr>
            <w:tcW w:w="510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 xml:space="preserve">提供网络设备、安全设备两类产品生产厂家盖章的针对本项目的售后服务承诺书原件。售后服务承诺书提供算一份，每提供一份得1分，满分2分，未提供不得分。 </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1377" w:hRule="atLeast"/>
          <w:jc w:val="center"/>
        </w:trPr>
        <w:tc>
          <w:tcPr>
            <w:tcW w:w="113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szCs w:val="21"/>
              </w:rPr>
            </w:pPr>
            <w:r>
              <w:rPr>
                <w:rFonts w:hint="eastAsia" w:ascii="宋体" w:hAnsi="宋体" w:cs="宋体"/>
                <w:szCs w:val="21"/>
              </w:rPr>
              <w:t>2</w:t>
            </w:r>
          </w:p>
        </w:tc>
        <w:tc>
          <w:tcPr>
            <w:tcW w:w="2689"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项目经验</w:t>
            </w:r>
          </w:p>
        </w:tc>
        <w:tc>
          <w:tcPr>
            <w:tcW w:w="510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cs="宋体"/>
                <w:szCs w:val="21"/>
              </w:rPr>
            </w:pPr>
            <w:r>
              <w:rPr>
                <w:rFonts w:hint="eastAsia" w:ascii="宋体" w:hAnsi="宋体" w:cs="宋体"/>
                <w:szCs w:val="21"/>
              </w:rPr>
              <w:t>201</w:t>
            </w:r>
            <w:r>
              <w:rPr>
                <w:rFonts w:ascii="宋体" w:hAnsi="宋体" w:cs="宋体"/>
                <w:szCs w:val="21"/>
              </w:rPr>
              <w:t>7</w:t>
            </w:r>
            <w:r>
              <w:rPr>
                <w:rFonts w:hint="eastAsia" w:ascii="宋体" w:hAnsi="宋体" w:cs="宋体"/>
                <w:szCs w:val="21"/>
              </w:rPr>
              <w:t>年1月至今具有同类项目成功案例（单个合同金额1000万以上,视频监控除外）每提供一个合同案例得0.5分，最高得2分。</w:t>
            </w:r>
          </w:p>
        </w:tc>
      </w:tr>
    </w:tbl>
    <w:p>
      <w:pPr>
        <w:pStyle w:val="141"/>
        <w:outlineLvl w:val="3"/>
        <w:rPr>
          <w:rFonts w:ascii="宋体" w:hAnsi="宋体" w:eastAsia="宋体" w:cs="宋体"/>
          <w:b w:val="0"/>
          <w:bCs w:val="0"/>
          <w:color w:val="auto"/>
          <w:sz w:val="24"/>
          <w:szCs w:val="24"/>
        </w:rPr>
      </w:pPr>
    </w:p>
    <w:sectPr>
      <w:footerReference r:id="rId9" w:type="first"/>
      <w:headerReference r:id="rId6" w:type="default"/>
      <w:footerReference r:id="rId7" w:type="default"/>
      <w:footerReference r:id="rId8" w:type="even"/>
      <w:pgSz w:w="11906" w:h="16838"/>
      <w:pgMar w:top="1418" w:right="1247" w:bottom="1418" w:left="1247"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A00002EF" w:usb1="4000004B" w:usb2="00000000" w:usb3="00000000" w:csb0="2000009F" w:csb1="00000000"/>
  </w:font>
  <w:font w:name="_GB2312">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10" w:usb3="00000000" w:csb0="0004009F" w:csb1="00000000"/>
  </w:font>
  <w:font w:name="Segoe UI Symbol">
    <w:panose1 w:val="020B0502040204020203"/>
    <w:charset w:val="00"/>
    <w:family w:val="swiss"/>
    <w:pitch w:val="default"/>
    <w:sig w:usb0="800001E3" w:usb1="1200FFEF" w:usb2="00040000" w:usb3="04000000" w:csb0="00000001" w:csb1="40000000"/>
  </w:font>
  <w:font w:name="Book Antiqua">
    <w:altName w:val="Segoe Print"/>
    <w:panose1 w:val="0204060205030503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5098772"/>
    </w:sdtPr>
    <w:sdtContent>
      <w:p>
        <w:pPr>
          <w:pStyle w:val="32"/>
          <w:jc w:val="center"/>
        </w:pPr>
        <w:r>
          <w:fldChar w:fldCharType="begin"/>
        </w:r>
        <w:r>
          <w:instrText xml:space="preserve">PAGE   \* MERGEFORMAT</w:instrText>
        </w:r>
        <w:r>
          <w:fldChar w:fldCharType="separate"/>
        </w:r>
        <w:r>
          <w:rPr>
            <w:lang w:val="zh-CN"/>
          </w:rPr>
          <w:t>1</w:t>
        </w:r>
        <w:r>
          <w:fldChar w:fldCharType="end"/>
        </w:r>
      </w:p>
    </w:sdtContent>
  </w:sdt>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fldChar w:fldCharType="begin"/>
    </w:r>
    <w:r>
      <w:instrText xml:space="preserve">PAGE   \* MERGEFORMAT</w:instrText>
    </w:r>
    <w:r>
      <w:fldChar w:fldCharType="separate"/>
    </w:r>
    <w:r>
      <w:rPr>
        <w:lang w:val="zh-CN"/>
      </w:rPr>
      <w:t>3</w:t>
    </w:r>
    <w:r>
      <w:fldChar w:fldCharType="end"/>
    </w:r>
  </w:p>
  <w:p>
    <w:pPr>
      <w:pStyle w:val="3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8913231"/>
    </w:sdtPr>
    <w:sdtContent>
      <w:p>
        <w:pPr>
          <w:pStyle w:val="32"/>
          <w:jc w:val="center"/>
        </w:pPr>
        <w:r>
          <w:fldChar w:fldCharType="begin"/>
        </w:r>
        <w:r>
          <w:instrText xml:space="preserve">PAGE   \* MERGEFORMAT</w:instrText>
        </w:r>
        <w:r>
          <w:fldChar w:fldCharType="separate"/>
        </w:r>
        <w:r>
          <w:rPr>
            <w:lang w:val="zh-CN"/>
          </w:rPr>
          <w:t>15</w:t>
        </w:r>
        <w:r>
          <w:fldChar w:fldCharType="end"/>
        </w:r>
      </w:p>
    </w:sdtContent>
  </w:sdt>
  <w:p>
    <w:pPr>
      <w:pStyle w:val="32"/>
      <w:ind w:right="7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0"/>
      </w:rPr>
    </w:pPr>
    <w:r>
      <w:fldChar w:fldCharType="begin"/>
    </w:r>
    <w:r>
      <w:rPr>
        <w:rStyle w:val="50"/>
      </w:rPr>
      <w:instrText xml:space="preserve">PAGE  </w:instrText>
    </w:r>
    <w:r>
      <w:fldChar w:fldCharType="separate"/>
    </w:r>
    <w:r>
      <w:rPr>
        <w:rStyle w:val="50"/>
      </w:rPr>
      <w:t>34</w:t>
    </w:r>
    <w:r>
      <w:fldChar w:fldCharType="end"/>
    </w:r>
  </w:p>
  <w:p>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1736460"/>
    </w:sdtPr>
    <w:sdtContent>
      <w:p>
        <w:pPr>
          <w:pStyle w:val="32"/>
          <w:jc w:val="center"/>
        </w:pPr>
        <w:r>
          <w:fldChar w:fldCharType="begin"/>
        </w:r>
        <w:r>
          <w:instrText xml:space="preserve">PAGE   \* MERGEFORMAT</w:instrText>
        </w:r>
        <w:r>
          <w:fldChar w:fldCharType="separate"/>
        </w:r>
        <w:r>
          <w:rPr>
            <w:lang w:val="zh-CN"/>
          </w:rPr>
          <w:t>1</w:t>
        </w:r>
        <w:r>
          <w:fldChar w:fldCharType="end"/>
        </w:r>
      </w:p>
    </w:sdtContent>
  </w:sdt>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1DC091"/>
    <w:multiLevelType w:val="singleLevel"/>
    <w:tmpl w:val="B01DC091"/>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38"/>
      <w:lvlText w:val="%1."/>
      <w:lvlJc w:val="left"/>
      <w:pPr>
        <w:tabs>
          <w:tab w:val="left" w:pos="2040"/>
        </w:tabs>
        <w:ind w:left="2040" w:leftChars="800" w:hanging="360" w:hangingChars="200"/>
      </w:pPr>
    </w:lvl>
  </w:abstractNum>
  <w:abstractNum w:abstractNumId="2">
    <w:nsid w:val="10217F26"/>
    <w:multiLevelType w:val="multilevel"/>
    <w:tmpl w:val="10217F26"/>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2411EB3"/>
    <w:multiLevelType w:val="multilevel"/>
    <w:tmpl w:val="32411EB3"/>
    <w:lvl w:ilvl="0" w:tentative="0">
      <w:start w:val="1"/>
      <w:numFmt w:val="chineseCountingThousand"/>
      <w:pStyle w:val="107"/>
      <w:lvlText w:val="%1、"/>
      <w:lvlJc w:val="left"/>
      <w:pPr>
        <w:ind w:left="425" w:hanging="425"/>
      </w:pPr>
      <w:rPr>
        <w:rFonts w:hint="eastAsia"/>
        <w:sz w:val="24"/>
        <w:szCs w:val="24"/>
        <w:lang w:val="en-US"/>
      </w:rPr>
    </w:lvl>
    <w:lvl w:ilvl="1" w:tentative="0">
      <w:start w:val="1"/>
      <w:numFmt w:val="chineseCountingThousand"/>
      <w:lvlText w:val="（%2）"/>
      <w:lvlJc w:val="left"/>
      <w:pPr>
        <w:ind w:left="992" w:hanging="567"/>
      </w:pPr>
      <w:rPr>
        <w:rFonts w:hint="eastAsia" w:ascii="宋体" w:hAnsi="宋体" w:eastAsia="宋体"/>
        <w:b/>
        <w:color w:val="auto"/>
        <w:sz w:val="24"/>
        <w:szCs w:val="24"/>
      </w:rPr>
    </w:lvl>
    <w:lvl w:ilvl="2" w:tentative="0">
      <w:start w:val="1"/>
      <w:numFmt w:val="decimal"/>
      <w:lvlText w:val="%3."/>
      <w:lvlJc w:val="left"/>
      <w:pPr>
        <w:tabs>
          <w:tab w:val="left" w:pos="840"/>
        </w:tabs>
        <w:ind w:left="840" w:hanging="420"/>
      </w:pPr>
      <w:rPr>
        <w:rFonts w:hint="eastAsia" w:ascii="宋体" w:hAnsi="宋体" w:eastAsia="宋体"/>
        <w:sz w:val="24"/>
        <w:szCs w:val="24"/>
        <w:lang w:val="en-US"/>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3DAE7315"/>
    <w:multiLevelType w:val="multilevel"/>
    <w:tmpl w:val="3DAE7315"/>
    <w:lvl w:ilvl="0" w:tentative="0">
      <w:start w:val="1"/>
      <w:numFmt w:val="decimal"/>
      <w:pStyle w:val="96"/>
      <w:lvlText w:val="%1."/>
      <w:lvlJc w:val="left"/>
      <w:pPr>
        <w:tabs>
          <w:tab w:val="left" w:pos="965"/>
        </w:tabs>
        <w:ind w:left="965" w:hanging="425"/>
      </w:pPr>
      <w:rPr>
        <w:rFonts w:hint="eastAsia"/>
      </w:rPr>
    </w:lvl>
    <w:lvl w:ilvl="1" w:tentative="0">
      <w:start w:val="1"/>
      <w:numFmt w:val="decimal"/>
      <w:lvlText w:val="%1.%2."/>
      <w:lvlJc w:val="left"/>
      <w:pPr>
        <w:tabs>
          <w:tab w:val="left" w:pos="1107"/>
        </w:tabs>
        <w:ind w:left="1107" w:hanging="567"/>
      </w:pPr>
      <w:rPr>
        <w:rFonts w:hint="eastAsia"/>
      </w:rPr>
    </w:lvl>
    <w:lvl w:ilvl="2" w:tentative="0">
      <w:start w:val="1"/>
      <w:numFmt w:val="decimal"/>
      <w:lvlText w:val="%1.%2.%3."/>
      <w:lvlJc w:val="left"/>
      <w:pPr>
        <w:tabs>
          <w:tab w:val="left" w:pos="1249"/>
        </w:tabs>
        <w:ind w:left="1249" w:hanging="709"/>
      </w:pPr>
      <w:rPr>
        <w:rFonts w:hint="eastAsia"/>
      </w:rPr>
    </w:lvl>
    <w:lvl w:ilvl="3" w:tentative="0">
      <w:start w:val="1"/>
      <w:numFmt w:val="decimal"/>
      <w:lvlText w:val="%1.%2.%3.%4."/>
      <w:lvlJc w:val="left"/>
      <w:pPr>
        <w:tabs>
          <w:tab w:val="left" w:pos="1391"/>
        </w:tabs>
        <w:ind w:left="1391" w:hanging="851"/>
      </w:pPr>
      <w:rPr>
        <w:rFonts w:hint="eastAsia"/>
      </w:rPr>
    </w:lvl>
    <w:lvl w:ilvl="4" w:tentative="0">
      <w:start w:val="1"/>
      <w:numFmt w:val="decimal"/>
      <w:lvlText w:val="%1.%2.%3.%4.%5."/>
      <w:lvlJc w:val="left"/>
      <w:pPr>
        <w:tabs>
          <w:tab w:val="left" w:pos="1532"/>
        </w:tabs>
        <w:ind w:left="1532" w:hanging="992"/>
      </w:pPr>
      <w:rPr>
        <w:rFonts w:hint="eastAsia"/>
      </w:rPr>
    </w:lvl>
    <w:lvl w:ilvl="5" w:tentative="0">
      <w:start w:val="1"/>
      <w:numFmt w:val="decimal"/>
      <w:lvlText w:val="%1.%2.%3.%4.%5.%6."/>
      <w:lvlJc w:val="left"/>
      <w:pPr>
        <w:tabs>
          <w:tab w:val="left" w:pos="1674"/>
        </w:tabs>
        <w:ind w:left="1674" w:hanging="1134"/>
      </w:pPr>
      <w:rPr>
        <w:rFonts w:hint="eastAsia"/>
      </w:rPr>
    </w:lvl>
    <w:lvl w:ilvl="6" w:tentative="0">
      <w:start w:val="1"/>
      <w:numFmt w:val="decimal"/>
      <w:lvlText w:val="%1.%2.%3.%4.%5.%6.%7."/>
      <w:lvlJc w:val="left"/>
      <w:pPr>
        <w:tabs>
          <w:tab w:val="left" w:pos="1816"/>
        </w:tabs>
        <w:ind w:left="1816" w:hanging="1276"/>
      </w:pPr>
      <w:rPr>
        <w:rFonts w:hint="eastAsia"/>
      </w:rPr>
    </w:lvl>
    <w:lvl w:ilvl="7" w:tentative="0">
      <w:start w:val="1"/>
      <w:numFmt w:val="decimal"/>
      <w:lvlText w:val="%1.%2.%3.%4.%5.%6.%7.%8."/>
      <w:lvlJc w:val="left"/>
      <w:pPr>
        <w:tabs>
          <w:tab w:val="left" w:pos="1958"/>
        </w:tabs>
        <w:ind w:left="1958" w:hanging="1418"/>
      </w:pPr>
      <w:rPr>
        <w:rFonts w:hint="eastAsia"/>
      </w:rPr>
    </w:lvl>
    <w:lvl w:ilvl="8" w:tentative="0">
      <w:start w:val="1"/>
      <w:numFmt w:val="decimal"/>
      <w:lvlText w:val="%1.%2.%3.%4.%5.%6.%7.%8.%9."/>
      <w:lvlJc w:val="left"/>
      <w:pPr>
        <w:tabs>
          <w:tab w:val="left" w:pos="2099"/>
        </w:tabs>
        <w:ind w:left="2099" w:hanging="1559"/>
      </w:pPr>
      <w:rPr>
        <w:rFonts w:hint="eastAsia"/>
      </w:rPr>
    </w:lvl>
  </w:abstractNum>
  <w:abstractNum w:abstractNumId="5">
    <w:nsid w:val="5ECA44EB"/>
    <w:multiLevelType w:val="multilevel"/>
    <w:tmpl w:val="5ECA44E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FE64420"/>
    <w:multiLevelType w:val="multilevel"/>
    <w:tmpl w:val="5FE6442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AF055DB"/>
    <w:multiLevelType w:val="multilevel"/>
    <w:tmpl w:val="6AF055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E6F60E5"/>
    <w:multiLevelType w:val="multilevel"/>
    <w:tmpl w:val="6E6F60E5"/>
    <w:lvl w:ilvl="0" w:tentative="0">
      <w:start w:val="2"/>
      <w:numFmt w:val="decimal"/>
      <w:pStyle w:val="133"/>
      <w:isLgl/>
      <w:lvlText w:val="第%1章"/>
      <w:lvlJc w:val="left"/>
      <w:pPr>
        <w:tabs>
          <w:tab w:val="left" w:pos="425"/>
        </w:tabs>
        <w:ind w:left="425" w:hanging="425"/>
      </w:pPr>
      <w:rPr>
        <w:rFonts w:hint="eastAsia"/>
      </w:rPr>
    </w:lvl>
    <w:lvl w:ilvl="1" w:tentative="0">
      <w:start w:val="4"/>
      <w:numFmt w:val="decimal"/>
      <w:pStyle w:val="132"/>
      <w:isLgl/>
      <w:lvlText w:val="%1.%2  "/>
      <w:lvlJc w:val="left"/>
      <w:pPr>
        <w:tabs>
          <w:tab w:val="left" w:pos="851"/>
        </w:tabs>
        <w:ind w:left="851" w:hanging="567"/>
      </w:pPr>
      <w:rPr>
        <w:rFonts w:hint="eastAsia"/>
      </w:rPr>
    </w:lvl>
    <w:lvl w:ilvl="2" w:tentative="0">
      <w:start w:val="3"/>
      <w:numFmt w:val="decimal"/>
      <w:pStyle w:val="135"/>
      <w:isLgl/>
      <w:lvlText w:val="%1.%2.%3  "/>
      <w:lvlJc w:val="left"/>
      <w:pPr>
        <w:tabs>
          <w:tab w:val="left" w:pos="851"/>
        </w:tabs>
        <w:ind w:left="851" w:hanging="709"/>
      </w:pPr>
      <w:rPr>
        <w:rFonts w:hint="eastAsia" w:ascii="宋体" w:hAnsi="宋体" w:eastAsia="宋体" w:cs="Arial"/>
        <w:b/>
        <w:sz w:val="21"/>
        <w:szCs w:val="21"/>
      </w:rPr>
    </w:lvl>
    <w:lvl w:ilvl="3" w:tentative="0">
      <w:start w:val="1"/>
      <w:numFmt w:val="decimal"/>
      <w:lvlText w:val="%1.%2.%3.%4."/>
      <w:lvlJc w:val="left"/>
      <w:pPr>
        <w:tabs>
          <w:tab w:val="left" w:pos="851"/>
        </w:tabs>
        <w:ind w:left="851" w:hanging="851"/>
      </w:pPr>
      <w:rPr>
        <w:rFonts w:hint="default" w:ascii="宋体" w:hAnsi="宋体" w:eastAsia="宋体" w:cs="Arial"/>
        <w:sz w:val="21"/>
        <w:szCs w:val="21"/>
      </w:rPr>
    </w:lvl>
    <w:lvl w:ilvl="4" w:tentative="0">
      <w:start w:val="1"/>
      <w:numFmt w:val="decimal"/>
      <w:lvlText w:val="%1....%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6E6F60E6"/>
    <w:multiLevelType w:val="multilevel"/>
    <w:tmpl w:val="6E6F60E6"/>
    <w:lvl w:ilvl="0" w:tentative="0">
      <w:start w:val="1"/>
      <w:numFmt w:val="chineseCountingThousand"/>
      <w:lvlText w:val="第%1章"/>
      <w:lvlJc w:val="left"/>
      <w:pPr>
        <w:tabs>
          <w:tab w:val="left" w:pos="425"/>
        </w:tabs>
        <w:ind w:left="425" w:hanging="425"/>
      </w:pPr>
      <w:rPr>
        <w:rFonts w:hint="eastAsia"/>
        <w:lang w:val="en-US"/>
      </w:rPr>
    </w:lvl>
    <w:lvl w:ilvl="1" w:tentative="0">
      <w:start w:val="1"/>
      <w:numFmt w:val="decimal"/>
      <w:lvlText w:val="%1.%2  "/>
      <w:lvlJc w:val="left"/>
      <w:pPr>
        <w:tabs>
          <w:tab w:val="left" w:pos="1419"/>
        </w:tabs>
        <w:ind w:left="1419" w:hanging="567"/>
      </w:pPr>
      <w:rPr>
        <w:rFonts w:hint="eastAsia"/>
      </w:rPr>
    </w:lvl>
    <w:lvl w:ilvl="2" w:tentative="0">
      <w:start w:val="1"/>
      <w:numFmt w:val="decimal"/>
      <w:lvlText w:val="%1.%2.%3  "/>
      <w:lvlJc w:val="left"/>
      <w:pPr>
        <w:tabs>
          <w:tab w:val="left" w:pos="851"/>
        </w:tabs>
        <w:ind w:left="851" w:hanging="709"/>
      </w:pPr>
      <w:rPr>
        <w:rFonts w:hint="eastAsia" w:ascii="宋体" w:hAnsi="宋体" w:eastAsia="宋体" w:cs="Arial"/>
        <w:b/>
        <w:sz w:val="21"/>
        <w:szCs w:val="21"/>
      </w:rPr>
    </w:lvl>
    <w:lvl w:ilvl="3" w:tentative="0">
      <w:start w:val="1"/>
      <w:numFmt w:val="decimal"/>
      <w:lvlText w:val="%1.%2.%3.%4."/>
      <w:lvlJc w:val="left"/>
      <w:pPr>
        <w:tabs>
          <w:tab w:val="left" w:pos="851"/>
        </w:tabs>
        <w:ind w:left="851" w:hanging="851"/>
      </w:pPr>
      <w:rPr>
        <w:rFonts w:hint="default" w:ascii="宋体" w:hAnsi="宋体" w:eastAsia="宋体" w:cs="Arial"/>
        <w:sz w:val="21"/>
        <w:szCs w:val="21"/>
      </w:rPr>
    </w:lvl>
    <w:lvl w:ilvl="4" w:tentative="0">
      <w:start w:val="1"/>
      <w:numFmt w:val="decimal"/>
      <w:lvlText w:val="%1.%2.%3.%4.%5."/>
      <w:lvlJc w:val="left"/>
      <w:pPr>
        <w:tabs>
          <w:tab w:val="left" w:pos="2072"/>
        </w:tabs>
        <w:ind w:left="207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6E6F60F1"/>
    <w:multiLevelType w:val="multilevel"/>
    <w:tmpl w:val="6E6F60F1"/>
    <w:lvl w:ilvl="0" w:tentative="0">
      <w:start w:val="1"/>
      <w:numFmt w:val="decimal"/>
      <w:pStyle w:val="177"/>
      <w:lvlText w:val="%1"/>
      <w:lvlJc w:val="left"/>
      <w:pPr>
        <w:ind w:left="432" w:hanging="432"/>
      </w:pPr>
    </w:lvl>
    <w:lvl w:ilvl="1" w:tentative="0">
      <w:start w:val="1"/>
      <w:numFmt w:val="decimal"/>
      <w:pStyle w:val="179"/>
      <w:lvlText w:val="%1.%2"/>
      <w:lvlJc w:val="left"/>
      <w:pPr>
        <w:ind w:left="576" w:hanging="576"/>
      </w:pPr>
    </w:lvl>
    <w:lvl w:ilvl="2" w:tentative="0">
      <w:start w:val="1"/>
      <w:numFmt w:val="decimal"/>
      <w:pStyle w:val="176"/>
      <w:lvlText w:val="%1.%2.%3"/>
      <w:lvlJc w:val="left"/>
      <w:pPr>
        <w:ind w:left="720" w:hanging="720"/>
      </w:pPr>
    </w:lvl>
    <w:lvl w:ilvl="3" w:tentative="0">
      <w:start w:val="1"/>
      <w:numFmt w:val="decimal"/>
      <w:pStyle w:val="181"/>
      <w:lvlText w:val="%1.%2.%3.%4"/>
      <w:lvlJc w:val="left"/>
      <w:pPr>
        <w:ind w:left="864" w:hanging="864"/>
      </w:pPr>
    </w:lvl>
    <w:lvl w:ilvl="4" w:tentative="0">
      <w:start w:val="1"/>
      <w:numFmt w:val="decimal"/>
      <w:pStyle w:val="183"/>
      <w:lvlText w:val="%1.%2.%3.%4.%5"/>
      <w:lvlJc w:val="left"/>
      <w:pPr>
        <w:ind w:left="1008" w:hanging="1008"/>
      </w:pPr>
    </w:lvl>
    <w:lvl w:ilvl="5" w:tentative="0">
      <w:start w:val="1"/>
      <w:numFmt w:val="decimal"/>
      <w:pStyle w:val="185"/>
      <w:lvlText w:val="%1.%2.%3.%4.%5.%6"/>
      <w:lvlJc w:val="left"/>
      <w:pPr>
        <w:ind w:left="1152" w:hanging="1152"/>
      </w:pPr>
    </w:lvl>
    <w:lvl w:ilvl="6" w:tentative="0">
      <w:start w:val="1"/>
      <w:numFmt w:val="decimal"/>
      <w:pStyle w:val="187"/>
      <w:lvlText w:val="%1.%2.%3.%4.%5.%6.%7"/>
      <w:lvlJc w:val="left"/>
      <w:pPr>
        <w:ind w:left="1296" w:hanging="1296"/>
      </w:pPr>
    </w:lvl>
    <w:lvl w:ilvl="7" w:tentative="0">
      <w:start w:val="1"/>
      <w:numFmt w:val="decimal"/>
      <w:pStyle w:val="189"/>
      <w:lvlText w:val="%1.%2.%3.%4.%5.%6.%7.%8"/>
      <w:lvlJc w:val="left"/>
      <w:pPr>
        <w:ind w:left="1440" w:hanging="1440"/>
      </w:pPr>
    </w:lvl>
    <w:lvl w:ilvl="8" w:tentative="0">
      <w:start w:val="1"/>
      <w:numFmt w:val="decimal"/>
      <w:pStyle w:val="191"/>
      <w:lvlText w:val="%1.%2.%3.%4.%5.%6.%7.%8.%9"/>
      <w:lvlJc w:val="left"/>
      <w:pPr>
        <w:ind w:left="1584" w:hanging="1584"/>
      </w:pPr>
    </w:lvl>
  </w:abstractNum>
  <w:num w:numId="1">
    <w:abstractNumId w:val="1"/>
  </w:num>
  <w:num w:numId="2">
    <w:abstractNumId w:val="4"/>
  </w:num>
  <w:num w:numId="3">
    <w:abstractNumId w:val="3"/>
  </w:num>
  <w:num w:numId="4">
    <w:abstractNumId w:val="8"/>
  </w:num>
  <w:num w:numId="5">
    <w:abstractNumId w:val="10"/>
  </w:num>
  <w:num w:numId="6">
    <w:abstractNumId w:val="9"/>
    <w:lvlOverride w:ilvl="0">
      <w:lvl w:ilvl="0" w:tentative="1">
        <w:start w:val="1"/>
        <w:numFmt w:val="decimal"/>
        <w:lvlText w:val="第%1章"/>
        <w:lvlJc w:val="left"/>
        <w:pPr>
          <w:tabs>
            <w:tab w:val="left" w:pos="425"/>
          </w:tabs>
          <w:ind w:left="425" w:hanging="425"/>
        </w:pPr>
        <w:rPr>
          <w:rFonts w:hint="eastAsia"/>
        </w:rPr>
      </w:lvl>
    </w:lvlOverride>
    <w:lvlOverride w:ilvl="1">
      <w:lvl w:ilvl="1" w:tentative="1">
        <w:start w:val="1"/>
        <w:numFmt w:val="decimal"/>
        <w:lvlText w:val="2.%2  "/>
        <w:lvlJc w:val="left"/>
        <w:pPr>
          <w:tabs>
            <w:tab w:val="left" w:pos="1419"/>
          </w:tabs>
          <w:ind w:left="1419" w:hanging="567"/>
        </w:pPr>
        <w:rPr>
          <w:rFonts w:hint="eastAsia"/>
        </w:rPr>
      </w:lvl>
    </w:lvlOverride>
    <w:lvlOverride w:ilvl="2">
      <w:lvl w:ilvl="2" w:tentative="1">
        <w:start w:val="1"/>
        <w:numFmt w:val="decimal"/>
        <w:lvlText w:val="%1.%2.%3  "/>
        <w:lvlJc w:val="left"/>
        <w:pPr>
          <w:tabs>
            <w:tab w:val="left" w:pos="709"/>
          </w:tabs>
          <w:ind w:left="709" w:hanging="709"/>
        </w:pPr>
        <w:rPr>
          <w:rFonts w:hint="eastAsia" w:ascii="宋体" w:hAnsi="宋体" w:eastAsia="宋体" w:cs="Arial"/>
          <w:b/>
          <w:sz w:val="21"/>
          <w:szCs w:val="21"/>
        </w:rPr>
      </w:lvl>
    </w:lvlOverride>
    <w:lvlOverride w:ilvl="3">
      <w:lvl w:ilvl="3" w:tentative="1">
        <w:start w:val="1"/>
        <w:numFmt w:val="decimal"/>
        <w:lvlText w:val="%1.%2.%3.%4."/>
        <w:lvlJc w:val="left"/>
        <w:pPr>
          <w:tabs>
            <w:tab w:val="left" w:pos="851"/>
          </w:tabs>
          <w:ind w:left="851" w:hanging="851"/>
        </w:pPr>
        <w:rPr>
          <w:rFonts w:hint="default" w:ascii="宋体" w:hAnsi="宋体" w:eastAsia="宋体" w:cs="Arial"/>
          <w:sz w:val="21"/>
          <w:szCs w:val="21"/>
        </w:rPr>
      </w:lvl>
    </w:lvlOverride>
    <w:lvlOverride w:ilvl="4">
      <w:lvl w:ilvl="4" w:tentative="1">
        <w:start w:val="1"/>
        <w:numFmt w:val="decimal"/>
        <w:lvlText w:val="%1.%2.%3.%4.%5."/>
        <w:lvlJc w:val="left"/>
        <w:pPr>
          <w:tabs>
            <w:tab w:val="left" w:pos="2072"/>
          </w:tabs>
          <w:ind w:left="2072" w:hanging="207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7">
    <w:abstractNumId w:val="9"/>
    <w:lvlOverride w:ilvl="0">
      <w:lvl w:ilvl="0" w:tentative="1">
        <w:start w:val="1"/>
        <w:numFmt w:val="decimal"/>
        <w:lvlText w:val="第%1章"/>
        <w:lvlJc w:val="left"/>
        <w:pPr>
          <w:tabs>
            <w:tab w:val="left" w:pos="425"/>
          </w:tabs>
          <w:ind w:left="425" w:hanging="425"/>
        </w:pPr>
        <w:rPr>
          <w:rFonts w:hint="eastAsia"/>
        </w:rPr>
      </w:lvl>
    </w:lvlOverride>
    <w:lvlOverride w:ilvl="1">
      <w:lvl w:ilvl="1" w:tentative="1">
        <w:start w:val="1"/>
        <w:numFmt w:val="decimal"/>
        <w:lvlText w:val="2.%2  "/>
        <w:lvlJc w:val="left"/>
        <w:pPr>
          <w:tabs>
            <w:tab w:val="left" w:pos="1419"/>
          </w:tabs>
          <w:ind w:left="1419" w:hanging="567"/>
        </w:pPr>
        <w:rPr>
          <w:rFonts w:hint="eastAsia"/>
        </w:rPr>
      </w:lvl>
    </w:lvlOverride>
    <w:lvlOverride w:ilvl="2">
      <w:lvl w:ilvl="2" w:tentative="1">
        <w:start w:val="1"/>
        <w:numFmt w:val="decimal"/>
        <w:lvlText w:val="2.%2.%3  "/>
        <w:lvlJc w:val="left"/>
        <w:pPr>
          <w:tabs>
            <w:tab w:val="left" w:pos="709"/>
          </w:tabs>
          <w:ind w:left="709" w:hanging="709"/>
        </w:pPr>
        <w:rPr>
          <w:rFonts w:hint="eastAsia" w:ascii="宋体" w:hAnsi="宋体" w:eastAsia="宋体" w:cs="Arial"/>
          <w:b/>
          <w:sz w:val="21"/>
          <w:szCs w:val="21"/>
        </w:rPr>
      </w:lvl>
    </w:lvlOverride>
    <w:lvlOverride w:ilvl="3">
      <w:lvl w:ilvl="3" w:tentative="1">
        <w:start w:val="1"/>
        <w:numFmt w:val="decimal"/>
        <w:lvlText w:val="2.%2.%3.%4."/>
        <w:lvlJc w:val="left"/>
        <w:pPr>
          <w:tabs>
            <w:tab w:val="left" w:pos="851"/>
          </w:tabs>
          <w:ind w:left="851" w:hanging="851"/>
        </w:pPr>
        <w:rPr>
          <w:rFonts w:hint="default" w:ascii="宋体" w:hAnsi="宋体" w:eastAsia="宋体" w:cs="Arial"/>
          <w:sz w:val="21"/>
          <w:szCs w:val="21"/>
        </w:rPr>
      </w:lvl>
    </w:lvlOverride>
    <w:lvlOverride w:ilvl="4">
      <w:lvl w:ilvl="4" w:tentative="1">
        <w:start w:val="1"/>
        <w:numFmt w:val="decimal"/>
        <w:lvlText w:val="%1.%2.%3.%4.%5."/>
        <w:lvlJc w:val="left"/>
        <w:pPr>
          <w:tabs>
            <w:tab w:val="left" w:pos="2072"/>
          </w:tabs>
          <w:ind w:left="2072" w:hanging="207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8">
    <w:abstractNumId w:val="2"/>
  </w:num>
  <w:num w:numId="9">
    <w:abstractNumId w:val="9"/>
    <w:lvlOverride w:ilvl="0">
      <w:lvl w:ilvl="0" w:tentative="1">
        <w:start w:val="1"/>
        <w:numFmt w:val="decimal"/>
        <w:lvlText w:val="第%1章"/>
        <w:lvlJc w:val="left"/>
        <w:pPr>
          <w:tabs>
            <w:tab w:val="left" w:pos="425"/>
          </w:tabs>
          <w:ind w:left="425" w:hanging="425"/>
        </w:pPr>
        <w:rPr>
          <w:rFonts w:hint="eastAsia"/>
        </w:rPr>
      </w:lvl>
    </w:lvlOverride>
    <w:lvlOverride w:ilvl="1">
      <w:lvl w:ilvl="1" w:tentative="1">
        <w:start w:val="1"/>
        <w:numFmt w:val="decimal"/>
        <w:lvlText w:val="2.%2  "/>
        <w:lvlJc w:val="left"/>
        <w:pPr>
          <w:tabs>
            <w:tab w:val="left" w:pos="1419"/>
          </w:tabs>
          <w:ind w:left="1419" w:hanging="567"/>
        </w:pPr>
        <w:rPr>
          <w:rFonts w:hint="eastAsia"/>
        </w:rPr>
      </w:lvl>
    </w:lvlOverride>
    <w:lvlOverride w:ilvl="2">
      <w:lvl w:ilvl="2" w:tentative="1">
        <w:start w:val="1"/>
        <w:numFmt w:val="decimal"/>
        <w:lvlText w:val="2.%2.%3  "/>
        <w:lvlJc w:val="left"/>
        <w:pPr>
          <w:tabs>
            <w:tab w:val="left" w:pos="709"/>
          </w:tabs>
          <w:ind w:left="709" w:hanging="709"/>
        </w:pPr>
        <w:rPr>
          <w:rFonts w:hint="eastAsia" w:ascii="宋体" w:hAnsi="宋体" w:eastAsia="宋体" w:cs="Arial"/>
          <w:b/>
          <w:sz w:val="21"/>
          <w:szCs w:val="21"/>
        </w:rPr>
      </w:lvl>
    </w:lvlOverride>
    <w:lvlOverride w:ilvl="3">
      <w:lvl w:ilvl="3" w:tentative="1">
        <w:start w:val="1"/>
        <w:numFmt w:val="decimal"/>
        <w:lvlText w:val="%1.%2.%3.%4."/>
        <w:lvlJc w:val="left"/>
        <w:pPr>
          <w:tabs>
            <w:tab w:val="left" w:pos="851"/>
          </w:tabs>
          <w:ind w:left="851" w:hanging="851"/>
        </w:pPr>
        <w:rPr>
          <w:rFonts w:hint="default" w:ascii="宋体" w:hAnsi="宋体" w:eastAsia="宋体" w:cs="Arial"/>
          <w:sz w:val="21"/>
          <w:szCs w:val="21"/>
        </w:rPr>
      </w:lvl>
    </w:lvlOverride>
    <w:lvlOverride w:ilvl="4">
      <w:lvl w:ilvl="4" w:tentative="1">
        <w:start w:val="1"/>
        <w:numFmt w:val="decimal"/>
        <w:lvlText w:val="%1.%2.%3.%4.%5."/>
        <w:lvlJc w:val="left"/>
        <w:pPr>
          <w:tabs>
            <w:tab w:val="left" w:pos="2072"/>
          </w:tabs>
          <w:ind w:left="2072" w:hanging="207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10">
    <w:abstractNumId w:val="0"/>
  </w:num>
  <w:num w:numId="11">
    <w:abstractNumId w:val="6"/>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8B"/>
    <w:rsid w:val="00003EE3"/>
    <w:rsid w:val="000110F6"/>
    <w:rsid w:val="000112B2"/>
    <w:rsid w:val="0001160F"/>
    <w:rsid w:val="00013908"/>
    <w:rsid w:val="00016BC2"/>
    <w:rsid w:val="00020124"/>
    <w:rsid w:val="0002154C"/>
    <w:rsid w:val="00021B0C"/>
    <w:rsid w:val="00023D67"/>
    <w:rsid w:val="00024DDA"/>
    <w:rsid w:val="00034100"/>
    <w:rsid w:val="00036BD6"/>
    <w:rsid w:val="00037D29"/>
    <w:rsid w:val="000401BA"/>
    <w:rsid w:val="000405A2"/>
    <w:rsid w:val="0004086F"/>
    <w:rsid w:val="000455F0"/>
    <w:rsid w:val="000458CA"/>
    <w:rsid w:val="00051266"/>
    <w:rsid w:val="00051580"/>
    <w:rsid w:val="00051D61"/>
    <w:rsid w:val="00052F21"/>
    <w:rsid w:val="00053897"/>
    <w:rsid w:val="00060C19"/>
    <w:rsid w:val="00062343"/>
    <w:rsid w:val="00063E44"/>
    <w:rsid w:val="0007164D"/>
    <w:rsid w:val="00071E86"/>
    <w:rsid w:val="0007286A"/>
    <w:rsid w:val="00073018"/>
    <w:rsid w:val="00075C90"/>
    <w:rsid w:val="00077129"/>
    <w:rsid w:val="00077B56"/>
    <w:rsid w:val="00082961"/>
    <w:rsid w:val="00082C64"/>
    <w:rsid w:val="0008426F"/>
    <w:rsid w:val="0008471C"/>
    <w:rsid w:val="00084FE0"/>
    <w:rsid w:val="00085391"/>
    <w:rsid w:val="000912C7"/>
    <w:rsid w:val="00094F47"/>
    <w:rsid w:val="000970E7"/>
    <w:rsid w:val="000A024E"/>
    <w:rsid w:val="000A177B"/>
    <w:rsid w:val="000A1B23"/>
    <w:rsid w:val="000A21AC"/>
    <w:rsid w:val="000A2D9E"/>
    <w:rsid w:val="000A3636"/>
    <w:rsid w:val="000A50D5"/>
    <w:rsid w:val="000A5483"/>
    <w:rsid w:val="000A6C3F"/>
    <w:rsid w:val="000A7BCD"/>
    <w:rsid w:val="000B1C62"/>
    <w:rsid w:val="000B1D99"/>
    <w:rsid w:val="000B391A"/>
    <w:rsid w:val="000B45FC"/>
    <w:rsid w:val="000B75F4"/>
    <w:rsid w:val="000C18D3"/>
    <w:rsid w:val="000C2100"/>
    <w:rsid w:val="000C2239"/>
    <w:rsid w:val="000C6707"/>
    <w:rsid w:val="000C777D"/>
    <w:rsid w:val="000D335A"/>
    <w:rsid w:val="000D4EBB"/>
    <w:rsid w:val="000D6E28"/>
    <w:rsid w:val="000D782E"/>
    <w:rsid w:val="000D7876"/>
    <w:rsid w:val="000E0A6C"/>
    <w:rsid w:val="000E318D"/>
    <w:rsid w:val="000E3AC7"/>
    <w:rsid w:val="000E7666"/>
    <w:rsid w:val="000F117D"/>
    <w:rsid w:val="000F13B0"/>
    <w:rsid w:val="000F4AB3"/>
    <w:rsid w:val="000F52DC"/>
    <w:rsid w:val="000F5621"/>
    <w:rsid w:val="000F5860"/>
    <w:rsid w:val="000F6FD6"/>
    <w:rsid w:val="00104937"/>
    <w:rsid w:val="0010608C"/>
    <w:rsid w:val="001121A0"/>
    <w:rsid w:val="001133E3"/>
    <w:rsid w:val="00114DCD"/>
    <w:rsid w:val="00116ACC"/>
    <w:rsid w:val="001218F1"/>
    <w:rsid w:val="00122358"/>
    <w:rsid w:val="0012298E"/>
    <w:rsid w:val="00123E60"/>
    <w:rsid w:val="001240C9"/>
    <w:rsid w:val="001240EB"/>
    <w:rsid w:val="0012546F"/>
    <w:rsid w:val="001259DD"/>
    <w:rsid w:val="0013179D"/>
    <w:rsid w:val="001321DE"/>
    <w:rsid w:val="00136E88"/>
    <w:rsid w:val="001371D4"/>
    <w:rsid w:val="00142A4C"/>
    <w:rsid w:val="001432DF"/>
    <w:rsid w:val="00143871"/>
    <w:rsid w:val="00144470"/>
    <w:rsid w:val="00150343"/>
    <w:rsid w:val="00150E8D"/>
    <w:rsid w:val="00151724"/>
    <w:rsid w:val="00153B81"/>
    <w:rsid w:val="00154F10"/>
    <w:rsid w:val="00155314"/>
    <w:rsid w:val="00155CEC"/>
    <w:rsid w:val="00156CBC"/>
    <w:rsid w:val="001575FE"/>
    <w:rsid w:val="001579CD"/>
    <w:rsid w:val="001600CB"/>
    <w:rsid w:val="0016147D"/>
    <w:rsid w:val="001647BA"/>
    <w:rsid w:val="00164BC1"/>
    <w:rsid w:val="00167858"/>
    <w:rsid w:val="00167A28"/>
    <w:rsid w:val="001711F0"/>
    <w:rsid w:val="00172897"/>
    <w:rsid w:val="00172A27"/>
    <w:rsid w:val="00173ED4"/>
    <w:rsid w:val="001746F8"/>
    <w:rsid w:val="001766CC"/>
    <w:rsid w:val="00177497"/>
    <w:rsid w:val="00177846"/>
    <w:rsid w:val="00181405"/>
    <w:rsid w:val="00183519"/>
    <w:rsid w:val="00185ADE"/>
    <w:rsid w:val="001901E0"/>
    <w:rsid w:val="001905C8"/>
    <w:rsid w:val="00190B36"/>
    <w:rsid w:val="001913A4"/>
    <w:rsid w:val="00191E60"/>
    <w:rsid w:val="00191E8E"/>
    <w:rsid w:val="001931C8"/>
    <w:rsid w:val="00193774"/>
    <w:rsid w:val="00196642"/>
    <w:rsid w:val="00197FD4"/>
    <w:rsid w:val="001A109A"/>
    <w:rsid w:val="001A2373"/>
    <w:rsid w:val="001A2DC2"/>
    <w:rsid w:val="001A5145"/>
    <w:rsid w:val="001B1C50"/>
    <w:rsid w:val="001B53FF"/>
    <w:rsid w:val="001B5EC6"/>
    <w:rsid w:val="001B7A08"/>
    <w:rsid w:val="001C14AB"/>
    <w:rsid w:val="001C20C4"/>
    <w:rsid w:val="001C56C2"/>
    <w:rsid w:val="001C6676"/>
    <w:rsid w:val="001C742B"/>
    <w:rsid w:val="001C7603"/>
    <w:rsid w:val="001D2526"/>
    <w:rsid w:val="001D329D"/>
    <w:rsid w:val="001D5906"/>
    <w:rsid w:val="001D6D32"/>
    <w:rsid w:val="001E2279"/>
    <w:rsid w:val="001E2869"/>
    <w:rsid w:val="001E5454"/>
    <w:rsid w:val="001E5618"/>
    <w:rsid w:val="001F0DF2"/>
    <w:rsid w:val="001F2A69"/>
    <w:rsid w:val="001F6C60"/>
    <w:rsid w:val="001F70F1"/>
    <w:rsid w:val="001F71C6"/>
    <w:rsid w:val="00200AC7"/>
    <w:rsid w:val="002019FC"/>
    <w:rsid w:val="002020C4"/>
    <w:rsid w:val="00204C3A"/>
    <w:rsid w:val="00204DCE"/>
    <w:rsid w:val="0020582F"/>
    <w:rsid w:val="0020611B"/>
    <w:rsid w:val="00206646"/>
    <w:rsid w:val="00210C84"/>
    <w:rsid w:val="002124D0"/>
    <w:rsid w:val="00213379"/>
    <w:rsid w:val="00217DF7"/>
    <w:rsid w:val="00217FEB"/>
    <w:rsid w:val="002215CD"/>
    <w:rsid w:val="0022186E"/>
    <w:rsid w:val="002233BB"/>
    <w:rsid w:val="00223FB5"/>
    <w:rsid w:val="00223FDB"/>
    <w:rsid w:val="002264AF"/>
    <w:rsid w:val="00226EC4"/>
    <w:rsid w:val="00227487"/>
    <w:rsid w:val="0022786D"/>
    <w:rsid w:val="00233118"/>
    <w:rsid w:val="0023312C"/>
    <w:rsid w:val="00241711"/>
    <w:rsid w:val="0024374E"/>
    <w:rsid w:val="00247E59"/>
    <w:rsid w:val="002507A9"/>
    <w:rsid w:val="00251284"/>
    <w:rsid w:val="0025241F"/>
    <w:rsid w:val="00252BF3"/>
    <w:rsid w:val="00254E41"/>
    <w:rsid w:val="00256656"/>
    <w:rsid w:val="00257613"/>
    <w:rsid w:val="0026296B"/>
    <w:rsid w:val="002649BC"/>
    <w:rsid w:val="00266178"/>
    <w:rsid w:val="0026768A"/>
    <w:rsid w:val="00270654"/>
    <w:rsid w:val="00272817"/>
    <w:rsid w:val="00276150"/>
    <w:rsid w:val="00280659"/>
    <w:rsid w:val="00281DDE"/>
    <w:rsid w:val="00283E3B"/>
    <w:rsid w:val="00285559"/>
    <w:rsid w:val="00286F9C"/>
    <w:rsid w:val="002930C2"/>
    <w:rsid w:val="00293FA3"/>
    <w:rsid w:val="0029611E"/>
    <w:rsid w:val="002970B1"/>
    <w:rsid w:val="002A0F2C"/>
    <w:rsid w:val="002A0F34"/>
    <w:rsid w:val="002A1128"/>
    <w:rsid w:val="002A1B8D"/>
    <w:rsid w:val="002A2BE3"/>
    <w:rsid w:val="002A2D9A"/>
    <w:rsid w:val="002A4D60"/>
    <w:rsid w:val="002A59B7"/>
    <w:rsid w:val="002A5F5F"/>
    <w:rsid w:val="002A7747"/>
    <w:rsid w:val="002B203E"/>
    <w:rsid w:val="002B6388"/>
    <w:rsid w:val="002C00A2"/>
    <w:rsid w:val="002C29B3"/>
    <w:rsid w:val="002C39C2"/>
    <w:rsid w:val="002C6B88"/>
    <w:rsid w:val="002C75D8"/>
    <w:rsid w:val="002C7601"/>
    <w:rsid w:val="002D0051"/>
    <w:rsid w:val="002D19EF"/>
    <w:rsid w:val="002D308F"/>
    <w:rsid w:val="002D4517"/>
    <w:rsid w:val="002D5C63"/>
    <w:rsid w:val="002D5DB5"/>
    <w:rsid w:val="002D60FB"/>
    <w:rsid w:val="002D7B31"/>
    <w:rsid w:val="002E0544"/>
    <w:rsid w:val="002E085E"/>
    <w:rsid w:val="002E155C"/>
    <w:rsid w:val="002E1C1E"/>
    <w:rsid w:val="002E2802"/>
    <w:rsid w:val="002E3B7F"/>
    <w:rsid w:val="002E3C52"/>
    <w:rsid w:val="002E529B"/>
    <w:rsid w:val="002E612A"/>
    <w:rsid w:val="002F0D07"/>
    <w:rsid w:val="002F0DA1"/>
    <w:rsid w:val="002F19D9"/>
    <w:rsid w:val="002F28D4"/>
    <w:rsid w:val="002F2FE6"/>
    <w:rsid w:val="002F381D"/>
    <w:rsid w:val="002F3A13"/>
    <w:rsid w:val="002F3DDC"/>
    <w:rsid w:val="002F5E7F"/>
    <w:rsid w:val="002F6D18"/>
    <w:rsid w:val="00301FCE"/>
    <w:rsid w:val="00304EB6"/>
    <w:rsid w:val="0031089C"/>
    <w:rsid w:val="003125C5"/>
    <w:rsid w:val="00312630"/>
    <w:rsid w:val="003150FA"/>
    <w:rsid w:val="003158AF"/>
    <w:rsid w:val="00316690"/>
    <w:rsid w:val="00322A7A"/>
    <w:rsid w:val="00324714"/>
    <w:rsid w:val="00324F92"/>
    <w:rsid w:val="00325832"/>
    <w:rsid w:val="00325D48"/>
    <w:rsid w:val="003262F3"/>
    <w:rsid w:val="00326E88"/>
    <w:rsid w:val="00327335"/>
    <w:rsid w:val="003304C5"/>
    <w:rsid w:val="00330F78"/>
    <w:rsid w:val="00330FFC"/>
    <w:rsid w:val="003316D4"/>
    <w:rsid w:val="0033577D"/>
    <w:rsid w:val="00335A52"/>
    <w:rsid w:val="003362E8"/>
    <w:rsid w:val="00337F8F"/>
    <w:rsid w:val="003407A9"/>
    <w:rsid w:val="00340AAF"/>
    <w:rsid w:val="00344548"/>
    <w:rsid w:val="0034494C"/>
    <w:rsid w:val="003457AD"/>
    <w:rsid w:val="00347EC7"/>
    <w:rsid w:val="003506D5"/>
    <w:rsid w:val="00350E02"/>
    <w:rsid w:val="00351508"/>
    <w:rsid w:val="00351CAC"/>
    <w:rsid w:val="00352C3D"/>
    <w:rsid w:val="00353CA0"/>
    <w:rsid w:val="00353F79"/>
    <w:rsid w:val="00356714"/>
    <w:rsid w:val="00356D21"/>
    <w:rsid w:val="00357196"/>
    <w:rsid w:val="00357878"/>
    <w:rsid w:val="003579D5"/>
    <w:rsid w:val="003610F6"/>
    <w:rsid w:val="00361DC3"/>
    <w:rsid w:val="00366850"/>
    <w:rsid w:val="00367197"/>
    <w:rsid w:val="003718E2"/>
    <w:rsid w:val="00374077"/>
    <w:rsid w:val="0037578D"/>
    <w:rsid w:val="003764B1"/>
    <w:rsid w:val="00376DC3"/>
    <w:rsid w:val="00377BF7"/>
    <w:rsid w:val="0038168A"/>
    <w:rsid w:val="003817BC"/>
    <w:rsid w:val="00384A7F"/>
    <w:rsid w:val="00384CB4"/>
    <w:rsid w:val="00386551"/>
    <w:rsid w:val="00387577"/>
    <w:rsid w:val="00390069"/>
    <w:rsid w:val="003910FD"/>
    <w:rsid w:val="003916EF"/>
    <w:rsid w:val="00392D94"/>
    <w:rsid w:val="00394F11"/>
    <w:rsid w:val="00396933"/>
    <w:rsid w:val="003A0BD3"/>
    <w:rsid w:val="003A0E8E"/>
    <w:rsid w:val="003A435F"/>
    <w:rsid w:val="003A4374"/>
    <w:rsid w:val="003A48BB"/>
    <w:rsid w:val="003A7FF8"/>
    <w:rsid w:val="003B08C8"/>
    <w:rsid w:val="003B2662"/>
    <w:rsid w:val="003B27BE"/>
    <w:rsid w:val="003B7910"/>
    <w:rsid w:val="003C0370"/>
    <w:rsid w:val="003C155E"/>
    <w:rsid w:val="003C1569"/>
    <w:rsid w:val="003C5C20"/>
    <w:rsid w:val="003C74C7"/>
    <w:rsid w:val="003D2EAE"/>
    <w:rsid w:val="003D3B28"/>
    <w:rsid w:val="003D50F3"/>
    <w:rsid w:val="003D74CB"/>
    <w:rsid w:val="003D7AE9"/>
    <w:rsid w:val="003E06EE"/>
    <w:rsid w:val="003E078F"/>
    <w:rsid w:val="003E1727"/>
    <w:rsid w:val="003E2453"/>
    <w:rsid w:val="003E3F20"/>
    <w:rsid w:val="003F2CC9"/>
    <w:rsid w:val="003F7582"/>
    <w:rsid w:val="004004B8"/>
    <w:rsid w:val="00401D68"/>
    <w:rsid w:val="004054B0"/>
    <w:rsid w:val="0040601D"/>
    <w:rsid w:val="00410D4E"/>
    <w:rsid w:val="004118A2"/>
    <w:rsid w:val="00411B18"/>
    <w:rsid w:val="004126BC"/>
    <w:rsid w:val="0041728B"/>
    <w:rsid w:val="00417B4C"/>
    <w:rsid w:val="00423830"/>
    <w:rsid w:val="00424A4A"/>
    <w:rsid w:val="004267AF"/>
    <w:rsid w:val="00431638"/>
    <w:rsid w:val="00432068"/>
    <w:rsid w:val="00432CD1"/>
    <w:rsid w:val="00433108"/>
    <w:rsid w:val="004373C6"/>
    <w:rsid w:val="00437F3A"/>
    <w:rsid w:val="0044262B"/>
    <w:rsid w:val="004427A9"/>
    <w:rsid w:val="00443866"/>
    <w:rsid w:val="00444B19"/>
    <w:rsid w:val="004464A1"/>
    <w:rsid w:val="00447123"/>
    <w:rsid w:val="004473A2"/>
    <w:rsid w:val="004521A7"/>
    <w:rsid w:val="00452418"/>
    <w:rsid w:val="0046133A"/>
    <w:rsid w:val="00461C8A"/>
    <w:rsid w:val="00463012"/>
    <w:rsid w:val="00464082"/>
    <w:rsid w:val="00464BF6"/>
    <w:rsid w:val="0046540A"/>
    <w:rsid w:val="00466BAD"/>
    <w:rsid w:val="00466E7C"/>
    <w:rsid w:val="00467092"/>
    <w:rsid w:val="00474C56"/>
    <w:rsid w:val="0048131B"/>
    <w:rsid w:val="00481E77"/>
    <w:rsid w:val="00483A42"/>
    <w:rsid w:val="004844DC"/>
    <w:rsid w:val="00486292"/>
    <w:rsid w:val="00487EEF"/>
    <w:rsid w:val="00487F09"/>
    <w:rsid w:val="00490036"/>
    <w:rsid w:val="004919CC"/>
    <w:rsid w:val="00493352"/>
    <w:rsid w:val="004937CC"/>
    <w:rsid w:val="00494144"/>
    <w:rsid w:val="004964FF"/>
    <w:rsid w:val="00496968"/>
    <w:rsid w:val="00497A8B"/>
    <w:rsid w:val="00497F68"/>
    <w:rsid w:val="004A001E"/>
    <w:rsid w:val="004A24AA"/>
    <w:rsid w:val="004A5091"/>
    <w:rsid w:val="004B234D"/>
    <w:rsid w:val="004B3898"/>
    <w:rsid w:val="004B49A1"/>
    <w:rsid w:val="004B5C66"/>
    <w:rsid w:val="004C1BAC"/>
    <w:rsid w:val="004C2C9C"/>
    <w:rsid w:val="004C3E32"/>
    <w:rsid w:val="004C53DF"/>
    <w:rsid w:val="004C5B16"/>
    <w:rsid w:val="004D1EDD"/>
    <w:rsid w:val="004D5671"/>
    <w:rsid w:val="004D5B96"/>
    <w:rsid w:val="004D7753"/>
    <w:rsid w:val="004D7A24"/>
    <w:rsid w:val="004D7E7C"/>
    <w:rsid w:val="004E319F"/>
    <w:rsid w:val="004E3F73"/>
    <w:rsid w:val="004E5D13"/>
    <w:rsid w:val="004E6F7E"/>
    <w:rsid w:val="004E710E"/>
    <w:rsid w:val="004E7797"/>
    <w:rsid w:val="004E7FCE"/>
    <w:rsid w:val="004F09A0"/>
    <w:rsid w:val="004F18B6"/>
    <w:rsid w:val="004F1B0B"/>
    <w:rsid w:val="004F1C8F"/>
    <w:rsid w:val="004F3AA2"/>
    <w:rsid w:val="004F5B01"/>
    <w:rsid w:val="004F6D54"/>
    <w:rsid w:val="00501314"/>
    <w:rsid w:val="0050179B"/>
    <w:rsid w:val="00501899"/>
    <w:rsid w:val="005023D0"/>
    <w:rsid w:val="00504A2A"/>
    <w:rsid w:val="00505387"/>
    <w:rsid w:val="00505C19"/>
    <w:rsid w:val="00506138"/>
    <w:rsid w:val="00506F7B"/>
    <w:rsid w:val="00510171"/>
    <w:rsid w:val="00512677"/>
    <w:rsid w:val="0051507A"/>
    <w:rsid w:val="00515430"/>
    <w:rsid w:val="00520AC7"/>
    <w:rsid w:val="00521D05"/>
    <w:rsid w:val="005225BB"/>
    <w:rsid w:val="00522948"/>
    <w:rsid w:val="00524E4E"/>
    <w:rsid w:val="00524F19"/>
    <w:rsid w:val="00525C90"/>
    <w:rsid w:val="00526E35"/>
    <w:rsid w:val="005273F9"/>
    <w:rsid w:val="00527A00"/>
    <w:rsid w:val="00530A78"/>
    <w:rsid w:val="00532462"/>
    <w:rsid w:val="00532C56"/>
    <w:rsid w:val="00536431"/>
    <w:rsid w:val="00536A21"/>
    <w:rsid w:val="005370AB"/>
    <w:rsid w:val="00541497"/>
    <w:rsid w:val="0054173F"/>
    <w:rsid w:val="005417C0"/>
    <w:rsid w:val="00541F0D"/>
    <w:rsid w:val="005427EE"/>
    <w:rsid w:val="00550052"/>
    <w:rsid w:val="00552996"/>
    <w:rsid w:val="00553FF0"/>
    <w:rsid w:val="005542F0"/>
    <w:rsid w:val="00555354"/>
    <w:rsid w:val="00561558"/>
    <w:rsid w:val="00561E66"/>
    <w:rsid w:val="00563583"/>
    <w:rsid w:val="0056452F"/>
    <w:rsid w:val="005703E5"/>
    <w:rsid w:val="00570C61"/>
    <w:rsid w:val="005715D6"/>
    <w:rsid w:val="00572294"/>
    <w:rsid w:val="00577DBD"/>
    <w:rsid w:val="005802A2"/>
    <w:rsid w:val="00581C3D"/>
    <w:rsid w:val="00586321"/>
    <w:rsid w:val="00593C11"/>
    <w:rsid w:val="005A0D3E"/>
    <w:rsid w:val="005A1F48"/>
    <w:rsid w:val="005A2D6E"/>
    <w:rsid w:val="005A68BC"/>
    <w:rsid w:val="005A796C"/>
    <w:rsid w:val="005B0D6D"/>
    <w:rsid w:val="005B2106"/>
    <w:rsid w:val="005B3267"/>
    <w:rsid w:val="005B3B4E"/>
    <w:rsid w:val="005B4A52"/>
    <w:rsid w:val="005B565C"/>
    <w:rsid w:val="005B5BC4"/>
    <w:rsid w:val="005C04C7"/>
    <w:rsid w:val="005C0F63"/>
    <w:rsid w:val="005C1CD4"/>
    <w:rsid w:val="005C4BE2"/>
    <w:rsid w:val="005C50A9"/>
    <w:rsid w:val="005C6CB8"/>
    <w:rsid w:val="005C75ED"/>
    <w:rsid w:val="005C7DA3"/>
    <w:rsid w:val="005D37B0"/>
    <w:rsid w:val="005D6A13"/>
    <w:rsid w:val="005D707D"/>
    <w:rsid w:val="005D7746"/>
    <w:rsid w:val="005D7A21"/>
    <w:rsid w:val="005D7B4F"/>
    <w:rsid w:val="005E050D"/>
    <w:rsid w:val="005E0AE9"/>
    <w:rsid w:val="005E0D1B"/>
    <w:rsid w:val="005E1528"/>
    <w:rsid w:val="005E5066"/>
    <w:rsid w:val="005E7E33"/>
    <w:rsid w:val="005F0CB4"/>
    <w:rsid w:val="005F1214"/>
    <w:rsid w:val="00601C9D"/>
    <w:rsid w:val="0060424B"/>
    <w:rsid w:val="0061569E"/>
    <w:rsid w:val="00617163"/>
    <w:rsid w:val="006204EC"/>
    <w:rsid w:val="00621A9D"/>
    <w:rsid w:val="00621B63"/>
    <w:rsid w:val="006224D6"/>
    <w:rsid w:val="00624788"/>
    <w:rsid w:val="0062672F"/>
    <w:rsid w:val="00627C86"/>
    <w:rsid w:val="0063101C"/>
    <w:rsid w:val="00631479"/>
    <w:rsid w:val="00631A77"/>
    <w:rsid w:val="00632194"/>
    <w:rsid w:val="00632C51"/>
    <w:rsid w:val="00635E4F"/>
    <w:rsid w:val="00636400"/>
    <w:rsid w:val="0063723E"/>
    <w:rsid w:val="006437AA"/>
    <w:rsid w:val="006477F1"/>
    <w:rsid w:val="0064782E"/>
    <w:rsid w:val="00650223"/>
    <w:rsid w:val="0065022C"/>
    <w:rsid w:val="00653E9A"/>
    <w:rsid w:val="00655169"/>
    <w:rsid w:val="006553E2"/>
    <w:rsid w:val="0065749D"/>
    <w:rsid w:val="006649BA"/>
    <w:rsid w:val="00664C89"/>
    <w:rsid w:val="00666600"/>
    <w:rsid w:val="006675FF"/>
    <w:rsid w:val="00670A12"/>
    <w:rsid w:val="006730B4"/>
    <w:rsid w:val="00673713"/>
    <w:rsid w:val="00675E9C"/>
    <w:rsid w:val="00677C6A"/>
    <w:rsid w:val="00682413"/>
    <w:rsid w:val="0068452D"/>
    <w:rsid w:val="00687249"/>
    <w:rsid w:val="00687C8F"/>
    <w:rsid w:val="00691098"/>
    <w:rsid w:val="00694B86"/>
    <w:rsid w:val="00695731"/>
    <w:rsid w:val="00695BD8"/>
    <w:rsid w:val="006A00B1"/>
    <w:rsid w:val="006A0AB9"/>
    <w:rsid w:val="006A0DA8"/>
    <w:rsid w:val="006A16D5"/>
    <w:rsid w:val="006A45BD"/>
    <w:rsid w:val="006A5D8C"/>
    <w:rsid w:val="006A6995"/>
    <w:rsid w:val="006A6DAC"/>
    <w:rsid w:val="006A77DC"/>
    <w:rsid w:val="006A7A8A"/>
    <w:rsid w:val="006B4569"/>
    <w:rsid w:val="006B66EF"/>
    <w:rsid w:val="006B7D89"/>
    <w:rsid w:val="006C1CB7"/>
    <w:rsid w:val="006C2859"/>
    <w:rsid w:val="006C34D3"/>
    <w:rsid w:val="006C63A1"/>
    <w:rsid w:val="006C65C1"/>
    <w:rsid w:val="006C6B36"/>
    <w:rsid w:val="006C6C41"/>
    <w:rsid w:val="006C6C9A"/>
    <w:rsid w:val="006D0D94"/>
    <w:rsid w:val="006D1288"/>
    <w:rsid w:val="006D1654"/>
    <w:rsid w:val="006D2AFF"/>
    <w:rsid w:val="006D4E2A"/>
    <w:rsid w:val="006D63F5"/>
    <w:rsid w:val="006D6FB5"/>
    <w:rsid w:val="006E0A41"/>
    <w:rsid w:val="006E0DBF"/>
    <w:rsid w:val="006E196A"/>
    <w:rsid w:val="006E1DBB"/>
    <w:rsid w:val="006E21C4"/>
    <w:rsid w:val="006E240C"/>
    <w:rsid w:val="006E3C14"/>
    <w:rsid w:val="006E4E8E"/>
    <w:rsid w:val="006E59E6"/>
    <w:rsid w:val="006F0958"/>
    <w:rsid w:val="006F2405"/>
    <w:rsid w:val="006F304D"/>
    <w:rsid w:val="006F350E"/>
    <w:rsid w:val="006F4F9D"/>
    <w:rsid w:val="00700F5B"/>
    <w:rsid w:val="00701D21"/>
    <w:rsid w:val="0070267B"/>
    <w:rsid w:val="007117FC"/>
    <w:rsid w:val="00713442"/>
    <w:rsid w:val="00715641"/>
    <w:rsid w:val="00717577"/>
    <w:rsid w:val="0072145E"/>
    <w:rsid w:val="00721D64"/>
    <w:rsid w:val="007220E1"/>
    <w:rsid w:val="00723E0A"/>
    <w:rsid w:val="007256DE"/>
    <w:rsid w:val="00726D8C"/>
    <w:rsid w:val="007306F2"/>
    <w:rsid w:val="00730CC2"/>
    <w:rsid w:val="00732F1F"/>
    <w:rsid w:val="00733B10"/>
    <w:rsid w:val="007340F2"/>
    <w:rsid w:val="00742DE9"/>
    <w:rsid w:val="00750D45"/>
    <w:rsid w:val="00751779"/>
    <w:rsid w:val="00754A8C"/>
    <w:rsid w:val="00764D7C"/>
    <w:rsid w:val="0077148D"/>
    <w:rsid w:val="00771ED6"/>
    <w:rsid w:val="00773AAB"/>
    <w:rsid w:val="00774AA5"/>
    <w:rsid w:val="00775790"/>
    <w:rsid w:val="00777A00"/>
    <w:rsid w:val="00781F58"/>
    <w:rsid w:val="0078336D"/>
    <w:rsid w:val="007852EA"/>
    <w:rsid w:val="00785625"/>
    <w:rsid w:val="00786219"/>
    <w:rsid w:val="00786E4C"/>
    <w:rsid w:val="00791BED"/>
    <w:rsid w:val="00795949"/>
    <w:rsid w:val="00796ED8"/>
    <w:rsid w:val="007A0C48"/>
    <w:rsid w:val="007A105C"/>
    <w:rsid w:val="007A49AD"/>
    <w:rsid w:val="007A67DA"/>
    <w:rsid w:val="007A75C0"/>
    <w:rsid w:val="007B0291"/>
    <w:rsid w:val="007B31A0"/>
    <w:rsid w:val="007B377D"/>
    <w:rsid w:val="007B3896"/>
    <w:rsid w:val="007B4478"/>
    <w:rsid w:val="007B7A6C"/>
    <w:rsid w:val="007C3E9F"/>
    <w:rsid w:val="007C5738"/>
    <w:rsid w:val="007D0377"/>
    <w:rsid w:val="007D05DE"/>
    <w:rsid w:val="007D0694"/>
    <w:rsid w:val="007D2F98"/>
    <w:rsid w:val="007D4E85"/>
    <w:rsid w:val="007D62B4"/>
    <w:rsid w:val="007E670D"/>
    <w:rsid w:val="007E6BEB"/>
    <w:rsid w:val="007E749C"/>
    <w:rsid w:val="007E78FC"/>
    <w:rsid w:val="007F0602"/>
    <w:rsid w:val="007F0FCF"/>
    <w:rsid w:val="007F2073"/>
    <w:rsid w:val="007F789B"/>
    <w:rsid w:val="00800DAA"/>
    <w:rsid w:val="00801B14"/>
    <w:rsid w:val="00801DD4"/>
    <w:rsid w:val="00802C1B"/>
    <w:rsid w:val="0080349A"/>
    <w:rsid w:val="008053AC"/>
    <w:rsid w:val="00805A26"/>
    <w:rsid w:val="008102BC"/>
    <w:rsid w:val="00813F1D"/>
    <w:rsid w:val="008160FB"/>
    <w:rsid w:val="008175C1"/>
    <w:rsid w:val="00820BEA"/>
    <w:rsid w:val="00821440"/>
    <w:rsid w:val="008216DD"/>
    <w:rsid w:val="00825970"/>
    <w:rsid w:val="00825DAA"/>
    <w:rsid w:val="0083069E"/>
    <w:rsid w:val="008320B9"/>
    <w:rsid w:val="008328B2"/>
    <w:rsid w:val="00833DC6"/>
    <w:rsid w:val="00837B9F"/>
    <w:rsid w:val="008419F5"/>
    <w:rsid w:val="0084281A"/>
    <w:rsid w:val="00843403"/>
    <w:rsid w:val="00844112"/>
    <w:rsid w:val="008448B1"/>
    <w:rsid w:val="008455F4"/>
    <w:rsid w:val="008457B6"/>
    <w:rsid w:val="00845CF2"/>
    <w:rsid w:val="0084650F"/>
    <w:rsid w:val="008469A2"/>
    <w:rsid w:val="008532F2"/>
    <w:rsid w:val="00853E56"/>
    <w:rsid w:val="00854656"/>
    <w:rsid w:val="00855561"/>
    <w:rsid w:val="00856AB7"/>
    <w:rsid w:val="00856E0A"/>
    <w:rsid w:val="0086028E"/>
    <w:rsid w:val="00860A6D"/>
    <w:rsid w:val="00860E80"/>
    <w:rsid w:val="00861C0C"/>
    <w:rsid w:val="00862DCC"/>
    <w:rsid w:val="00862F2A"/>
    <w:rsid w:val="008633AD"/>
    <w:rsid w:val="00864598"/>
    <w:rsid w:val="008648BE"/>
    <w:rsid w:val="00865051"/>
    <w:rsid w:val="00865812"/>
    <w:rsid w:val="00866068"/>
    <w:rsid w:val="00866877"/>
    <w:rsid w:val="00866BC6"/>
    <w:rsid w:val="0086771C"/>
    <w:rsid w:val="00867E5F"/>
    <w:rsid w:val="00867F84"/>
    <w:rsid w:val="0087490D"/>
    <w:rsid w:val="00874921"/>
    <w:rsid w:val="0087598C"/>
    <w:rsid w:val="00875F20"/>
    <w:rsid w:val="008801FA"/>
    <w:rsid w:val="0088083C"/>
    <w:rsid w:val="00882204"/>
    <w:rsid w:val="00885903"/>
    <w:rsid w:val="00885A19"/>
    <w:rsid w:val="00885D0D"/>
    <w:rsid w:val="008868DA"/>
    <w:rsid w:val="00887920"/>
    <w:rsid w:val="00887E24"/>
    <w:rsid w:val="00891A4C"/>
    <w:rsid w:val="00891D9A"/>
    <w:rsid w:val="00892DEE"/>
    <w:rsid w:val="008937F9"/>
    <w:rsid w:val="00894719"/>
    <w:rsid w:val="00895A9E"/>
    <w:rsid w:val="00897861"/>
    <w:rsid w:val="00897FD2"/>
    <w:rsid w:val="008A102B"/>
    <w:rsid w:val="008A2783"/>
    <w:rsid w:val="008A3630"/>
    <w:rsid w:val="008A38EE"/>
    <w:rsid w:val="008A6738"/>
    <w:rsid w:val="008A7715"/>
    <w:rsid w:val="008B2400"/>
    <w:rsid w:val="008B340B"/>
    <w:rsid w:val="008B57CF"/>
    <w:rsid w:val="008B6A59"/>
    <w:rsid w:val="008B7A0D"/>
    <w:rsid w:val="008C0D22"/>
    <w:rsid w:val="008C1095"/>
    <w:rsid w:val="008C2A93"/>
    <w:rsid w:val="008C36C6"/>
    <w:rsid w:val="008C7A07"/>
    <w:rsid w:val="008D0C4B"/>
    <w:rsid w:val="008D48FC"/>
    <w:rsid w:val="008D5154"/>
    <w:rsid w:val="008D713A"/>
    <w:rsid w:val="008E28BA"/>
    <w:rsid w:val="008E2A5F"/>
    <w:rsid w:val="008E39F6"/>
    <w:rsid w:val="008E42BE"/>
    <w:rsid w:val="008E55E5"/>
    <w:rsid w:val="008F0401"/>
    <w:rsid w:val="008F0A89"/>
    <w:rsid w:val="008F1E13"/>
    <w:rsid w:val="008F4995"/>
    <w:rsid w:val="008F6FED"/>
    <w:rsid w:val="009014AD"/>
    <w:rsid w:val="0090181F"/>
    <w:rsid w:val="00901993"/>
    <w:rsid w:val="00901EF1"/>
    <w:rsid w:val="00902577"/>
    <w:rsid w:val="009038AB"/>
    <w:rsid w:val="009051B2"/>
    <w:rsid w:val="009113EB"/>
    <w:rsid w:val="00913453"/>
    <w:rsid w:val="009158E2"/>
    <w:rsid w:val="00915B4A"/>
    <w:rsid w:val="00922469"/>
    <w:rsid w:val="00924395"/>
    <w:rsid w:val="00924CE0"/>
    <w:rsid w:val="00924E9C"/>
    <w:rsid w:val="009252CE"/>
    <w:rsid w:val="00926659"/>
    <w:rsid w:val="00927833"/>
    <w:rsid w:val="00931869"/>
    <w:rsid w:val="00932534"/>
    <w:rsid w:val="0093300E"/>
    <w:rsid w:val="00933389"/>
    <w:rsid w:val="00935B84"/>
    <w:rsid w:val="009365BF"/>
    <w:rsid w:val="00936E48"/>
    <w:rsid w:val="00937F23"/>
    <w:rsid w:val="00946638"/>
    <w:rsid w:val="00946CC2"/>
    <w:rsid w:val="009473FB"/>
    <w:rsid w:val="009510C7"/>
    <w:rsid w:val="00951C4F"/>
    <w:rsid w:val="00952A93"/>
    <w:rsid w:val="00953A7B"/>
    <w:rsid w:val="00954C27"/>
    <w:rsid w:val="0095787D"/>
    <w:rsid w:val="00957D81"/>
    <w:rsid w:val="00960E3D"/>
    <w:rsid w:val="00961EE3"/>
    <w:rsid w:val="0096231A"/>
    <w:rsid w:val="00962DFE"/>
    <w:rsid w:val="009632FF"/>
    <w:rsid w:val="00964ED7"/>
    <w:rsid w:val="00965725"/>
    <w:rsid w:val="009677D0"/>
    <w:rsid w:val="009703DC"/>
    <w:rsid w:val="009711BE"/>
    <w:rsid w:val="00971D8B"/>
    <w:rsid w:val="00971DF2"/>
    <w:rsid w:val="009722DF"/>
    <w:rsid w:val="00973D61"/>
    <w:rsid w:val="00974F5F"/>
    <w:rsid w:val="00976D1A"/>
    <w:rsid w:val="009779DE"/>
    <w:rsid w:val="00977EE1"/>
    <w:rsid w:val="009801BB"/>
    <w:rsid w:val="00980506"/>
    <w:rsid w:val="009809D3"/>
    <w:rsid w:val="00980B62"/>
    <w:rsid w:val="00981AFD"/>
    <w:rsid w:val="00981D09"/>
    <w:rsid w:val="00982A4D"/>
    <w:rsid w:val="00983F52"/>
    <w:rsid w:val="009843E7"/>
    <w:rsid w:val="00984A96"/>
    <w:rsid w:val="00986092"/>
    <w:rsid w:val="0098694B"/>
    <w:rsid w:val="00986A47"/>
    <w:rsid w:val="00986E4E"/>
    <w:rsid w:val="009879A8"/>
    <w:rsid w:val="00987EB6"/>
    <w:rsid w:val="009914C2"/>
    <w:rsid w:val="00991AD2"/>
    <w:rsid w:val="00993B1D"/>
    <w:rsid w:val="00996985"/>
    <w:rsid w:val="00996FA0"/>
    <w:rsid w:val="009A2B46"/>
    <w:rsid w:val="009A4BE6"/>
    <w:rsid w:val="009A5DC8"/>
    <w:rsid w:val="009B71C2"/>
    <w:rsid w:val="009B740C"/>
    <w:rsid w:val="009C0407"/>
    <w:rsid w:val="009C0A59"/>
    <w:rsid w:val="009C1AAC"/>
    <w:rsid w:val="009C59FB"/>
    <w:rsid w:val="009C5B3C"/>
    <w:rsid w:val="009C5CE2"/>
    <w:rsid w:val="009C5EE2"/>
    <w:rsid w:val="009C6A70"/>
    <w:rsid w:val="009C77D4"/>
    <w:rsid w:val="009D03C2"/>
    <w:rsid w:val="009D0F09"/>
    <w:rsid w:val="009D2EE5"/>
    <w:rsid w:val="009D6113"/>
    <w:rsid w:val="009D7344"/>
    <w:rsid w:val="009D74E9"/>
    <w:rsid w:val="009D7C31"/>
    <w:rsid w:val="009E1AFA"/>
    <w:rsid w:val="009E3AF2"/>
    <w:rsid w:val="009E436A"/>
    <w:rsid w:val="009E651A"/>
    <w:rsid w:val="009E6A21"/>
    <w:rsid w:val="009F1531"/>
    <w:rsid w:val="009F15B9"/>
    <w:rsid w:val="009F22D0"/>
    <w:rsid w:val="009F2FFB"/>
    <w:rsid w:val="009F6460"/>
    <w:rsid w:val="009F7D61"/>
    <w:rsid w:val="00A02469"/>
    <w:rsid w:val="00A02582"/>
    <w:rsid w:val="00A038C1"/>
    <w:rsid w:val="00A04FB0"/>
    <w:rsid w:val="00A06DA2"/>
    <w:rsid w:val="00A07FAC"/>
    <w:rsid w:val="00A10539"/>
    <w:rsid w:val="00A11BE9"/>
    <w:rsid w:val="00A12EFD"/>
    <w:rsid w:val="00A13416"/>
    <w:rsid w:val="00A15055"/>
    <w:rsid w:val="00A15D73"/>
    <w:rsid w:val="00A171D3"/>
    <w:rsid w:val="00A2021A"/>
    <w:rsid w:val="00A208B6"/>
    <w:rsid w:val="00A20DBE"/>
    <w:rsid w:val="00A21650"/>
    <w:rsid w:val="00A22E94"/>
    <w:rsid w:val="00A244D7"/>
    <w:rsid w:val="00A24B18"/>
    <w:rsid w:val="00A260C3"/>
    <w:rsid w:val="00A269BA"/>
    <w:rsid w:val="00A2771A"/>
    <w:rsid w:val="00A311AD"/>
    <w:rsid w:val="00A31A85"/>
    <w:rsid w:val="00A32008"/>
    <w:rsid w:val="00A33D86"/>
    <w:rsid w:val="00A36D46"/>
    <w:rsid w:val="00A37A1E"/>
    <w:rsid w:val="00A41101"/>
    <w:rsid w:val="00A416D0"/>
    <w:rsid w:val="00A47A52"/>
    <w:rsid w:val="00A565EA"/>
    <w:rsid w:val="00A57611"/>
    <w:rsid w:val="00A61021"/>
    <w:rsid w:val="00A635EF"/>
    <w:rsid w:val="00A63C9B"/>
    <w:rsid w:val="00A65E50"/>
    <w:rsid w:val="00A76AD2"/>
    <w:rsid w:val="00A777D8"/>
    <w:rsid w:val="00A80274"/>
    <w:rsid w:val="00A80864"/>
    <w:rsid w:val="00A81169"/>
    <w:rsid w:val="00A82893"/>
    <w:rsid w:val="00A828DA"/>
    <w:rsid w:val="00A82CF5"/>
    <w:rsid w:val="00A83CC7"/>
    <w:rsid w:val="00A86B69"/>
    <w:rsid w:val="00A86FE5"/>
    <w:rsid w:val="00A87B71"/>
    <w:rsid w:val="00A9296C"/>
    <w:rsid w:val="00A974DF"/>
    <w:rsid w:val="00A975BF"/>
    <w:rsid w:val="00A978EA"/>
    <w:rsid w:val="00A97B55"/>
    <w:rsid w:val="00AA0749"/>
    <w:rsid w:val="00AA5561"/>
    <w:rsid w:val="00AB1CA3"/>
    <w:rsid w:val="00AB2C10"/>
    <w:rsid w:val="00AB5086"/>
    <w:rsid w:val="00AB688D"/>
    <w:rsid w:val="00AB7CA8"/>
    <w:rsid w:val="00AC169A"/>
    <w:rsid w:val="00AC2219"/>
    <w:rsid w:val="00AC4549"/>
    <w:rsid w:val="00AC6051"/>
    <w:rsid w:val="00AD2830"/>
    <w:rsid w:val="00AD3AA9"/>
    <w:rsid w:val="00AD6E3F"/>
    <w:rsid w:val="00AE40CA"/>
    <w:rsid w:val="00AE477D"/>
    <w:rsid w:val="00AE4E25"/>
    <w:rsid w:val="00AF073C"/>
    <w:rsid w:val="00AF0F25"/>
    <w:rsid w:val="00AF0FEE"/>
    <w:rsid w:val="00AF1DAD"/>
    <w:rsid w:val="00AF4817"/>
    <w:rsid w:val="00AF5C21"/>
    <w:rsid w:val="00AF5E58"/>
    <w:rsid w:val="00AF73ED"/>
    <w:rsid w:val="00B01538"/>
    <w:rsid w:val="00B02A59"/>
    <w:rsid w:val="00B04793"/>
    <w:rsid w:val="00B05281"/>
    <w:rsid w:val="00B052EB"/>
    <w:rsid w:val="00B064AD"/>
    <w:rsid w:val="00B107AF"/>
    <w:rsid w:val="00B109E6"/>
    <w:rsid w:val="00B14354"/>
    <w:rsid w:val="00B156D7"/>
    <w:rsid w:val="00B1735B"/>
    <w:rsid w:val="00B225BC"/>
    <w:rsid w:val="00B22BC8"/>
    <w:rsid w:val="00B25BF9"/>
    <w:rsid w:val="00B265F2"/>
    <w:rsid w:val="00B27CD7"/>
    <w:rsid w:val="00B30354"/>
    <w:rsid w:val="00B33069"/>
    <w:rsid w:val="00B3349F"/>
    <w:rsid w:val="00B359DF"/>
    <w:rsid w:val="00B3630F"/>
    <w:rsid w:val="00B372EE"/>
    <w:rsid w:val="00B37D00"/>
    <w:rsid w:val="00B423B8"/>
    <w:rsid w:val="00B434ED"/>
    <w:rsid w:val="00B50721"/>
    <w:rsid w:val="00B512F8"/>
    <w:rsid w:val="00B52D70"/>
    <w:rsid w:val="00B52DE6"/>
    <w:rsid w:val="00B53116"/>
    <w:rsid w:val="00B5385A"/>
    <w:rsid w:val="00B54481"/>
    <w:rsid w:val="00B55652"/>
    <w:rsid w:val="00B55F1B"/>
    <w:rsid w:val="00B57F2D"/>
    <w:rsid w:val="00B6003F"/>
    <w:rsid w:val="00B61824"/>
    <w:rsid w:val="00B61EB8"/>
    <w:rsid w:val="00B62498"/>
    <w:rsid w:val="00B64C64"/>
    <w:rsid w:val="00B65964"/>
    <w:rsid w:val="00B6599F"/>
    <w:rsid w:val="00B66E4E"/>
    <w:rsid w:val="00B71BE1"/>
    <w:rsid w:val="00B72B1B"/>
    <w:rsid w:val="00B72B49"/>
    <w:rsid w:val="00B73975"/>
    <w:rsid w:val="00B73C18"/>
    <w:rsid w:val="00B76485"/>
    <w:rsid w:val="00B77546"/>
    <w:rsid w:val="00B800DA"/>
    <w:rsid w:val="00B80CA0"/>
    <w:rsid w:val="00B82FEF"/>
    <w:rsid w:val="00B84EB8"/>
    <w:rsid w:val="00B8528A"/>
    <w:rsid w:val="00B90BEA"/>
    <w:rsid w:val="00B924C8"/>
    <w:rsid w:val="00B93F77"/>
    <w:rsid w:val="00B95053"/>
    <w:rsid w:val="00B96D51"/>
    <w:rsid w:val="00BA0897"/>
    <w:rsid w:val="00BA19AB"/>
    <w:rsid w:val="00BA4C81"/>
    <w:rsid w:val="00BA674D"/>
    <w:rsid w:val="00BA7BE7"/>
    <w:rsid w:val="00BB4B1F"/>
    <w:rsid w:val="00BB6BEE"/>
    <w:rsid w:val="00BB6EA8"/>
    <w:rsid w:val="00BC3018"/>
    <w:rsid w:val="00BC5AC0"/>
    <w:rsid w:val="00BC6F75"/>
    <w:rsid w:val="00BC6F7F"/>
    <w:rsid w:val="00BC737D"/>
    <w:rsid w:val="00BD0234"/>
    <w:rsid w:val="00BD41F5"/>
    <w:rsid w:val="00BD5A8F"/>
    <w:rsid w:val="00BE0AD5"/>
    <w:rsid w:val="00BE71DC"/>
    <w:rsid w:val="00BE7875"/>
    <w:rsid w:val="00BF0080"/>
    <w:rsid w:val="00BF504B"/>
    <w:rsid w:val="00C00257"/>
    <w:rsid w:val="00C00769"/>
    <w:rsid w:val="00C01669"/>
    <w:rsid w:val="00C020DF"/>
    <w:rsid w:val="00C0325E"/>
    <w:rsid w:val="00C10312"/>
    <w:rsid w:val="00C1148B"/>
    <w:rsid w:val="00C126FA"/>
    <w:rsid w:val="00C134DA"/>
    <w:rsid w:val="00C13BFE"/>
    <w:rsid w:val="00C15D66"/>
    <w:rsid w:val="00C15E5E"/>
    <w:rsid w:val="00C1735F"/>
    <w:rsid w:val="00C22F98"/>
    <w:rsid w:val="00C244CC"/>
    <w:rsid w:val="00C24585"/>
    <w:rsid w:val="00C270C5"/>
    <w:rsid w:val="00C27D20"/>
    <w:rsid w:val="00C3319F"/>
    <w:rsid w:val="00C33D9F"/>
    <w:rsid w:val="00C34687"/>
    <w:rsid w:val="00C350D7"/>
    <w:rsid w:val="00C35C83"/>
    <w:rsid w:val="00C36A46"/>
    <w:rsid w:val="00C41999"/>
    <w:rsid w:val="00C426E5"/>
    <w:rsid w:val="00C42D32"/>
    <w:rsid w:val="00C43B6D"/>
    <w:rsid w:val="00C460EB"/>
    <w:rsid w:val="00C5074F"/>
    <w:rsid w:val="00C51C20"/>
    <w:rsid w:val="00C54874"/>
    <w:rsid w:val="00C55F1A"/>
    <w:rsid w:val="00C56E59"/>
    <w:rsid w:val="00C575A5"/>
    <w:rsid w:val="00C60709"/>
    <w:rsid w:val="00C615C4"/>
    <w:rsid w:val="00C62341"/>
    <w:rsid w:val="00C63BF3"/>
    <w:rsid w:val="00C65AC0"/>
    <w:rsid w:val="00C70057"/>
    <w:rsid w:val="00C7070B"/>
    <w:rsid w:val="00C71A66"/>
    <w:rsid w:val="00C735C4"/>
    <w:rsid w:val="00C746E2"/>
    <w:rsid w:val="00C76D54"/>
    <w:rsid w:val="00C77EE9"/>
    <w:rsid w:val="00C8046F"/>
    <w:rsid w:val="00C82A56"/>
    <w:rsid w:val="00C82B22"/>
    <w:rsid w:val="00C83C99"/>
    <w:rsid w:val="00C83E97"/>
    <w:rsid w:val="00C860A6"/>
    <w:rsid w:val="00C91BCF"/>
    <w:rsid w:val="00C92864"/>
    <w:rsid w:val="00C92F09"/>
    <w:rsid w:val="00C9353C"/>
    <w:rsid w:val="00C95A0C"/>
    <w:rsid w:val="00C9633D"/>
    <w:rsid w:val="00C97737"/>
    <w:rsid w:val="00CA1D6E"/>
    <w:rsid w:val="00CA31BD"/>
    <w:rsid w:val="00CA72F9"/>
    <w:rsid w:val="00CA7E16"/>
    <w:rsid w:val="00CB1CD7"/>
    <w:rsid w:val="00CB21F8"/>
    <w:rsid w:val="00CB6156"/>
    <w:rsid w:val="00CB6EAC"/>
    <w:rsid w:val="00CC1E65"/>
    <w:rsid w:val="00CC213E"/>
    <w:rsid w:val="00CC24D1"/>
    <w:rsid w:val="00CC2E9B"/>
    <w:rsid w:val="00CC3147"/>
    <w:rsid w:val="00CC4901"/>
    <w:rsid w:val="00CC5106"/>
    <w:rsid w:val="00CC572B"/>
    <w:rsid w:val="00CC5BB2"/>
    <w:rsid w:val="00CC6231"/>
    <w:rsid w:val="00CC634F"/>
    <w:rsid w:val="00CC7C16"/>
    <w:rsid w:val="00CD409A"/>
    <w:rsid w:val="00CD52D7"/>
    <w:rsid w:val="00CD692A"/>
    <w:rsid w:val="00CE0015"/>
    <w:rsid w:val="00CE328A"/>
    <w:rsid w:val="00CE39D6"/>
    <w:rsid w:val="00CE3FB2"/>
    <w:rsid w:val="00CE499E"/>
    <w:rsid w:val="00CE7705"/>
    <w:rsid w:val="00CF254B"/>
    <w:rsid w:val="00CF29F9"/>
    <w:rsid w:val="00CF5329"/>
    <w:rsid w:val="00CF5544"/>
    <w:rsid w:val="00D010FF"/>
    <w:rsid w:val="00D0535F"/>
    <w:rsid w:val="00D0710E"/>
    <w:rsid w:val="00D071C1"/>
    <w:rsid w:val="00D079F6"/>
    <w:rsid w:val="00D07A67"/>
    <w:rsid w:val="00D07D47"/>
    <w:rsid w:val="00D07EA1"/>
    <w:rsid w:val="00D11F61"/>
    <w:rsid w:val="00D12009"/>
    <w:rsid w:val="00D14FCF"/>
    <w:rsid w:val="00D1731C"/>
    <w:rsid w:val="00D17600"/>
    <w:rsid w:val="00D269C4"/>
    <w:rsid w:val="00D31FAF"/>
    <w:rsid w:val="00D327A4"/>
    <w:rsid w:val="00D33608"/>
    <w:rsid w:val="00D33B39"/>
    <w:rsid w:val="00D33C9E"/>
    <w:rsid w:val="00D35179"/>
    <w:rsid w:val="00D362A9"/>
    <w:rsid w:val="00D44D3D"/>
    <w:rsid w:val="00D45A74"/>
    <w:rsid w:val="00D46570"/>
    <w:rsid w:val="00D466AD"/>
    <w:rsid w:val="00D46977"/>
    <w:rsid w:val="00D5056A"/>
    <w:rsid w:val="00D50AEC"/>
    <w:rsid w:val="00D50EA6"/>
    <w:rsid w:val="00D5105C"/>
    <w:rsid w:val="00D533BB"/>
    <w:rsid w:val="00D545B1"/>
    <w:rsid w:val="00D546B1"/>
    <w:rsid w:val="00D56C62"/>
    <w:rsid w:val="00D57E10"/>
    <w:rsid w:val="00D57ECC"/>
    <w:rsid w:val="00D621E8"/>
    <w:rsid w:val="00D63045"/>
    <w:rsid w:val="00D63262"/>
    <w:rsid w:val="00D63EE8"/>
    <w:rsid w:val="00D67A99"/>
    <w:rsid w:val="00D71A41"/>
    <w:rsid w:val="00D74172"/>
    <w:rsid w:val="00D763CF"/>
    <w:rsid w:val="00D85114"/>
    <w:rsid w:val="00D853F3"/>
    <w:rsid w:val="00D9003B"/>
    <w:rsid w:val="00D90D8A"/>
    <w:rsid w:val="00D92070"/>
    <w:rsid w:val="00D94753"/>
    <w:rsid w:val="00D948B9"/>
    <w:rsid w:val="00D96338"/>
    <w:rsid w:val="00D96BB7"/>
    <w:rsid w:val="00DA05C2"/>
    <w:rsid w:val="00DA1EF2"/>
    <w:rsid w:val="00DA3266"/>
    <w:rsid w:val="00DA6ADF"/>
    <w:rsid w:val="00DA6CB8"/>
    <w:rsid w:val="00DA6E51"/>
    <w:rsid w:val="00DB02C5"/>
    <w:rsid w:val="00DB1380"/>
    <w:rsid w:val="00DB2B0A"/>
    <w:rsid w:val="00DB2DBA"/>
    <w:rsid w:val="00DB3C5A"/>
    <w:rsid w:val="00DB51BF"/>
    <w:rsid w:val="00DB6109"/>
    <w:rsid w:val="00DB7E92"/>
    <w:rsid w:val="00DC10DA"/>
    <w:rsid w:val="00DC13A7"/>
    <w:rsid w:val="00DC18EE"/>
    <w:rsid w:val="00DC2689"/>
    <w:rsid w:val="00DC2A80"/>
    <w:rsid w:val="00DC2DD1"/>
    <w:rsid w:val="00DC38F7"/>
    <w:rsid w:val="00DD0895"/>
    <w:rsid w:val="00DD0CF4"/>
    <w:rsid w:val="00DD1F3A"/>
    <w:rsid w:val="00DD3408"/>
    <w:rsid w:val="00DD739C"/>
    <w:rsid w:val="00DE24AD"/>
    <w:rsid w:val="00DE2CCD"/>
    <w:rsid w:val="00DE34E0"/>
    <w:rsid w:val="00DE4581"/>
    <w:rsid w:val="00DF07E0"/>
    <w:rsid w:val="00DF0D51"/>
    <w:rsid w:val="00DF2BC0"/>
    <w:rsid w:val="00DF490D"/>
    <w:rsid w:val="00DF4BA6"/>
    <w:rsid w:val="00DF674E"/>
    <w:rsid w:val="00E01B3A"/>
    <w:rsid w:val="00E058C9"/>
    <w:rsid w:val="00E05A8A"/>
    <w:rsid w:val="00E05C0D"/>
    <w:rsid w:val="00E06167"/>
    <w:rsid w:val="00E068A3"/>
    <w:rsid w:val="00E06BCE"/>
    <w:rsid w:val="00E06F7E"/>
    <w:rsid w:val="00E10E47"/>
    <w:rsid w:val="00E125F9"/>
    <w:rsid w:val="00E12AB4"/>
    <w:rsid w:val="00E149DA"/>
    <w:rsid w:val="00E1572D"/>
    <w:rsid w:val="00E15F43"/>
    <w:rsid w:val="00E16ABC"/>
    <w:rsid w:val="00E17334"/>
    <w:rsid w:val="00E21421"/>
    <w:rsid w:val="00E21A4B"/>
    <w:rsid w:val="00E22655"/>
    <w:rsid w:val="00E23D71"/>
    <w:rsid w:val="00E24086"/>
    <w:rsid w:val="00E24D1D"/>
    <w:rsid w:val="00E27238"/>
    <w:rsid w:val="00E315EE"/>
    <w:rsid w:val="00E31E08"/>
    <w:rsid w:val="00E3223F"/>
    <w:rsid w:val="00E32B13"/>
    <w:rsid w:val="00E32C64"/>
    <w:rsid w:val="00E3301D"/>
    <w:rsid w:val="00E337E5"/>
    <w:rsid w:val="00E3533A"/>
    <w:rsid w:val="00E359FB"/>
    <w:rsid w:val="00E40568"/>
    <w:rsid w:val="00E40AA1"/>
    <w:rsid w:val="00E43310"/>
    <w:rsid w:val="00E43FAA"/>
    <w:rsid w:val="00E449F9"/>
    <w:rsid w:val="00E44B05"/>
    <w:rsid w:val="00E44C23"/>
    <w:rsid w:val="00E454B6"/>
    <w:rsid w:val="00E46C13"/>
    <w:rsid w:val="00E472F7"/>
    <w:rsid w:val="00E47303"/>
    <w:rsid w:val="00E47F75"/>
    <w:rsid w:val="00E501A0"/>
    <w:rsid w:val="00E52293"/>
    <w:rsid w:val="00E52625"/>
    <w:rsid w:val="00E54781"/>
    <w:rsid w:val="00E571D2"/>
    <w:rsid w:val="00E57375"/>
    <w:rsid w:val="00E6355A"/>
    <w:rsid w:val="00E636D7"/>
    <w:rsid w:val="00E64060"/>
    <w:rsid w:val="00E660B4"/>
    <w:rsid w:val="00E661F4"/>
    <w:rsid w:val="00E6650A"/>
    <w:rsid w:val="00E66A06"/>
    <w:rsid w:val="00E67283"/>
    <w:rsid w:val="00E672A5"/>
    <w:rsid w:val="00E676B8"/>
    <w:rsid w:val="00E67F3A"/>
    <w:rsid w:val="00E70028"/>
    <w:rsid w:val="00E7049B"/>
    <w:rsid w:val="00E70622"/>
    <w:rsid w:val="00E70889"/>
    <w:rsid w:val="00E7670A"/>
    <w:rsid w:val="00E76B2C"/>
    <w:rsid w:val="00E774A1"/>
    <w:rsid w:val="00E779B8"/>
    <w:rsid w:val="00E806EC"/>
    <w:rsid w:val="00E81CEC"/>
    <w:rsid w:val="00E82D6F"/>
    <w:rsid w:val="00E82F62"/>
    <w:rsid w:val="00E833E4"/>
    <w:rsid w:val="00E84A87"/>
    <w:rsid w:val="00E868EE"/>
    <w:rsid w:val="00E87397"/>
    <w:rsid w:val="00E87578"/>
    <w:rsid w:val="00E87B0C"/>
    <w:rsid w:val="00E90EAA"/>
    <w:rsid w:val="00E9498E"/>
    <w:rsid w:val="00E96C62"/>
    <w:rsid w:val="00E97FAF"/>
    <w:rsid w:val="00E97FDC"/>
    <w:rsid w:val="00EA2EFC"/>
    <w:rsid w:val="00EA595F"/>
    <w:rsid w:val="00EA7223"/>
    <w:rsid w:val="00EB334A"/>
    <w:rsid w:val="00EB3808"/>
    <w:rsid w:val="00EB3D3B"/>
    <w:rsid w:val="00EB4056"/>
    <w:rsid w:val="00EB4868"/>
    <w:rsid w:val="00EC0131"/>
    <w:rsid w:val="00EC310D"/>
    <w:rsid w:val="00EC7C7C"/>
    <w:rsid w:val="00EC7F56"/>
    <w:rsid w:val="00ED0626"/>
    <w:rsid w:val="00ED57F6"/>
    <w:rsid w:val="00ED6D77"/>
    <w:rsid w:val="00ED6F8F"/>
    <w:rsid w:val="00EE4ECF"/>
    <w:rsid w:val="00EE70C7"/>
    <w:rsid w:val="00EF0923"/>
    <w:rsid w:val="00EF47A2"/>
    <w:rsid w:val="00EF61A7"/>
    <w:rsid w:val="00EF666F"/>
    <w:rsid w:val="00EF7283"/>
    <w:rsid w:val="00F01A0A"/>
    <w:rsid w:val="00F03EF6"/>
    <w:rsid w:val="00F04510"/>
    <w:rsid w:val="00F05805"/>
    <w:rsid w:val="00F05A8C"/>
    <w:rsid w:val="00F07796"/>
    <w:rsid w:val="00F079B5"/>
    <w:rsid w:val="00F11D27"/>
    <w:rsid w:val="00F12CBA"/>
    <w:rsid w:val="00F1322F"/>
    <w:rsid w:val="00F15B52"/>
    <w:rsid w:val="00F17695"/>
    <w:rsid w:val="00F21A4A"/>
    <w:rsid w:val="00F23F87"/>
    <w:rsid w:val="00F24DE4"/>
    <w:rsid w:val="00F2622B"/>
    <w:rsid w:val="00F3179C"/>
    <w:rsid w:val="00F31931"/>
    <w:rsid w:val="00F31A6F"/>
    <w:rsid w:val="00F321A4"/>
    <w:rsid w:val="00F37056"/>
    <w:rsid w:val="00F419FA"/>
    <w:rsid w:val="00F42029"/>
    <w:rsid w:val="00F455CA"/>
    <w:rsid w:val="00F455E9"/>
    <w:rsid w:val="00F45978"/>
    <w:rsid w:val="00F46AB5"/>
    <w:rsid w:val="00F476E9"/>
    <w:rsid w:val="00F514C8"/>
    <w:rsid w:val="00F5177B"/>
    <w:rsid w:val="00F5406F"/>
    <w:rsid w:val="00F545E2"/>
    <w:rsid w:val="00F56F39"/>
    <w:rsid w:val="00F5748D"/>
    <w:rsid w:val="00F577EB"/>
    <w:rsid w:val="00F60EA9"/>
    <w:rsid w:val="00F62FD4"/>
    <w:rsid w:val="00F63243"/>
    <w:rsid w:val="00F639F7"/>
    <w:rsid w:val="00F6458C"/>
    <w:rsid w:val="00F64CD6"/>
    <w:rsid w:val="00F67102"/>
    <w:rsid w:val="00F70C72"/>
    <w:rsid w:val="00F71135"/>
    <w:rsid w:val="00F72038"/>
    <w:rsid w:val="00F72AC0"/>
    <w:rsid w:val="00F8037E"/>
    <w:rsid w:val="00F810CC"/>
    <w:rsid w:val="00F818D3"/>
    <w:rsid w:val="00F837AC"/>
    <w:rsid w:val="00F85331"/>
    <w:rsid w:val="00F90981"/>
    <w:rsid w:val="00F90F77"/>
    <w:rsid w:val="00F91440"/>
    <w:rsid w:val="00F9149A"/>
    <w:rsid w:val="00F91D95"/>
    <w:rsid w:val="00F9556C"/>
    <w:rsid w:val="00F970DB"/>
    <w:rsid w:val="00F97969"/>
    <w:rsid w:val="00FA04AA"/>
    <w:rsid w:val="00FA1240"/>
    <w:rsid w:val="00FA176E"/>
    <w:rsid w:val="00FA27FA"/>
    <w:rsid w:val="00FA4C73"/>
    <w:rsid w:val="00FA675B"/>
    <w:rsid w:val="00FB6413"/>
    <w:rsid w:val="00FB7E70"/>
    <w:rsid w:val="00FC1496"/>
    <w:rsid w:val="00FC1AC6"/>
    <w:rsid w:val="00FC3DE0"/>
    <w:rsid w:val="00FC6F59"/>
    <w:rsid w:val="00FC7226"/>
    <w:rsid w:val="00FD1575"/>
    <w:rsid w:val="00FD337E"/>
    <w:rsid w:val="00FE091C"/>
    <w:rsid w:val="00FE0BB1"/>
    <w:rsid w:val="00FE2531"/>
    <w:rsid w:val="00FE4C89"/>
    <w:rsid w:val="00FE6A42"/>
    <w:rsid w:val="00FE7F8A"/>
    <w:rsid w:val="00FF2DE1"/>
    <w:rsid w:val="00FF4C0A"/>
    <w:rsid w:val="00FF74B4"/>
    <w:rsid w:val="00FF7907"/>
    <w:rsid w:val="025007CC"/>
    <w:rsid w:val="059E0693"/>
    <w:rsid w:val="12602D32"/>
    <w:rsid w:val="13E15CBE"/>
    <w:rsid w:val="20A44F66"/>
    <w:rsid w:val="358D462D"/>
    <w:rsid w:val="35931328"/>
    <w:rsid w:val="3F193D48"/>
    <w:rsid w:val="4A1E08C2"/>
    <w:rsid w:val="598C3512"/>
    <w:rsid w:val="6A565AB6"/>
    <w:rsid w:val="6E0648A2"/>
    <w:rsid w:val="7F245A00"/>
    <w:rsid w:val="7FF878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9" w:semiHidden="0" w:name="heading 6"/>
    <w:lsdException w:qFormat="1" w:unhideWhenUsed="0" w:uiPriority="0"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qFormat="1" w:unhideWhenUsed="0" w:uiPriority="0" w:semiHidden="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bCs/>
      <w:kern w:val="44"/>
      <w:sz w:val="44"/>
      <w:szCs w:val="44"/>
    </w:rPr>
  </w:style>
  <w:style w:type="paragraph" w:styleId="3">
    <w:name w:val="heading 2"/>
    <w:basedOn w:val="1"/>
    <w:next w:val="1"/>
    <w:qFormat/>
    <w:uiPriority w:val="0"/>
    <w:pPr>
      <w:keepNext/>
      <w:keepLines/>
      <w:adjustRightInd w:val="0"/>
      <w:snapToGrid w:val="0"/>
      <w:spacing w:line="360" w:lineRule="auto"/>
      <w:jc w:val="center"/>
      <w:outlineLvl w:val="1"/>
    </w:pPr>
    <w:rPr>
      <w:rFonts w:ascii="宋体" w:hAnsi="Arial" w:cs="宋体"/>
      <w:sz w:val="32"/>
    </w:rPr>
  </w:style>
  <w:style w:type="paragraph" w:styleId="4">
    <w:name w:val="heading 3"/>
    <w:basedOn w:val="1"/>
    <w:next w:val="5"/>
    <w:qFormat/>
    <w:uiPriority w:val="0"/>
    <w:pPr>
      <w:tabs>
        <w:tab w:val="left" w:pos="851"/>
      </w:tabs>
      <w:autoSpaceDE w:val="0"/>
      <w:autoSpaceDN w:val="0"/>
      <w:adjustRightInd w:val="0"/>
      <w:snapToGrid w:val="0"/>
      <w:spacing w:line="360" w:lineRule="auto"/>
      <w:outlineLvl w:val="2"/>
    </w:pPr>
    <w:rPr>
      <w:rFonts w:ascii="宋体" w:cs="宋体"/>
    </w:rPr>
  </w:style>
  <w:style w:type="paragraph" w:styleId="7">
    <w:name w:val="heading 4"/>
    <w:basedOn w:val="1"/>
    <w:next w:val="5"/>
    <w:qFormat/>
    <w:uiPriority w:val="0"/>
    <w:pPr>
      <w:autoSpaceDE w:val="0"/>
      <w:autoSpaceDN w:val="0"/>
      <w:adjustRightInd w:val="0"/>
      <w:snapToGrid w:val="0"/>
      <w:spacing w:line="360" w:lineRule="auto"/>
      <w:outlineLvl w:val="3"/>
    </w:pPr>
    <w:rPr>
      <w:rFonts w:ascii="宋体" w:hAnsi="Arial" w:cs="宋体"/>
      <w:color w:val="000000"/>
    </w:rPr>
  </w:style>
  <w:style w:type="paragraph" w:styleId="8">
    <w:name w:val="heading 5"/>
    <w:basedOn w:val="1"/>
    <w:next w:val="5"/>
    <w:qFormat/>
    <w:uiPriority w:val="0"/>
    <w:pPr>
      <w:keepNext/>
      <w:autoSpaceDE w:val="0"/>
      <w:autoSpaceDN w:val="0"/>
      <w:adjustRightInd w:val="0"/>
      <w:snapToGrid w:val="0"/>
      <w:spacing w:before="280" w:after="290" w:line="374" w:lineRule="auto"/>
      <w:outlineLvl w:val="4"/>
    </w:pPr>
    <w:rPr>
      <w:rFonts w:ascii="宋体" w:cs="宋体"/>
      <w:b/>
      <w:color w:val="000000"/>
      <w:sz w:val="28"/>
    </w:rPr>
  </w:style>
  <w:style w:type="paragraph" w:styleId="9">
    <w:name w:val="heading 6"/>
    <w:basedOn w:val="1"/>
    <w:next w:val="10"/>
    <w:qFormat/>
    <w:uiPriority w:val="99"/>
    <w:pPr>
      <w:keepNext/>
      <w:autoSpaceDE w:val="0"/>
      <w:autoSpaceDN w:val="0"/>
      <w:adjustRightInd w:val="0"/>
      <w:snapToGrid w:val="0"/>
      <w:spacing w:before="240" w:after="64" w:line="319" w:lineRule="auto"/>
      <w:outlineLvl w:val="5"/>
    </w:pPr>
    <w:rPr>
      <w:rFonts w:ascii="Arial" w:hAnsi="Arial" w:eastAsia="黑体"/>
      <w:b/>
      <w:color w:val="000000"/>
      <w:sz w:val="24"/>
    </w:rPr>
  </w:style>
  <w:style w:type="paragraph" w:styleId="11">
    <w:name w:val="heading 7"/>
    <w:basedOn w:val="1"/>
    <w:next w:val="10"/>
    <w:qFormat/>
    <w:uiPriority w:val="0"/>
    <w:pPr>
      <w:keepNext/>
      <w:autoSpaceDE w:val="0"/>
      <w:autoSpaceDN w:val="0"/>
      <w:adjustRightInd w:val="0"/>
      <w:snapToGrid w:val="0"/>
      <w:spacing w:before="240" w:after="64" w:line="319" w:lineRule="auto"/>
      <w:outlineLvl w:val="6"/>
    </w:pPr>
    <w:rPr>
      <w:rFonts w:ascii="宋体"/>
      <w:b/>
      <w:color w:val="000000"/>
      <w:sz w:val="24"/>
    </w:rPr>
  </w:style>
  <w:style w:type="paragraph" w:styleId="12">
    <w:name w:val="heading 8"/>
    <w:basedOn w:val="1"/>
    <w:next w:val="10"/>
    <w:qFormat/>
    <w:uiPriority w:val="99"/>
    <w:pPr>
      <w:keepNext/>
      <w:autoSpaceDE w:val="0"/>
      <w:autoSpaceDN w:val="0"/>
      <w:adjustRightInd w:val="0"/>
      <w:snapToGrid w:val="0"/>
      <w:spacing w:before="240" w:after="64" w:line="319" w:lineRule="auto"/>
      <w:outlineLvl w:val="7"/>
    </w:pPr>
    <w:rPr>
      <w:rFonts w:ascii="Arial" w:hAnsi="Arial" w:eastAsia="黑体"/>
      <w:color w:val="000000"/>
      <w:sz w:val="24"/>
    </w:rPr>
  </w:style>
  <w:style w:type="paragraph" w:styleId="13">
    <w:name w:val="heading 9"/>
    <w:basedOn w:val="1"/>
    <w:next w:val="10"/>
    <w:qFormat/>
    <w:uiPriority w:val="99"/>
    <w:pPr>
      <w:keepNext/>
      <w:autoSpaceDE w:val="0"/>
      <w:autoSpaceDN w:val="0"/>
      <w:adjustRightInd w:val="0"/>
      <w:snapToGrid w:val="0"/>
      <w:spacing w:before="240" w:after="64" w:line="319" w:lineRule="auto"/>
      <w:outlineLvl w:val="8"/>
    </w:pPr>
    <w:rPr>
      <w:rFonts w:ascii="Arial" w:hAnsi="Arial" w:eastAsia="黑体"/>
      <w:color w:val="000000"/>
    </w:rPr>
  </w:style>
  <w:style w:type="character" w:default="1" w:styleId="48">
    <w:name w:val="Default Paragraph Font"/>
    <w:semiHidden/>
    <w:unhideWhenUsed/>
    <w:uiPriority w:val="1"/>
  </w:style>
  <w:style w:type="table" w:default="1" w:styleId="54">
    <w:name w:val="Normal Table"/>
    <w:semiHidden/>
    <w:unhideWhenUsed/>
    <w:qFormat/>
    <w:uiPriority w:val="99"/>
    <w:tblPr>
      <w:tblLayout w:type="fixed"/>
      <w:tblCellMar>
        <w:top w:w="0" w:type="dxa"/>
        <w:left w:w="108" w:type="dxa"/>
        <w:bottom w:w="0" w:type="dxa"/>
        <w:right w:w="108" w:type="dxa"/>
      </w:tblCellMar>
    </w:tblPr>
  </w:style>
  <w:style w:type="paragraph" w:customStyle="1" w:styleId="5">
    <w:name w:val="0正文"/>
    <w:basedOn w:val="6"/>
    <w:link w:val="149"/>
    <w:qFormat/>
    <w:uiPriority w:val="0"/>
    <w:pPr>
      <w:adjustRightInd w:val="0"/>
      <w:spacing w:line="360" w:lineRule="auto"/>
      <w:ind w:firstLine="480" w:firstLineChars="200"/>
      <w:textAlignment w:val="baseline"/>
    </w:pPr>
    <w:rPr>
      <w:rFonts w:ascii="Verdana" w:hAnsi="Verdana" w:eastAsia="宋体"/>
      <w:spacing w:val="0"/>
      <w:kern w:val="0"/>
      <w:sz w:val="24"/>
      <w:szCs w:val="24"/>
    </w:rPr>
  </w:style>
  <w:style w:type="paragraph" w:customStyle="1" w:styleId="6">
    <w:name w:val="正文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styleId="10">
    <w:name w:val="Normal Indent"/>
    <w:basedOn w:val="1"/>
    <w:link w:val="58"/>
    <w:qFormat/>
    <w:uiPriority w:val="0"/>
    <w:pPr>
      <w:ind w:firstLine="420"/>
    </w:pPr>
    <w:rPr>
      <w:rFonts w:ascii="Times New Roman" w:hAnsi="Times New Roman"/>
      <w:kern w:val="0"/>
      <w:szCs w:val="20"/>
    </w:rPr>
  </w:style>
  <w:style w:type="paragraph" w:styleId="14">
    <w:name w:val="annotation subject"/>
    <w:basedOn w:val="15"/>
    <w:next w:val="15"/>
    <w:link w:val="60"/>
    <w:qFormat/>
    <w:uiPriority w:val="99"/>
    <w:pPr>
      <w:widowControl/>
    </w:pPr>
    <w:rPr>
      <w:b/>
      <w:bCs/>
    </w:rPr>
  </w:style>
  <w:style w:type="paragraph" w:styleId="15">
    <w:name w:val="annotation text"/>
    <w:basedOn w:val="1"/>
    <w:link w:val="56"/>
    <w:qFormat/>
    <w:uiPriority w:val="0"/>
    <w:rPr>
      <w:rFonts w:ascii="Times New Roman" w:hAnsi="Times New Roman"/>
      <w:szCs w:val="24"/>
    </w:rPr>
  </w:style>
  <w:style w:type="paragraph" w:styleId="16">
    <w:name w:val="toc 7"/>
    <w:basedOn w:val="1"/>
    <w:next w:val="1"/>
    <w:unhideWhenUsed/>
    <w:qFormat/>
    <w:uiPriority w:val="39"/>
    <w:pPr>
      <w:ind w:left="2520" w:leftChars="1200"/>
    </w:pPr>
  </w:style>
  <w:style w:type="paragraph" w:styleId="17">
    <w:name w:val="Body Text First Indent"/>
    <w:basedOn w:val="18"/>
    <w:link w:val="63"/>
    <w:qFormat/>
    <w:uiPriority w:val="0"/>
    <w:pPr>
      <w:ind w:firstLine="420" w:firstLineChars="100"/>
    </w:pPr>
  </w:style>
  <w:style w:type="paragraph" w:styleId="18">
    <w:name w:val="Body Text"/>
    <w:basedOn w:val="1"/>
    <w:link w:val="64"/>
    <w:qFormat/>
    <w:uiPriority w:val="0"/>
    <w:pPr>
      <w:spacing w:after="120"/>
    </w:pPr>
    <w:rPr>
      <w:rFonts w:ascii="Tahoma" w:hAnsi="Tahoma"/>
      <w:szCs w:val="20"/>
    </w:rPr>
  </w:style>
  <w:style w:type="paragraph" w:styleId="19">
    <w:name w:val="caption"/>
    <w:basedOn w:val="20"/>
    <w:next w:val="20"/>
    <w:link w:val="160"/>
    <w:qFormat/>
    <w:uiPriority w:val="0"/>
    <w:pPr>
      <w:adjustRightInd w:val="0"/>
      <w:spacing w:line="360" w:lineRule="auto"/>
      <w:ind w:firstLine="200" w:firstLineChars="200"/>
      <w:textAlignment w:val="baseline"/>
    </w:pPr>
    <w:rPr>
      <w:rFonts w:ascii="Arial" w:hAnsi="Arial" w:eastAsia="黑体"/>
      <w:kern w:val="0"/>
      <w:sz w:val="20"/>
      <w:szCs w:val="20"/>
    </w:rPr>
  </w:style>
  <w:style w:type="paragraph" w:customStyle="1" w:styleId="20">
    <w:name w:val="正文_0"/>
    <w:qFormat/>
    <w:uiPriority w:val="0"/>
    <w:pPr>
      <w:widowControl w:val="0"/>
      <w:jc w:val="both"/>
    </w:pPr>
    <w:rPr>
      <w:rFonts w:ascii="Calibri" w:hAnsi="Calibri" w:eastAsia="宋体" w:cs="Times New Roman"/>
      <w:kern w:val="2"/>
      <w:sz w:val="21"/>
      <w:szCs w:val="22"/>
      <w:lang w:val="en-US" w:eastAsia="zh-CN" w:bidi="ar-SA"/>
    </w:rPr>
  </w:style>
  <w:style w:type="paragraph" w:styleId="21">
    <w:name w:val="Document Map"/>
    <w:basedOn w:val="1"/>
    <w:link w:val="59"/>
    <w:qFormat/>
    <w:uiPriority w:val="0"/>
    <w:rPr>
      <w:rFonts w:ascii="宋体" w:hAnsi="Tahoma"/>
      <w:sz w:val="18"/>
      <w:szCs w:val="18"/>
    </w:rPr>
  </w:style>
  <w:style w:type="paragraph" w:styleId="22">
    <w:name w:val="Body Text 3"/>
    <w:basedOn w:val="1"/>
    <w:qFormat/>
    <w:uiPriority w:val="0"/>
    <w:pPr>
      <w:spacing w:after="120"/>
    </w:pPr>
    <w:rPr>
      <w:sz w:val="16"/>
      <w:szCs w:val="16"/>
    </w:rPr>
  </w:style>
  <w:style w:type="paragraph" w:styleId="23">
    <w:name w:val="Body Text Indent"/>
    <w:basedOn w:val="1"/>
    <w:qFormat/>
    <w:uiPriority w:val="0"/>
    <w:pPr>
      <w:spacing w:after="120"/>
      <w:ind w:left="420" w:leftChars="200"/>
    </w:pPr>
  </w:style>
  <w:style w:type="paragraph" w:styleId="24">
    <w:name w:val="List Continue"/>
    <w:basedOn w:val="20"/>
    <w:qFormat/>
    <w:uiPriority w:val="0"/>
    <w:pPr>
      <w:adjustRightInd w:val="0"/>
      <w:spacing w:after="120" w:line="360" w:lineRule="auto"/>
      <w:ind w:left="420" w:leftChars="200" w:firstLine="200" w:firstLineChars="200"/>
      <w:textAlignment w:val="baseline"/>
    </w:pPr>
    <w:rPr>
      <w:rFonts w:ascii="Verdana" w:hAnsi="Verdana"/>
      <w:sz w:val="24"/>
      <w:szCs w:val="20"/>
    </w:rPr>
  </w:style>
  <w:style w:type="paragraph" w:styleId="25">
    <w:name w:val="toc 5"/>
    <w:basedOn w:val="1"/>
    <w:next w:val="1"/>
    <w:unhideWhenUsed/>
    <w:qFormat/>
    <w:uiPriority w:val="39"/>
    <w:pPr>
      <w:ind w:left="1680" w:leftChars="800"/>
    </w:pPr>
  </w:style>
  <w:style w:type="paragraph" w:styleId="26">
    <w:name w:val="toc 3"/>
    <w:basedOn w:val="1"/>
    <w:next w:val="1"/>
    <w:qFormat/>
    <w:uiPriority w:val="39"/>
    <w:pPr>
      <w:ind w:left="840" w:leftChars="400"/>
    </w:pPr>
  </w:style>
  <w:style w:type="paragraph" w:styleId="27">
    <w:name w:val="Plain Text"/>
    <w:basedOn w:val="1"/>
    <w:link w:val="62"/>
    <w:qFormat/>
    <w:uiPriority w:val="0"/>
    <w:rPr>
      <w:rFonts w:ascii="宋体" w:hAnsi="Courier New"/>
      <w:kern w:val="0"/>
      <w:szCs w:val="21"/>
    </w:rPr>
  </w:style>
  <w:style w:type="paragraph" w:styleId="28">
    <w:name w:val="toc 8"/>
    <w:basedOn w:val="1"/>
    <w:next w:val="1"/>
    <w:unhideWhenUsed/>
    <w:qFormat/>
    <w:uiPriority w:val="39"/>
    <w:pPr>
      <w:ind w:left="2940" w:leftChars="1400"/>
    </w:pPr>
  </w:style>
  <w:style w:type="paragraph" w:styleId="29">
    <w:name w:val="Date"/>
    <w:basedOn w:val="1"/>
    <w:next w:val="1"/>
    <w:qFormat/>
    <w:uiPriority w:val="0"/>
    <w:rPr>
      <w:rFonts w:ascii="楷体_GB2312" w:eastAsia="楷体_GB2312"/>
      <w:sz w:val="28"/>
    </w:rPr>
  </w:style>
  <w:style w:type="paragraph" w:styleId="30">
    <w:name w:val="Body Text Indent 2"/>
    <w:basedOn w:val="1"/>
    <w:qFormat/>
    <w:uiPriority w:val="0"/>
    <w:pPr>
      <w:spacing w:after="120" w:line="480" w:lineRule="auto"/>
      <w:ind w:left="420" w:leftChars="200"/>
    </w:pPr>
  </w:style>
  <w:style w:type="paragraph" w:styleId="31">
    <w:name w:val="Balloon Text"/>
    <w:basedOn w:val="1"/>
    <w:link w:val="68"/>
    <w:qFormat/>
    <w:uiPriority w:val="99"/>
    <w:rPr>
      <w:rFonts w:ascii="Times New Roman" w:hAnsi="Times New Roman"/>
      <w:kern w:val="0"/>
      <w:sz w:val="18"/>
      <w:szCs w:val="18"/>
    </w:rPr>
  </w:style>
  <w:style w:type="paragraph" w:styleId="32">
    <w:name w:val="footer"/>
    <w:basedOn w:val="1"/>
    <w:link w:val="243"/>
    <w:qFormat/>
    <w:uiPriority w:val="99"/>
    <w:pPr>
      <w:tabs>
        <w:tab w:val="center" w:pos="4153"/>
        <w:tab w:val="right" w:pos="8306"/>
      </w:tabs>
      <w:snapToGrid w:val="0"/>
    </w:pPr>
    <w:rPr>
      <w:sz w:val="18"/>
    </w:rPr>
  </w:style>
  <w:style w:type="paragraph" w:styleId="33">
    <w:name w:val="Body Text First Indent 2"/>
    <w:basedOn w:val="34"/>
    <w:link w:val="165"/>
    <w:unhideWhenUsed/>
    <w:qFormat/>
    <w:uiPriority w:val="99"/>
    <w:pPr>
      <w:ind w:firstLine="420" w:firstLineChars="200"/>
    </w:pPr>
  </w:style>
  <w:style w:type="paragraph" w:customStyle="1" w:styleId="34">
    <w:name w:val="正文文本缩进_0"/>
    <w:basedOn w:val="20"/>
    <w:link w:val="164"/>
    <w:qFormat/>
    <w:uiPriority w:val="0"/>
    <w:pPr>
      <w:spacing w:after="120"/>
      <w:ind w:left="420" w:leftChars="200"/>
    </w:pPr>
    <w:rPr>
      <w:kern w:val="0"/>
      <w:sz w:val="20"/>
      <w:szCs w:val="20"/>
    </w:rPr>
  </w:style>
  <w:style w:type="paragraph" w:styleId="35">
    <w:name w:val="header"/>
    <w:basedOn w:val="1"/>
    <w:link w:val="246"/>
    <w:qFormat/>
    <w:uiPriority w:val="99"/>
    <w:pPr>
      <w:pBdr>
        <w:bottom w:val="single" w:color="auto" w:sz="6" w:space="1"/>
      </w:pBdr>
      <w:tabs>
        <w:tab w:val="center" w:pos="4153"/>
        <w:tab w:val="right" w:pos="8306"/>
      </w:tabs>
      <w:snapToGrid w:val="0"/>
      <w:jc w:val="center"/>
    </w:pPr>
    <w:rPr>
      <w:sz w:val="18"/>
    </w:rPr>
  </w:style>
  <w:style w:type="paragraph" w:styleId="36">
    <w:name w:val="toc 1"/>
    <w:basedOn w:val="1"/>
    <w:next w:val="1"/>
    <w:qFormat/>
    <w:uiPriority w:val="39"/>
    <w:pPr>
      <w:spacing w:line="360" w:lineRule="auto"/>
      <w:ind w:left="824" w:hanging="824"/>
    </w:pPr>
    <w:rPr>
      <w:rFonts w:ascii="宋体"/>
    </w:rPr>
  </w:style>
  <w:style w:type="paragraph" w:styleId="37">
    <w:name w:val="toc 4"/>
    <w:basedOn w:val="1"/>
    <w:next w:val="1"/>
    <w:unhideWhenUsed/>
    <w:qFormat/>
    <w:uiPriority w:val="39"/>
    <w:pPr>
      <w:ind w:left="1260" w:leftChars="600"/>
    </w:pPr>
  </w:style>
  <w:style w:type="paragraph" w:styleId="38">
    <w:name w:val="List Number 5"/>
    <w:basedOn w:val="1"/>
    <w:qFormat/>
    <w:uiPriority w:val="0"/>
    <w:pPr>
      <w:numPr>
        <w:ilvl w:val="0"/>
        <w:numId w:val="1"/>
      </w:numPr>
      <w:spacing w:line="360" w:lineRule="auto"/>
      <w:contextualSpacing/>
    </w:pPr>
    <w:rPr>
      <w:rFonts w:ascii="Times New Roman" w:hAnsi="Times New Roman"/>
      <w:sz w:val="24"/>
      <w:szCs w:val="24"/>
    </w:rPr>
  </w:style>
  <w:style w:type="paragraph" w:styleId="39">
    <w:name w:val="toc 6"/>
    <w:basedOn w:val="1"/>
    <w:next w:val="1"/>
    <w:unhideWhenUsed/>
    <w:qFormat/>
    <w:uiPriority w:val="39"/>
    <w:pPr>
      <w:ind w:left="2100" w:leftChars="1000"/>
    </w:pPr>
  </w:style>
  <w:style w:type="paragraph" w:styleId="40">
    <w:name w:val="Body Text Indent 3"/>
    <w:basedOn w:val="1"/>
    <w:qFormat/>
    <w:uiPriority w:val="0"/>
    <w:pPr>
      <w:spacing w:after="120"/>
      <w:ind w:left="420" w:leftChars="200"/>
    </w:pPr>
    <w:rPr>
      <w:sz w:val="16"/>
      <w:szCs w:val="16"/>
    </w:rPr>
  </w:style>
  <w:style w:type="paragraph" w:styleId="41">
    <w:name w:val="toc 2"/>
    <w:basedOn w:val="1"/>
    <w:next w:val="1"/>
    <w:qFormat/>
    <w:uiPriority w:val="39"/>
    <w:pPr>
      <w:tabs>
        <w:tab w:val="right" w:leader="dot" w:pos="9402"/>
      </w:tabs>
      <w:spacing w:line="360" w:lineRule="auto"/>
      <w:ind w:left="993" w:leftChars="202" w:hanging="569" w:hangingChars="237"/>
    </w:pPr>
  </w:style>
  <w:style w:type="paragraph" w:styleId="42">
    <w:name w:val="toc 9"/>
    <w:basedOn w:val="1"/>
    <w:next w:val="1"/>
    <w:unhideWhenUsed/>
    <w:qFormat/>
    <w:uiPriority w:val="39"/>
    <w:pPr>
      <w:ind w:left="3360" w:leftChars="1600"/>
    </w:pPr>
  </w:style>
  <w:style w:type="paragraph" w:styleId="43">
    <w:name w:val="Body Text 2"/>
    <w:basedOn w:val="1"/>
    <w:qFormat/>
    <w:uiPriority w:val="0"/>
    <w:pPr>
      <w:spacing w:after="120" w:line="480" w:lineRule="auto"/>
    </w:pPr>
  </w:style>
  <w:style w:type="paragraph" w:styleId="44">
    <w:name w:val="HTML Preformatted"/>
    <w:basedOn w:val="1"/>
    <w:qFormat/>
    <w:uiPriority w:val="0"/>
    <w:rPr>
      <w:rFonts w:ascii="黑体" w:hAnsi="Courier New" w:eastAsia="黑体" w:cs="Courier New"/>
      <w:sz w:val="20"/>
      <w:szCs w:val="21"/>
    </w:rPr>
  </w:style>
  <w:style w:type="paragraph" w:styleId="45">
    <w:name w:val="Normal (Web)"/>
    <w:basedOn w:val="1"/>
    <w:qFormat/>
    <w:uiPriority w:val="99"/>
    <w:pPr>
      <w:spacing w:before="100" w:beforeAutospacing="1" w:after="100" w:afterAutospacing="1"/>
    </w:pPr>
    <w:rPr>
      <w:rFonts w:ascii="宋体" w:hAnsi="宋体" w:cs="宋体"/>
      <w:sz w:val="24"/>
      <w:szCs w:val="24"/>
    </w:rPr>
  </w:style>
  <w:style w:type="paragraph" w:styleId="46">
    <w:name w:val="Title"/>
    <w:basedOn w:val="47"/>
    <w:link w:val="143"/>
    <w:qFormat/>
    <w:uiPriority w:val="0"/>
    <w:pPr>
      <w:pageBreakBefore/>
      <w:tabs>
        <w:tab w:val="left" w:pos="600"/>
        <w:tab w:val="left" w:pos="960"/>
        <w:tab w:val="left" w:pos="1080"/>
      </w:tabs>
      <w:overflowPunct w:val="0"/>
      <w:spacing w:before="240" w:after="60" w:line="360" w:lineRule="auto"/>
      <w:ind w:left="839" w:right="-357" w:firstLine="480"/>
      <w:jc w:val="center"/>
      <w:outlineLvl w:val="0"/>
    </w:pPr>
    <w:rPr>
      <w:rFonts w:ascii="Arial" w:hAnsi="Arial" w:eastAsia="宋体"/>
      <w:b/>
      <w:spacing w:val="0"/>
      <w:kern w:val="0"/>
      <w:sz w:val="36"/>
      <w:szCs w:val="24"/>
    </w:rPr>
  </w:style>
  <w:style w:type="paragraph" w:customStyle="1" w:styleId="47">
    <w:name w:val="正文_0_1"/>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character" w:styleId="49">
    <w:name w:val="Strong"/>
    <w:qFormat/>
    <w:uiPriority w:val="0"/>
    <w:rPr>
      <w:b/>
      <w:bCs/>
    </w:rPr>
  </w:style>
  <w:style w:type="character" w:styleId="50">
    <w:name w:val="page number"/>
    <w:basedOn w:val="48"/>
    <w:qFormat/>
    <w:uiPriority w:val="0"/>
  </w:style>
  <w:style w:type="character" w:styleId="51">
    <w:name w:val="FollowedHyperlink"/>
    <w:qFormat/>
    <w:uiPriority w:val="0"/>
    <w:rPr>
      <w:color w:val="800080"/>
      <w:u w:val="single"/>
    </w:rPr>
  </w:style>
  <w:style w:type="character" w:styleId="52">
    <w:name w:val="Hyperlink"/>
    <w:qFormat/>
    <w:uiPriority w:val="99"/>
    <w:rPr>
      <w:color w:val="0000FF"/>
      <w:u w:val="single"/>
    </w:rPr>
  </w:style>
  <w:style w:type="character" w:styleId="53">
    <w:name w:val="annotation reference"/>
    <w:qFormat/>
    <w:uiPriority w:val="0"/>
    <w:rPr>
      <w:rFonts w:ascii="Tahoma" w:hAnsi="Tahoma"/>
      <w:kern w:val="2"/>
      <w:sz w:val="21"/>
      <w:szCs w:val="21"/>
    </w:rPr>
  </w:style>
  <w:style w:type="table" w:styleId="55">
    <w:name w:val="Table Grid"/>
    <w:basedOn w:val="54"/>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6">
    <w:name w:val="批注文字 字符"/>
    <w:link w:val="15"/>
    <w:qFormat/>
    <w:uiPriority w:val="0"/>
    <w:rPr>
      <w:kern w:val="2"/>
      <w:sz w:val="21"/>
      <w:szCs w:val="24"/>
    </w:rPr>
  </w:style>
  <w:style w:type="character" w:customStyle="1" w:styleId="57">
    <w:name w:val="ll1"/>
    <w:qFormat/>
    <w:uiPriority w:val="0"/>
    <w:rPr>
      <w:spacing w:val="31680"/>
    </w:rPr>
  </w:style>
  <w:style w:type="character" w:customStyle="1" w:styleId="58">
    <w:name w:val="正文缩进 字符"/>
    <w:link w:val="10"/>
    <w:qFormat/>
    <w:uiPriority w:val="0"/>
    <w:rPr>
      <w:rFonts w:eastAsia="宋体"/>
      <w:sz w:val="21"/>
      <w:lang w:val="en-US" w:eastAsia="zh-CN" w:bidi="ar-SA"/>
    </w:rPr>
  </w:style>
  <w:style w:type="character" w:customStyle="1" w:styleId="59">
    <w:name w:val="文档结构图 字符"/>
    <w:link w:val="21"/>
    <w:qFormat/>
    <w:uiPriority w:val="0"/>
    <w:rPr>
      <w:rFonts w:ascii="宋体" w:hAnsi="Tahoma"/>
      <w:kern w:val="2"/>
      <w:sz w:val="18"/>
      <w:szCs w:val="18"/>
    </w:rPr>
  </w:style>
  <w:style w:type="character" w:customStyle="1" w:styleId="60">
    <w:name w:val="批注主题 字符"/>
    <w:link w:val="14"/>
    <w:qFormat/>
    <w:uiPriority w:val="99"/>
    <w:rPr>
      <w:b/>
      <w:bCs/>
      <w:kern w:val="2"/>
      <w:sz w:val="21"/>
      <w:szCs w:val="24"/>
    </w:rPr>
  </w:style>
  <w:style w:type="character" w:customStyle="1" w:styleId="61">
    <w:name w:val="wf1"/>
    <w:qFormat/>
    <w:uiPriority w:val="0"/>
    <w:rPr>
      <w:rFonts w:hint="eastAsia" w:ascii="宋体" w:hAnsi="宋体" w:eastAsia="宋体"/>
      <w:sz w:val="24"/>
      <w:szCs w:val="24"/>
    </w:rPr>
  </w:style>
  <w:style w:type="character" w:customStyle="1" w:styleId="62">
    <w:name w:val="纯文本 字符"/>
    <w:link w:val="27"/>
    <w:qFormat/>
    <w:locked/>
    <w:uiPriority w:val="0"/>
    <w:rPr>
      <w:rFonts w:ascii="宋体" w:hAnsi="Courier New" w:cs="Courier New"/>
      <w:sz w:val="21"/>
      <w:szCs w:val="21"/>
    </w:rPr>
  </w:style>
  <w:style w:type="character" w:customStyle="1" w:styleId="63">
    <w:name w:val="正文文本首行缩进 字符"/>
    <w:basedOn w:val="64"/>
    <w:link w:val="17"/>
    <w:qFormat/>
    <w:uiPriority w:val="0"/>
    <w:rPr>
      <w:rFonts w:ascii="Tahoma" w:hAnsi="Tahoma"/>
      <w:kern w:val="2"/>
      <w:sz w:val="21"/>
    </w:rPr>
  </w:style>
  <w:style w:type="character" w:customStyle="1" w:styleId="64">
    <w:name w:val="正文文本 字符"/>
    <w:link w:val="18"/>
    <w:qFormat/>
    <w:uiPriority w:val="0"/>
    <w:rPr>
      <w:rFonts w:ascii="Tahoma" w:hAnsi="Tahoma"/>
      <w:kern w:val="2"/>
      <w:sz w:val="21"/>
    </w:rPr>
  </w:style>
  <w:style w:type="character" w:customStyle="1" w:styleId="65">
    <w:name w:val="p141"/>
    <w:qFormat/>
    <w:uiPriority w:val="0"/>
    <w:rPr>
      <w:sz w:val="21"/>
      <w:szCs w:val="21"/>
    </w:rPr>
  </w:style>
  <w:style w:type="character" w:customStyle="1" w:styleId="66">
    <w:name w:val="批注文字 Char1"/>
    <w:qFormat/>
    <w:uiPriority w:val="0"/>
    <w:rPr>
      <w:rFonts w:ascii="Tahoma" w:hAnsi="Tahoma"/>
      <w:kern w:val="2"/>
      <w:sz w:val="21"/>
    </w:rPr>
  </w:style>
  <w:style w:type="character" w:customStyle="1" w:styleId="67">
    <w:name w:val="正文（首行缩进两字） Char"/>
    <w:qFormat/>
    <w:uiPriority w:val="0"/>
    <w:rPr>
      <w:rFonts w:eastAsia="宋体"/>
      <w:sz w:val="21"/>
      <w:lang w:val="en-US" w:eastAsia="zh-CN" w:bidi="ar-SA"/>
    </w:rPr>
  </w:style>
  <w:style w:type="character" w:customStyle="1" w:styleId="68">
    <w:name w:val="批注框文本 字符"/>
    <w:link w:val="31"/>
    <w:qFormat/>
    <w:uiPriority w:val="99"/>
    <w:rPr>
      <w:rFonts w:eastAsia="宋体"/>
      <w:sz w:val="18"/>
      <w:szCs w:val="18"/>
      <w:lang w:val="en-US" w:eastAsia="zh-CN" w:bidi="ar-SA"/>
    </w:rPr>
  </w:style>
  <w:style w:type="paragraph" w:customStyle="1" w:styleId="69">
    <w:name w:val="xl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70">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71">
    <w:name w:val="xl40"/>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72">
    <w:name w:val="xl26"/>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73">
    <w:name w:val="TOC 标题1"/>
    <w:basedOn w:val="2"/>
    <w:next w:val="1"/>
    <w:qFormat/>
    <w:uiPriority w:val="39"/>
    <w:pPr>
      <w:spacing w:before="480" w:after="0" w:line="276" w:lineRule="auto"/>
      <w:outlineLvl w:val="9"/>
    </w:pPr>
    <w:rPr>
      <w:rFonts w:ascii="Cambria" w:hAnsi="Cambria"/>
      <w:color w:val="365F91"/>
      <w:kern w:val="0"/>
      <w:sz w:val="28"/>
      <w:szCs w:val="28"/>
    </w:rPr>
  </w:style>
  <w:style w:type="paragraph" w:customStyle="1" w:styleId="74">
    <w:name w:val="xl4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sz w:val="36"/>
      <w:szCs w:val="36"/>
    </w:rPr>
  </w:style>
  <w:style w:type="paragraph" w:customStyle="1" w:styleId="75">
    <w:name w:val="Char"/>
    <w:basedOn w:val="1"/>
    <w:qFormat/>
    <w:uiPriority w:val="0"/>
    <w:rPr>
      <w:rFonts w:ascii="Tahoma" w:hAnsi="Tahoma"/>
      <w:sz w:val="24"/>
    </w:rPr>
  </w:style>
  <w:style w:type="paragraph" w:customStyle="1" w:styleId="76">
    <w:name w:val="xl46"/>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77">
    <w:name w:val="p0"/>
    <w:basedOn w:val="1"/>
    <w:qFormat/>
    <w:uiPriority w:val="0"/>
    <w:rPr>
      <w:szCs w:val="21"/>
    </w:rPr>
  </w:style>
  <w:style w:type="paragraph" w:customStyle="1" w:styleId="78">
    <w:name w:val="Char Char1 Char Char Char Char Char Char Char Char Char Char"/>
    <w:basedOn w:val="1"/>
    <w:qFormat/>
    <w:uiPriority w:val="0"/>
    <w:rPr>
      <w:rFonts w:ascii="Tahoma" w:hAnsi="Tahoma"/>
      <w:sz w:val="24"/>
    </w:rPr>
  </w:style>
  <w:style w:type="paragraph" w:customStyle="1" w:styleId="79">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rFonts w:ascii="宋体" w:hAnsi="宋体" w:cs="宋体"/>
      <w:sz w:val="24"/>
      <w:szCs w:val="24"/>
    </w:rPr>
  </w:style>
  <w:style w:type="paragraph" w:customStyle="1" w:styleId="80">
    <w:name w:val="Char11"/>
    <w:basedOn w:val="1"/>
    <w:qFormat/>
    <w:uiPriority w:val="0"/>
    <w:pPr>
      <w:spacing w:after="160" w:line="240" w:lineRule="exact"/>
    </w:pPr>
    <w:rPr>
      <w:rFonts w:ascii="Verdana" w:hAnsi="Verdana"/>
      <w:lang w:eastAsia="en-US"/>
    </w:rPr>
  </w:style>
  <w:style w:type="paragraph" w:customStyle="1" w:styleId="81">
    <w:name w:val="xl3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sz w:val="24"/>
      <w:szCs w:val="24"/>
    </w:rPr>
  </w:style>
  <w:style w:type="paragraph" w:customStyle="1" w:styleId="82">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sz w:val="24"/>
      <w:szCs w:val="24"/>
    </w:rPr>
  </w:style>
  <w:style w:type="paragraph" w:customStyle="1" w:styleId="83">
    <w:name w:val="xl45"/>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b/>
      <w:bCs/>
      <w:sz w:val="36"/>
      <w:szCs w:val="36"/>
    </w:rPr>
  </w:style>
  <w:style w:type="paragraph" w:customStyle="1" w:styleId="84">
    <w:name w:val="xl2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sz w:val="24"/>
      <w:szCs w:val="24"/>
    </w:rPr>
  </w:style>
  <w:style w:type="paragraph" w:customStyle="1" w:styleId="85">
    <w:name w:val="xl42"/>
    <w:basedOn w:val="1"/>
    <w:qFormat/>
    <w:uiPriority w:val="0"/>
    <w:pPr>
      <w:spacing w:before="100" w:beforeAutospacing="1" w:after="100" w:afterAutospacing="1"/>
      <w:textAlignment w:val="top"/>
    </w:pPr>
    <w:rPr>
      <w:rFonts w:ascii="宋体" w:hAnsi="宋体" w:cs="宋体"/>
      <w:sz w:val="24"/>
      <w:szCs w:val="24"/>
    </w:rPr>
  </w:style>
  <w:style w:type="paragraph" w:customStyle="1" w:styleId="86">
    <w:name w:val="修订1"/>
    <w:semiHidden/>
    <w:qFormat/>
    <w:uiPriority w:val="99"/>
    <w:rPr>
      <w:rFonts w:ascii="Times New Roman" w:hAnsi="Times New Roman" w:eastAsia="宋体" w:cs="Times New Roman"/>
      <w:sz w:val="21"/>
      <w:lang w:val="en-US" w:eastAsia="zh-CN" w:bidi="ar-SA"/>
    </w:rPr>
  </w:style>
  <w:style w:type="paragraph" w:customStyle="1" w:styleId="87">
    <w:name w:val="1"/>
    <w:basedOn w:val="1"/>
    <w:next w:val="27"/>
    <w:qFormat/>
    <w:uiPriority w:val="0"/>
    <w:rPr>
      <w:rFonts w:ascii="宋体" w:hAnsi="Courier New"/>
    </w:rPr>
  </w:style>
  <w:style w:type="paragraph" w:customStyle="1" w:styleId="88">
    <w:name w:val="130"/>
    <w:basedOn w:val="1"/>
    <w:qFormat/>
    <w:uiPriority w:val="0"/>
    <w:pPr>
      <w:spacing w:before="100" w:beforeAutospacing="1" w:after="100" w:afterAutospacing="1" w:line="324" w:lineRule="auto"/>
    </w:pPr>
    <w:rPr>
      <w:rFonts w:ascii="宋体" w:hAnsi="宋体"/>
      <w:color w:val="000000"/>
      <w:sz w:val="24"/>
      <w:szCs w:val="24"/>
    </w:rPr>
  </w:style>
  <w:style w:type="paragraph" w:customStyle="1" w:styleId="89">
    <w:name w:val="xl25"/>
    <w:basedOn w:val="1"/>
    <w:qFormat/>
    <w:uiPriority w:val="0"/>
    <w:pPr>
      <w:spacing w:before="100" w:beforeAutospacing="1" w:after="100" w:afterAutospacing="1"/>
      <w:jc w:val="right"/>
    </w:pPr>
    <w:rPr>
      <w:sz w:val="24"/>
      <w:szCs w:val="24"/>
    </w:rPr>
  </w:style>
  <w:style w:type="paragraph" w:customStyle="1" w:styleId="90">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91">
    <w:name w:val="f12"/>
    <w:basedOn w:val="1"/>
    <w:qFormat/>
    <w:uiPriority w:val="0"/>
    <w:pPr>
      <w:spacing w:before="100" w:beforeAutospacing="1" w:after="100" w:afterAutospacing="1"/>
    </w:pPr>
    <w:rPr>
      <w:rFonts w:ascii="_GB2312" w:hAnsi="_GB2312"/>
      <w:color w:val="000000"/>
      <w:szCs w:val="21"/>
    </w:rPr>
  </w:style>
  <w:style w:type="paragraph" w:customStyle="1" w:styleId="92">
    <w:name w:val="xl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93">
    <w:name w:val="f14"/>
    <w:basedOn w:val="1"/>
    <w:qFormat/>
    <w:uiPriority w:val="0"/>
    <w:pPr>
      <w:spacing w:before="100" w:beforeAutospacing="1" w:after="100" w:afterAutospacing="1"/>
    </w:pPr>
    <w:rPr>
      <w:rFonts w:ascii="_GB2312" w:hAnsi="_GB2312"/>
      <w:color w:val="000000"/>
      <w:sz w:val="28"/>
      <w:szCs w:val="28"/>
    </w:rPr>
  </w:style>
  <w:style w:type="paragraph" w:customStyle="1" w:styleId="94">
    <w:name w:val="样式1"/>
    <w:basedOn w:val="3"/>
    <w:qFormat/>
    <w:uiPriority w:val="0"/>
    <w:pPr>
      <w:tabs>
        <w:tab w:val="left" w:pos="420"/>
      </w:tabs>
      <w:ind w:left="420" w:hanging="420"/>
    </w:pPr>
    <w:rPr>
      <w:rFonts w:cs="Times New Roman"/>
      <w:b/>
    </w:rPr>
  </w:style>
  <w:style w:type="paragraph" w:customStyle="1" w:styleId="95">
    <w:name w:val="font6"/>
    <w:basedOn w:val="1"/>
    <w:qFormat/>
    <w:uiPriority w:val="0"/>
    <w:pPr>
      <w:spacing w:before="100" w:beforeAutospacing="1" w:after="100" w:afterAutospacing="1"/>
    </w:pPr>
    <w:rPr>
      <w:sz w:val="24"/>
      <w:szCs w:val="24"/>
    </w:rPr>
  </w:style>
  <w:style w:type="paragraph" w:customStyle="1" w:styleId="96">
    <w:name w:val="Char Char Char Char"/>
    <w:basedOn w:val="1"/>
    <w:qFormat/>
    <w:uiPriority w:val="0"/>
    <w:pPr>
      <w:numPr>
        <w:ilvl w:val="0"/>
        <w:numId w:val="2"/>
      </w:numPr>
      <w:spacing w:after="160" w:line="240" w:lineRule="exact"/>
    </w:pPr>
    <w:rPr>
      <w:rFonts w:ascii="Verdana" w:hAnsi="Verdana"/>
      <w:lang w:eastAsia="en-US"/>
    </w:rPr>
  </w:style>
  <w:style w:type="paragraph" w:customStyle="1" w:styleId="97">
    <w:name w:val="Char Char"/>
    <w:basedOn w:val="1"/>
    <w:qFormat/>
    <w:uiPriority w:val="0"/>
    <w:rPr>
      <w:rFonts w:ascii="Tahoma" w:hAnsi="Tahoma"/>
      <w:sz w:val="24"/>
    </w:rPr>
  </w:style>
  <w:style w:type="paragraph" w:customStyle="1" w:styleId="98">
    <w:name w:val="正文缩近"/>
    <w:basedOn w:val="1"/>
    <w:qFormat/>
    <w:uiPriority w:val="0"/>
    <w:pPr>
      <w:spacing w:line="360" w:lineRule="auto"/>
      <w:ind w:firstLine="200" w:firstLineChars="200"/>
    </w:pPr>
    <w:rPr>
      <w:sz w:val="24"/>
      <w:szCs w:val="24"/>
    </w:rPr>
  </w:style>
  <w:style w:type="paragraph" w:customStyle="1" w:styleId="99">
    <w:name w:val="xl37"/>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sz w:val="24"/>
      <w:szCs w:val="24"/>
    </w:rPr>
  </w:style>
  <w:style w:type="paragraph" w:customStyle="1" w:styleId="100">
    <w:name w:val="f11"/>
    <w:basedOn w:val="1"/>
    <w:qFormat/>
    <w:uiPriority w:val="0"/>
    <w:pPr>
      <w:spacing w:before="100" w:beforeAutospacing="1" w:after="100" w:afterAutospacing="1" w:line="320" w:lineRule="atLeast"/>
    </w:pPr>
    <w:rPr>
      <w:rFonts w:ascii="_GB2312" w:hAnsi="_GB2312"/>
      <w:color w:val="000000"/>
      <w:sz w:val="28"/>
      <w:szCs w:val="28"/>
    </w:rPr>
  </w:style>
  <w:style w:type="paragraph" w:customStyle="1" w:styleId="101">
    <w:name w:val="xl3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sz w:val="24"/>
      <w:szCs w:val="24"/>
    </w:rPr>
  </w:style>
  <w:style w:type="paragraph" w:customStyle="1" w:styleId="102">
    <w:name w:val="Char Char Char Char Char Char1 Char Char Char Char"/>
    <w:basedOn w:val="1"/>
    <w:qFormat/>
    <w:uiPriority w:val="0"/>
    <w:pPr>
      <w:tabs>
        <w:tab w:val="left" w:pos="360"/>
      </w:tabs>
      <w:spacing w:after="160" w:line="240" w:lineRule="exact"/>
    </w:pPr>
    <w:rPr>
      <w:sz w:val="24"/>
      <w:szCs w:val="24"/>
    </w:rPr>
  </w:style>
  <w:style w:type="paragraph" w:customStyle="1" w:styleId="103">
    <w:name w:val="135"/>
    <w:basedOn w:val="1"/>
    <w:qFormat/>
    <w:uiPriority w:val="0"/>
    <w:pPr>
      <w:spacing w:before="100" w:beforeAutospacing="1" w:after="100" w:afterAutospacing="1" w:line="360" w:lineRule="auto"/>
    </w:pPr>
    <w:rPr>
      <w:rFonts w:ascii="宋体" w:hAnsi="宋体"/>
      <w:color w:val="000000"/>
      <w:sz w:val="24"/>
      <w:szCs w:val="24"/>
    </w:rPr>
  </w:style>
  <w:style w:type="paragraph" w:customStyle="1" w:styleId="104">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105">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106">
    <w:name w:val="Char Char Char Char Char Char Char Char Char Char"/>
    <w:basedOn w:val="1"/>
    <w:qFormat/>
    <w:uiPriority w:val="0"/>
    <w:rPr>
      <w:rFonts w:ascii="Tahoma" w:hAnsi="Tahoma"/>
      <w:sz w:val="24"/>
    </w:rPr>
  </w:style>
  <w:style w:type="paragraph" w:customStyle="1" w:styleId="107">
    <w:name w:val="Char1 Char"/>
    <w:basedOn w:val="1"/>
    <w:qFormat/>
    <w:uiPriority w:val="0"/>
    <w:pPr>
      <w:numPr>
        <w:ilvl w:val="0"/>
        <w:numId w:val="3"/>
      </w:numPr>
    </w:pPr>
    <w:rPr>
      <w:sz w:val="24"/>
      <w:szCs w:val="24"/>
    </w:rPr>
  </w:style>
  <w:style w:type="paragraph" w:customStyle="1" w:styleId="108">
    <w:name w:val="font5"/>
    <w:basedOn w:val="1"/>
    <w:qFormat/>
    <w:uiPriority w:val="0"/>
    <w:pPr>
      <w:spacing w:before="100" w:beforeAutospacing="1" w:after="100" w:afterAutospacing="1"/>
    </w:pPr>
    <w:rPr>
      <w:rFonts w:ascii="宋体" w:hAnsi="宋体" w:cs="宋体"/>
      <w:sz w:val="18"/>
      <w:szCs w:val="18"/>
    </w:rPr>
  </w:style>
  <w:style w:type="paragraph" w:customStyle="1" w:styleId="109">
    <w:name w:val="xl24"/>
    <w:basedOn w:val="1"/>
    <w:qFormat/>
    <w:uiPriority w:val="0"/>
    <w:pPr>
      <w:spacing w:before="100" w:beforeAutospacing="1" w:after="100" w:afterAutospacing="1"/>
      <w:jc w:val="center"/>
    </w:pPr>
    <w:rPr>
      <w:rFonts w:ascii="宋体" w:hAnsi="宋体" w:cs="宋体"/>
      <w:sz w:val="24"/>
      <w:szCs w:val="24"/>
    </w:rPr>
  </w:style>
  <w:style w:type="paragraph" w:customStyle="1" w:styleId="110">
    <w:name w:val="f10"/>
    <w:basedOn w:val="1"/>
    <w:qFormat/>
    <w:uiPriority w:val="0"/>
    <w:pPr>
      <w:spacing w:before="100" w:beforeAutospacing="1" w:after="100" w:afterAutospacing="1" w:line="260" w:lineRule="atLeast"/>
    </w:pPr>
    <w:rPr>
      <w:rFonts w:ascii="_GB2312" w:hAnsi="_GB2312"/>
      <w:color w:val="000000"/>
      <w:sz w:val="18"/>
      <w:szCs w:val="18"/>
    </w:rPr>
  </w:style>
  <w:style w:type="paragraph" w:customStyle="1" w:styleId="111">
    <w:name w:val="图"/>
    <w:basedOn w:val="1"/>
    <w:qFormat/>
    <w:uiPriority w:val="0"/>
    <w:pPr>
      <w:keepNext/>
      <w:adjustRightInd w:val="0"/>
      <w:spacing w:before="60" w:after="60" w:line="300" w:lineRule="auto"/>
      <w:jc w:val="center"/>
      <w:textAlignment w:val="center"/>
    </w:pPr>
    <w:rPr>
      <w:snapToGrid w:val="0"/>
      <w:spacing w:val="20"/>
      <w:sz w:val="24"/>
    </w:rPr>
  </w:style>
  <w:style w:type="paragraph" w:customStyle="1" w:styleId="112">
    <w:name w:val="xl44"/>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113">
    <w:name w:val="xl31"/>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rFonts w:ascii="宋体" w:hAnsi="宋体" w:cs="宋体"/>
      <w:sz w:val="24"/>
      <w:szCs w:val="24"/>
    </w:rPr>
  </w:style>
  <w:style w:type="paragraph" w:customStyle="1" w:styleId="114">
    <w:name w:val="Char1"/>
    <w:basedOn w:val="1"/>
    <w:qFormat/>
    <w:uiPriority w:val="0"/>
  </w:style>
  <w:style w:type="paragraph" w:customStyle="1" w:styleId="115">
    <w:name w:val="font8"/>
    <w:basedOn w:val="1"/>
    <w:qFormat/>
    <w:uiPriority w:val="0"/>
    <w:pPr>
      <w:spacing w:before="100" w:beforeAutospacing="1" w:after="100" w:afterAutospacing="1"/>
    </w:pPr>
    <w:rPr>
      <w:b/>
      <w:bCs/>
      <w:sz w:val="36"/>
      <w:szCs w:val="36"/>
    </w:rPr>
  </w:style>
  <w:style w:type="paragraph" w:customStyle="1" w:styleId="116">
    <w:name w:val="f12pt1"/>
    <w:basedOn w:val="1"/>
    <w:qFormat/>
    <w:uiPriority w:val="0"/>
    <w:pPr>
      <w:spacing w:before="100" w:beforeAutospacing="1" w:after="100" w:afterAutospacing="1"/>
    </w:pPr>
    <w:rPr>
      <w:rFonts w:ascii="_GB2312" w:hAnsi="_GB2312"/>
      <w:color w:val="000000"/>
      <w:szCs w:val="21"/>
    </w:rPr>
  </w:style>
  <w:style w:type="paragraph" w:customStyle="1" w:styleId="117">
    <w:name w:val="font0"/>
    <w:basedOn w:val="1"/>
    <w:qFormat/>
    <w:uiPriority w:val="0"/>
    <w:pPr>
      <w:spacing w:before="100" w:beforeAutospacing="1" w:after="100" w:afterAutospacing="1"/>
    </w:pPr>
    <w:rPr>
      <w:rFonts w:ascii="宋体" w:hAnsi="宋体" w:cs="宋体"/>
      <w:sz w:val="24"/>
      <w:szCs w:val="24"/>
    </w:rPr>
  </w:style>
  <w:style w:type="paragraph" w:customStyle="1" w:styleId="118">
    <w:name w:val="Char Char Char Char Char1 Char"/>
    <w:basedOn w:val="1"/>
    <w:qFormat/>
    <w:uiPriority w:val="0"/>
    <w:rPr>
      <w:rFonts w:ascii="Tahoma" w:hAnsi="Tahoma"/>
      <w:sz w:val="24"/>
    </w:rPr>
  </w:style>
  <w:style w:type="paragraph" w:customStyle="1" w:styleId="119">
    <w:name w:val="c03"/>
    <w:basedOn w:val="1"/>
    <w:qFormat/>
    <w:uiPriority w:val="0"/>
    <w:pPr>
      <w:spacing w:before="100" w:beforeAutospacing="1" w:after="100" w:afterAutospacing="1"/>
    </w:pPr>
    <w:rPr>
      <w:rFonts w:ascii="宋体" w:hAnsi="宋体"/>
      <w:color w:val="000000"/>
      <w:sz w:val="24"/>
      <w:szCs w:val="24"/>
    </w:rPr>
  </w:style>
  <w:style w:type="paragraph" w:customStyle="1" w:styleId="120">
    <w:name w:val="xl43"/>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121">
    <w:name w:val="Char Char1 Char Char Char Char Char Char Char Char Char Char1"/>
    <w:basedOn w:val="1"/>
    <w:qFormat/>
    <w:uiPriority w:val="0"/>
    <w:rPr>
      <w:rFonts w:ascii="Tahoma" w:hAnsi="Tahoma"/>
      <w:sz w:val="24"/>
    </w:rPr>
  </w:style>
  <w:style w:type="paragraph" w:customStyle="1" w:styleId="122">
    <w:name w:val="font7"/>
    <w:basedOn w:val="1"/>
    <w:qFormat/>
    <w:uiPriority w:val="0"/>
    <w:pPr>
      <w:spacing w:before="100" w:beforeAutospacing="1" w:after="100" w:afterAutospacing="1"/>
    </w:pPr>
    <w:rPr>
      <w:rFonts w:ascii="宋体" w:hAnsi="宋体" w:cs="宋体"/>
      <w:b/>
      <w:bCs/>
      <w:sz w:val="36"/>
      <w:szCs w:val="36"/>
    </w:rPr>
  </w:style>
  <w:style w:type="paragraph" w:customStyle="1" w:styleId="123">
    <w:name w:val="需求书2"/>
    <w:basedOn w:val="1"/>
    <w:qFormat/>
    <w:uiPriority w:val="0"/>
    <w:rPr>
      <w:rFonts w:ascii="宋体" w:hAnsi="宋体"/>
      <w:b/>
      <w:spacing w:val="10"/>
      <w:sz w:val="24"/>
      <w:szCs w:val="24"/>
    </w:rPr>
  </w:style>
  <w:style w:type="paragraph" w:customStyle="1" w:styleId="124">
    <w:name w:val="xl41"/>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pPr>
    <w:rPr>
      <w:rFonts w:ascii="宋体" w:hAnsi="宋体" w:cs="宋体"/>
      <w:sz w:val="24"/>
      <w:szCs w:val="24"/>
    </w:rPr>
  </w:style>
  <w:style w:type="paragraph" w:customStyle="1" w:styleId="125">
    <w:name w:val="xl34"/>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sz w:val="24"/>
      <w:szCs w:val="24"/>
    </w:rPr>
  </w:style>
  <w:style w:type="paragraph" w:customStyle="1" w:styleId="126">
    <w:name w:val="xl39"/>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textAlignment w:val="top"/>
    </w:pPr>
    <w:rPr>
      <w:rFonts w:ascii="宋体" w:hAnsi="宋体" w:cs="宋体"/>
      <w:sz w:val="24"/>
      <w:szCs w:val="24"/>
    </w:rPr>
  </w:style>
  <w:style w:type="paragraph" w:customStyle="1" w:styleId="127">
    <w:name w:val="150"/>
    <w:basedOn w:val="1"/>
    <w:qFormat/>
    <w:uiPriority w:val="0"/>
    <w:pPr>
      <w:spacing w:before="100" w:beforeAutospacing="1" w:after="100" w:afterAutospacing="1" w:line="360" w:lineRule="auto"/>
    </w:pPr>
    <w:rPr>
      <w:rFonts w:ascii="宋体" w:hAnsi="宋体"/>
      <w:color w:val="000000"/>
      <w:sz w:val="24"/>
      <w:szCs w:val="24"/>
    </w:rPr>
  </w:style>
  <w:style w:type="paragraph" w:customStyle="1" w:styleId="128">
    <w:name w:val="Char Char Char Char Char Char Char Char Char Char1"/>
    <w:basedOn w:val="1"/>
    <w:qFormat/>
    <w:uiPriority w:val="0"/>
    <w:rPr>
      <w:rFonts w:ascii="Tahoma" w:hAnsi="Tahoma"/>
      <w:sz w:val="24"/>
    </w:rPr>
  </w:style>
  <w:style w:type="paragraph" w:customStyle="1" w:styleId="129">
    <w:name w:val="标题 1_0"/>
    <w:basedOn w:val="20"/>
    <w:next w:val="20"/>
    <w:link w:val="130"/>
    <w:qFormat/>
    <w:uiPriority w:val="0"/>
    <w:pPr>
      <w:keepNext/>
      <w:keepLines/>
      <w:spacing w:before="340" w:after="330" w:line="576" w:lineRule="auto"/>
      <w:outlineLvl w:val="0"/>
    </w:pPr>
    <w:rPr>
      <w:b/>
      <w:bCs/>
      <w:kern w:val="44"/>
      <w:sz w:val="44"/>
      <w:szCs w:val="44"/>
    </w:rPr>
  </w:style>
  <w:style w:type="character" w:customStyle="1" w:styleId="130">
    <w:name w:val="标题 1 Char"/>
    <w:link w:val="129"/>
    <w:qFormat/>
    <w:uiPriority w:val="9"/>
    <w:rPr>
      <w:rFonts w:ascii="Calibri" w:hAnsi="Calibri" w:eastAsia="宋体" w:cs="Times New Roman"/>
      <w:b/>
      <w:bCs/>
      <w:kern w:val="44"/>
      <w:sz w:val="44"/>
      <w:szCs w:val="44"/>
    </w:rPr>
  </w:style>
  <w:style w:type="paragraph" w:customStyle="1" w:styleId="131">
    <w:name w:val="二级"/>
    <w:basedOn w:val="132"/>
    <w:link w:val="140"/>
    <w:qFormat/>
    <w:uiPriority w:val="0"/>
    <w:pPr>
      <w:numPr>
        <w:ilvl w:val="0"/>
        <w:numId w:val="0"/>
      </w:numPr>
      <w:tabs>
        <w:tab w:val="left" w:pos="851"/>
      </w:tabs>
      <w:autoSpaceDE/>
      <w:autoSpaceDN/>
      <w:adjustRightInd/>
      <w:spacing w:before="240" w:after="240"/>
      <w:jc w:val="both"/>
      <w:textAlignment w:val="auto"/>
    </w:pPr>
    <w:rPr>
      <w:rFonts w:ascii="仿宋" w:hAnsi="仿宋" w:eastAsia="仿宋"/>
      <w:bCs/>
      <w:sz w:val="32"/>
      <w:szCs w:val="32"/>
    </w:rPr>
  </w:style>
  <w:style w:type="paragraph" w:customStyle="1" w:styleId="132">
    <w:name w:val="标题 2_0"/>
    <w:basedOn w:val="47"/>
    <w:next w:val="47"/>
    <w:link w:val="139"/>
    <w:qFormat/>
    <w:uiPriority w:val="0"/>
    <w:pPr>
      <w:keepNext/>
      <w:keepLines/>
      <w:numPr>
        <w:ilvl w:val="1"/>
        <w:numId w:val="4"/>
      </w:numPr>
      <w:autoSpaceDE w:val="0"/>
      <w:autoSpaceDN w:val="0"/>
      <w:adjustRightInd w:val="0"/>
      <w:spacing w:before="360" w:after="260" w:line="360" w:lineRule="auto"/>
      <w:jc w:val="center"/>
      <w:textAlignment w:val="baseline"/>
      <w:outlineLvl w:val="1"/>
    </w:pPr>
    <w:rPr>
      <w:rFonts w:ascii="Arial" w:hAnsi="Arial" w:eastAsia="黑体"/>
      <w:b/>
      <w:spacing w:val="24"/>
      <w:kern w:val="0"/>
      <w:sz w:val="24"/>
      <w:szCs w:val="20"/>
    </w:rPr>
  </w:style>
  <w:style w:type="paragraph" w:customStyle="1" w:styleId="133">
    <w:name w:val="标题 1_0_0"/>
    <w:basedOn w:val="47"/>
    <w:next w:val="47"/>
    <w:link w:val="134"/>
    <w:qFormat/>
    <w:uiPriority w:val="0"/>
    <w:pPr>
      <w:keepNext/>
      <w:keepLines/>
      <w:numPr>
        <w:ilvl w:val="0"/>
        <w:numId w:val="4"/>
      </w:numPr>
      <w:adjustRightInd w:val="0"/>
      <w:spacing w:before="360" w:after="360" w:line="360" w:lineRule="auto"/>
      <w:jc w:val="left"/>
      <w:textAlignment w:val="baseline"/>
      <w:outlineLvl w:val="0"/>
    </w:pPr>
    <w:rPr>
      <w:rFonts w:ascii="Arial" w:hAnsi="宋体" w:eastAsia="宋体"/>
      <w:b/>
      <w:spacing w:val="0"/>
      <w:kern w:val="0"/>
      <w:sz w:val="20"/>
      <w:szCs w:val="21"/>
    </w:rPr>
  </w:style>
  <w:style w:type="character" w:customStyle="1" w:styleId="134">
    <w:name w:val="标题 1 Char1"/>
    <w:link w:val="133"/>
    <w:qFormat/>
    <w:uiPriority w:val="0"/>
    <w:rPr>
      <w:rFonts w:ascii="Arial" w:hAnsi="宋体"/>
      <w:b/>
      <w:szCs w:val="21"/>
    </w:rPr>
  </w:style>
  <w:style w:type="paragraph" w:customStyle="1" w:styleId="135">
    <w:name w:val="标题 3_0"/>
    <w:basedOn w:val="47"/>
    <w:next w:val="136"/>
    <w:link w:val="138"/>
    <w:qFormat/>
    <w:uiPriority w:val="0"/>
    <w:pPr>
      <w:keepNext/>
      <w:keepLines/>
      <w:numPr>
        <w:ilvl w:val="2"/>
        <w:numId w:val="4"/>
      </w:numPr>
      <w:autoSpaceDE w:val="0"/>
      <w:autoSpaceDN w:val="0"/>
      <w:adjustRightInd w:val="0"/>
      <w:spacing w:before="360" w:after="260" w:line="360" w:lineRule="auto"/>
      <w:jc w:val="left"/>
      <w:textAlignment w:val="baseline"/>
      <w:outlineLvl w:val="2"/>
    </w:pPr>
    <w:rPr>
      <w:rFonts w:ascii="宋体" w:hAnsi="Arial" w:eastAsia="宋体"/>
      <w:b/>
      <w:spacing w:val="0"/>
      <w:kern w:val="0"/>
      <w:sz w:val="28"/>
      <w:szCs w:val="20"/>
    </w:rPr>
  </w:style>
  <w:style w:type="paragraph" w:customStyle="1" w:styleId="136">
    <w:name w:val="正文缩进_0"/>
    <w:basedOn w:val="47"/>
    <w:link w:val="137"/>
    <w:qFormat/>
    <w:uiPriority w:val="0"/>
    <w:pPr>
      <w:autoSpaceDE w:val="0"/>
      <w:autoSpaceDN w:val="0"/>
      <w:spacing w:line="360" w:lineRule="auto"/>
      <w:ind w:left="181" w:firstLine="420"/>
    </w:pPr>
    <w:rPr>
      <w:rFonts w:ascii="Times New Roman" w:eastAsia="宋体"/>
      <w:spacing w:val="0"/>
      <w:kern w:val="0"/>
      <w:sz w:val="24"/>
      <w:szCs w:val="20"/>
    </w:rPr>
  </w:style>
  <w:style w:type="character" w:customStyle="1" w:styleId="137">
    <w:name w:val="正文缩进 Char1"/>
    <w:link w:val="136"/>
    <w:qFormat/>
    <w:uiPriority w:val="0"/>
    <w:rPr>
      <w:rFonts w:ascii="Times New Roman" w:hAnsi="Times New Roman" w:eastAsia="宋体" w:cs="Times New Roman"/>
      <w:kern w:val="0"/>
      <w:sz w:val="24"/>
      <w:szCs w:val="20"/>
    </w:rPr>
  </w:style>
  <w:style w:type="character" w:customStyle="1" w:styleId="138">
    <w:name w:val="标题 3 Char1"/>
    <w:link w:val="135"/>
    <w:qFormat/>
    <w:uiPriority w:val="0"/>
    <w:rPr>
      <w:rFonts w:ascii="宋体" w:hAnsi="Arial"/>
      <w:b/>
      <w:sz w:val="28"/>
    </w:rPr>
  </w:style>
  <w:style w:type="character" w:customStyle="1" w:styleId="139">
    <w:name w:val="标题 2 Char1"/>
    <w:link w:val="132"/>
    <w:qFormat/>
    <w:uiPriority w:val="0"/>
    <w:rPr>
      <w:rFonts w:ascii="Arial" w:hAnsi="Arial" w:eastAsia="黑体"/>
      <w:b/>
      <w:spacing w:val="24"/>
      <w:sz w:val="24"/>
    </w:rPr>
  </w:style>
  <w:style w:type="character" w:customStyle="1" w:styleId="140">
    <w:name w:val="二级 Char"/>
    <w:link w:val="131"/>
    <w:qFormat/>
    <w:uiPriority w:val="0"/>
    <w:rPr>
      <w:rFonts w:ascii="仿宋" w:hAnsi="仿宋" w:eastAsia="仿宋" w:cs="Times New Roman"/>
      <w:b/>
      <w:bCs/>
      <w:spacing w:val="24"/>
      <w:kern w:val="0"/>
      <w:sz w:val="32"/>
      <w:szCs w:val="32"/>
    </w:rPr>
  </w:style>
  <w:style w:type="paragraph" w:customStyle="1" w:styleId="141">
    <w:name w:val="三级"/>
    <w:basedOn w:val="135"/>
    <w:link w:val="142"/>
    <w:qFormat/>
    <w:uiPriority w:val="0"/>
    <w:pPr>
      <w:numPr>
        <w:ilvl w:val="0"/>
        <w:numId w:val="0"/>
      </w:numPr>
      <w:autoSpaceDE/>
      <w:autoSpaceDN/>
      <w:adjustRightInd/>
      <w:spacing w:before="240" w:after="240"/>
      <w:jc w:val="both"/>
      <w:textAlignment w:val="auto"/>
    </w:pPr>
    <w:rPr>
      <w:rFonts w:ascii="仿宋" w:hAnsi="仿宋" w:eastAsia="仿宋"/>
      <w:bCs/>
      <w:color w:val="000000"/>
      <w:sz w:val="32"/>
      <w:szCs w:val="32"/>
    </w:rPr>
  </w:style>
  <w:style w:type="character" w:customStyle="1" w:styleId="142">
    <w:name w:val="三级 Char"/>
    <w:link w:val="141"/>
    <w:qFormat/>
    <w:uiPriority w:val="0"/>
    <w:rPr>
      <w:rFonts w:ascii="仿宋" w:hAnsi="仿宋" w:eastAsia="仿宋" w:cs="Times New Roman"/>
      <w:b/>
      <w:bCs/>
      <w:color w:val="000000"/>
      <w:kern w:val="0"/>
      <w:sz w:val="32"/>
      <w:szCs w:val="32"/>
    </w:rPr>
  </w:style>
  <w:style w:type="character" w:customStyle="1" w:styleId="143">
    <w:name w:val="标题 字符"/>
    <w:link w:val="46"/>
    <w:qFormat/>
    <w:uiPriority w:val="0"/>
    <w:rPr>
      <w:rFonts w:ascii="Arial" w:hAnsi="Arial" w:eastAsia="宋体" w:cs="Times New Roman"/>
      <w:b/>
      <w:kern w:val="0"/>
      <w:sz w:val="36"/>
      <w:szCs w:val="24"/>
    </w:rPr>
  </w:style>
  <w:style w:type="paragraph" w:customStyle="1" w:styleId="144">
    <w:name w:val="标题 5_0"/>
    <w:basedOn w:val="20"/>
    <w:next w:val="145"/>
    <w:link w:val="147"/>
    <w:qFormat/>
    <w:uiPriority w:val="0"/>
    <w:pPr>
      <w:keepNext/>
      <w:autoSpaceDE w:val="0"/>
      <w:autoSpaceDN w:val="0"/>
      <w:adjustRightInd w:val="0"/>
      <w:snapToGrid w:val="0"/>
      <w:spacing w:before="280" w:after="290" w:line="374" w:lineRule="auto"/>
      <w:outlineLvl w:val="4"/>
    </w:pPr>
    <w:rPr>
      <w:rFonts w:ascii="宋体"/>
      <w:b/>
      <w:color w:val="000000"/>
      <w:kern w:val="0"/>
      <w:sz w:val="28"/>
      <w:szCs w:val="20"/>
    </w:rPr>
  </w:style>
  <w:style w:type="paragraph" w:customStyle="1" w:styleId="145">
    <w:name w:val="正文缩进_1"/>
    <w:basedOn w:val="20"/>
    <w:link w:val="146"/>
    <w:qFormat/>
    <w:uiPriority w:val="0"/>
    <w:pPr>
      <w:ind w:firstLine="420"/>
    </w:pPr>
    <w:rPr>
      <w:rFonts w:ascii="Times New Roman" w:hAnsi="Times New Roman"/>
      <w:kern w:val="0"/>
      <w:sz w:val="20"/>
      <w:szCs w:val="20"/>
    </w:rPr>
  </w:style>
  <w:style w:type="character" w:customStyle="1" w:styleId="146">
    <w:name w:val="正文缩进 Char_0"/>
    <w:link w:val="145"/>
    <w:qFormat/>
    <w:uiPriority w:val="0"/>
    <w:rPr>
      <w:rFonts w:eastAsia="宋体"/>
    </w:rPr>
  </w:style>
  <w:style w:type="character" w:customStyle="1" w:styleId="147">
    <w:name w:val="标题 5 Char"/>
    <w:link w:val="144"/>
    <w:qFormat/>
    <w:uiPriority w:val="0"/>
    <w:rPr>
      <w:rFonts w:ascii="宋体" w:hAnsi="Calibri" w:eastAsia="宋体" w:cs="宋体"/>
      <w:b/>
      <w:color w:val="000000"/>
      <w:sz w:val="28"/>
    </w:rPr>
  </w:style>
  <w:style w:type="paragraph" w:customStyle="1" w:styleId="148">
    <w:name w:val="正文 首行缩进: 2 字符"/>
    <w:basedOn w:val="20"/>
    <w:qFormat/>
    <w:uiPriority w:val="0"/>
    <w:pPr>
      <w:spacing w:line="440" w:lineRule="atLeast"/>
      <w:ind w:firstLine="480" w:firstLineChars="200"/>
    </w:pPr>
    <w:rPr>
      <w:rFonts w:ascii="Times New Roman" w:hAnsi="Times New Roman"/>
      <w:sz w:val="24"/>
      <w:szCs w:val="24"/>
    </w:rPr>
  </w:style>
  <w:style w:type="character" w:customStyle="1" w:styleId="149">
    <w:name w:val="0正文 Char"/>
    <w:link w:val="5"/>
    <w:qFormat/>
    <w:uiPriority w:val="0"/>
    <w:rPr>
      <w:rFonts w:ascii="Verdana" w:hAnsi="Verdana" w:eastAsia="宋体" w:cs="Times New Roman"/>
      <w:kern w:val="0"/>
      <w:sz w:val="24"/>
      <w:szCs w:val="24"/>
    </w:rPr>
  </w:style>
  <w:style w:type="paragraph" w:customStyle="1" w:styleId="150">
    <w:name w:val="缩进正文"/>
    <w:link w:val="151"/>
    <w:qFormat/>
    <w:uiPriority w:val="0"/>
    <w:pPr>
      <w:spacing w:line="360" w:lineRule="auto"/>
      <w:ind w:firstLine="567"/>
    </w:pPr>
    <w:rPr>
      <w:rFonts w:ascii="宋体" w:hAnsi="宋体" w:eastAsia="仿宋_GB2312" w:cs="Times New Roman"/>
      <w:sz w:val="30"/>
      <w:lang w:val="en-US" w:eastAsia="zh-CN" w:bidi="ar-SA"/>
    </w:rPr>
  </w:style>
  <w:style w:type="character" w:customStyle="1" w:styleId="151">
    <w:name w:val="缩进正文 Char"/>
    <w:link w:val="150"/>
    <w:qFormat/>
    <w:uiPriority w:val="0"/>
    <w:rPr>
      <w:rFonts w:ascii="宋体" w:hAnsi="宋体" w:eastAsia="仿宋_GB2312"/>
      <w:sz w:val="30"/>
      <w:lang w:bidi="ar-SA"/>
    </w:rPr>
  </w:style>
  <w:style w:type="character" w:customStyle="1" w:styleId="152">
    <w:name w:val="font51"/>
    <w:qFormat/>
    <w:uiPriority w:val="0"/>
    <w:rPr>
      <w:rFonts w:hint="eastAsia" w:ascii="宋体" w:hAnsi="宋体" w:eastAsia="宋体"/>
      <w:color w:val="000000"/>
      <w:sz w:val="21"/>
      <w:szCs w:val="21"/>
      <w:u w:val="none"/>
    </w:rPr>
  </w:style>
  <w:style w:type="character" w:customStyle="1" w:styleId="153">
    <w:name w:val="font71"/>
    <w:qFormat/>
    <w:uiPriority w:val="0"/>
    <w:rPr>
      <w:rFonts w:hint="default" w:ascii="Calibri" w:hAnsi="Calibri"/>
      <w:color w:val="000000"/>
      <w:sz w:val="21"/>
      <w:szCs w:val="21"/>
      <w:u w:val="none"/>
    </w:rPr>
  </w:style>
  <w:style w:type="paragraph" w:styleId="154">
    <w:name w:val="List Paragraph"/>
    <w:basedOn w:val="1"/>
    <w:link w:val="155"/>
    <w:qFormat/>
    <w:uiPriority w:val="34"/>
    <w:pPr>
      <w:ind w:firstLine="420" w:firstLineChars="200"/>
    </w:pPr>
    <w:rPr>
      <w:rFonts w:ascii="Times New Roman"/>
      <w:kern w:val="0"/>
      <w:sz w:val="20"/>
      <w:szCs w:val="24"/>
    </w:rPr>
  </w:style>
  <w:style w:type="character" w:customStyle="1" w:styleId="155">
    <w:name w:val="列表段落 字符"/>
    <w:link w:val="154"/>
    <w:qFormat/>
    <w:locked/>
    <w:uiPriority w:val="34"/>
    <w:rPr>
      <w:rFonts w:ascii="Times New Roman" w:hAnsi="Calibri" w:eastAsia="宋体" w:cs="Times New Roman"/>
      <w:szCs w:val="24"/>
    </w:rPr>
  </w:style>
  <w:style w:type="paragraph" w:customStyle="1" w:styleId="156">
    <w:name w:val="标题 6_0"/>
    <w:basedOn w:val="20"/>
    <w:next w:val="145"/>
    <w:link w:val="157"/>
    <w:qFormat/>
    <w:uiPriority w:val="9"/>
    <w:pPr>
      <w:keepNext/>
      <w:autoSpaceDE w:val="0"/>
      <w:autoSpaceDN w:val="0"/>
      <w:adjustRightInd w:val="0"/>
      <w:snapToGrid w:val="0"/>
      <w:spacing w:before="240" w:after="64" w:line="319" w:lineRule="auto"/>
      <w:outlineLvl w:val="5"/>
    </w:pPr>
    <w:rPr>
      <w:rFonts w:ascii="Arial" w:hAnsi="Arial" w:eastAsia="黑体"/>
      <w:b/>
      <w:color w:val="000000"/>
      <w:kern w:val="0"/>
      <w:sz w:val="24"/>
      <w:szCs w:val="20"/>
    </w:rPr>
  </w:style>
  <w:style w:type="character" w:customStyle="1" w:styleId="157">
    <w:name w:val="标题 6 Char"/>
    <w:link w:val="156"/>
    <w:qFormat/>
    <w:uiPriority w:val="0"/>
    <w:rPr>
      <w:rFonts w:ascii="Arial" w:hAnsi="Arial" w:eastAsia="黑体" w:cs="Times New Roman"/>
      <w:b/>
      <w:color w:val="000000"/>
      <w:sz w:val="24"/>
    </w:rPr>
  </w:style>
  <w:style w:type="paragraph" w:customStyle="1" w:styleId="158">
    <w:name w:val="0表格列头"/>
    <w:basedOn w:val="159"/>
    <w:qFormat/>
    <w:uiPriority w:val="0"/>
    <w:pPr>
      <w:jc w:val="center"/>
    </w:pPr>
    <w:rPr>
      <w:b/>
    </w:rPr>
  </w:style>
  <w:style w:type="paragraph" w:customStyle="1" w:styleId="159">
    <w:name w:val="0表格样式"/>
    <w:basedOn w:val="20"/>
    <w:qFormat/>
    <w:uiPriority w:val="0"/>
    <w:pPr>
      <w:widowControl/>
      <w:jc w:val="left"/>
    </w:pPr>
    <w:rPr>
      <w:rFonts w:eastAsia="仿宋"/>
      <w:szCs w:val="21"/>
    </w:rPr>
  </w:style>
  <w:style w:type="character" w:customStyle="1" w:styleId="160">
    <w:name w:val="题注 字符"/>
    <w:link w:val="19"/>
    <w:qFormat/>
    <w:uiPriority w:val="0"/>
    <w:rPr>
      <w:rFonts w:ascii="Arial" w:hAnsi="Arial" w:eastAsia="黑体" w:cs="Arial"/>
      <w:sz w:val="20"/>
      <w:szCs w:val="20"/>
    </w:rPr>
  </w:style>
  <w:style w:type="character" w:customStyle="1" w:styleId="161">
    <w:name w:val="要点_0"/>
    <w:qFormat/>
    <w:uiPriority w:val="0"/>
    <w:rPr>
      <w:rFonts w:ascii="Calibri" w:hAnsi="Calibri"/>
      <w:b/>
      <w:bCs/>
    </w:rPr>
  </w:style>
  <w:style w:type="paragraph" w:customStyle="1" w:styleId="162">
    <w:name w:val="列出段落1"/>
    <w:basedOn w:val="47"/>
    <w:link w:val="163"/>
    <w:qFormat/>
    <w:uiPriority w:val="0"/>
    <w:pPr>
      <w:spacing w:line="360" w:lineRule="auto"/>
      <w:ind w:firstLine="420" w:firstLineChars="200"/>
    </w:pPr>
    <w:rPr>
      <w:rFonts w:ascii="Calibri" w:hAnsi="Calibri" w:eastAsia="宋体"/>
      <w:spacing w:val="0"/>
      <w:kern w:val="0"/>
      <w:sz w:val="28"/>
      <w:szCs w:val="21"/>
    </w:rPr>
  </w:style>
  <w:style w:type="character" w:customStyle="1" w:styleId="163">
    <w:name w:val="列出段落 Char"/>
    <w:link w:val="162"/>
    <w:qFormat/>
    <w:uiPriority w:val="0"/>
    <w:rPr>
      <w:rFonts w:ascii="Calibri" w:hAnsi="Calibri" w:eastAsia="宋体" w:cs="Times New Roman"/>
      <w:kern w:val="0"/>
      <w:sz w:val="28"/>
      <w:szCs w:val="21"/>
    </w:rPr>
  </w:style>
  <w:style w:type="character" w:customStyle="1" w:styleId="164">
    <w:name w:val="正文文本缩进 Char"/>
    <w:link w:val="34"/>
    <w:qFormat/>
    <w:uiPriority w:val="0"/>
    <w:rPr>
      <w:rFonts w:ascii="Calibri" w:hAnsi="Calibri" w:eastAsia="宋体" w:cs="Times New Roman"/>
    </w:rPr>
  </w:style>
  <w:style w:type="character" w:customStyle="1" w:styleId="165">
    <w:name w:val="正文文本首行缩进 2 字符"/>
    <w:basedOn w:val="164"/>
    <w:link w:val="33"/>
    <w:qFormat/>
    <w:uiPriority w:val="99"/>
    <w:rPr>
      <w:rFonts w:ascii="Calibri" w:hAnsi="Calibri" w:eastAsia="宋体" w:cs="Times New Roman"/>
    </w:rPr>
  </w:style>
  <w:style w:type="paragraph" w:customStyle="1" w:styleId="166">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正文_0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9">
    <w:name w:val="正文_2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0">
    <w:name w:val="正文_0_0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0正文_0"/>
    <w:basedOn w:val="169"/>
    <w:link w:val="172"/>
    <w:qFormat/>
    <w:uiPriority w:val="0"/>
    <w:pPr>
      <w:adjustRightInd w:val="0"/>
      <w:spacing w:line="360" w:lineRule="auto"/>
      <w:ind w:firstLine="480" w:firstLineChars="200"/>
      <w:textAlignment w:val="baseline"/>
    </w:pPr>
    <w:rPr>
      <w:rFonts w:ascii="Verdana" w:hAnsi="Verdana"/>
      <w:kern w:val="0"/>
      <w:sz w:val="24"/>
    </w:rPr>
  </w:style>
  <w:style w:type="character" w:customStyle="1" w:styleId="172">
    <w:name w:val="0正文 Char_0"/>
    <w:link w:val="171"/>
    <w:qFormat/>
    <w:uiPriority w:val="0"/>
    <w:rPr>
      <w:rFonts w:ascii="Verdana" w:hAnsi="Verdana" w:eastAsia="宋体" w:cs="Times New Roman"/>
      <w:sz w:val="24"/>
      <w:szCs w:val="24"/>
    </w:rPr>
  </w:style>
  <w:style w:type="paragraph" w:customStyle="1" w:styleId="173">
    <w:name w:val="纯文本_0"/>
    <w:basedOn w:val="174"/>
    <w:link w:val="175"/>
    <w:unhideWhenUsed/>
    <w:qFormat/>
    <w:uiPriority w:val="0"/>
    <w:pPr>
      <w:widowControl/>
      <w:jc w:val="left"/>
    </w:pPr>
    <w:rPr>
      <w:rFonts w:ascii="宋体" w:hAnsi="Courier New"/>
      <w:kern w:val="0"/>
      <w:sz w:val="20"/>
      <w:szCs w:val="21"/>
    </w:rPr>
  </w:style>
  <w:style w:type="paragraph" w:customStyle="1" w:styleId="174">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175">
    <w:name w:val="纯文本 Char_0"/>
    <w:link w:val="173"/>
    <w:qFormat/>
    <w:locked/>
    <w:uiPriority w:val="0"/>
    <w:rPr>
      <w:rFonts w:ascii="宋体" w:hAnsi="Courier New" w:cs="Courier New"/>
      <w:szCs w:val="21"/>
    </w:rPr>
  </w:style>
  <w:style w:type="paragraph" w:customStyle="1" w:styleId="176">
    <w:name w:val="标题 3_1"/>
    <w:basedOn w:val="174"/>
    <w:next w:val="174"/>
    <w:link w:val="193"/>
    <w:unhideWhenUsed/>
    <w:qFormat/>
    <w:uiPriority w:val="9"/>
    <w:pPr>
      <w:keepNext/>
      <w:keepLines/>
      <w:numPr>
        <w:ilvl w:val="2"/>
        <w:numId w:val="5"/>
      </w:numPr>
      <w:spacing w:before="260" w:after="260" w:line="416" w:lineRule="auto"/>
      <w:outlineLvl w:val="2"/>
    </w:pPr>
    <w:rPr>
      <w:b/>
      <w:bCs/>
      <w:kern w:val="0"/>
      <w:sz w:val="32"/>
      <w:szCs w:val="32"/>
    </w:rPr>
  </w:style>
  <w:style w:type="paragraph" w:customStyle="1" w:styleId="177">
    <w:name w:val="标题 1_1"/>
    <w:basedOn w:val="174"/>
    <w:next w:val="174"/>
    <w:link w:val="178"/>
    <w:qFormat/>
    <w:uiPriority w:val="9"/>
    <w:pPr>
      <w:keepNext/>
      <w:keepLines/>
      <w:numPr>
        <w:ilvl w:val="0"/>
        <w:numId w:val="5"/>
      </w:numPr>
      <w:spacing w:before="120" w:after="120" w:line="360" w:lineRule="auto"/>
      <w:ind w:left="0" w:hanging="431" w:hangingChars="205"/>
      <w:outlineLvl w:val="0"/>
    </w:pPr>
    <w:rPr>
      <w:b/>
      <w:bCs/>
      <w:kern w:val="44"/>
      <w:sz w:val="32"/>
      <w:szCs w:val="44"/>
    </w:rPr>
  </w:style>
  <w:style w:type="character" w:customStyle="1" w:styleId="178">
    <w:name w:val="标题 1 Char_0"/>
    <w:link w:val="177"/>
    <w:qFormat/>
    <w:uiPriority w:val="9"/>
    <w:rPr>
      <w:rFonts w:ascii="Calibri" w:hAnsi="Calibri"/>
      <w:b/>
      <w:bCs/>
      <w:kern w:val="44"/>
      <w:sz w:val="32"/>
      <w:szCs w:val="44"/>
    </w:rPr>
  </w:style>
  <w:style w:type="paragraph" w:customStyle="1" w:styleId="179">
    <w:name w:val="标题 2_1"/>
    <w:basedOn w:val="174"/>
    <w:next w:val="174"/>
    <w:link w:val="180"/>
    <w:unhideWhenUsed/>
    <w:qFormat/>
    <w:uiPriority w:val="9"/>
    <w:pPr>
      <w:keepNext/>
      <w:keepLines/>
      <w:numPr>
        <w:ilvl w:val="1"/>
        <w:numId w:val="5"/>
      </w:numPr>
      <w:spacing w:before="260" w:after="260" w:line="416" w:lineRule="auto"/>
      <w:outlineLvl w:val="1"/>
    </w:pPr>
    <w:rPr>
      <w:rFonts w:ascii="Cambria" w:hAnsi="Cambria"/>
      <w:b/>
      <w:bCs/>
      <w:kern w:val="0"/>
      <w:sz w:val="30"/>
      <w:szCs w:val="32"/>
    </w:rPr>
  </w:style>
  <w:style w:type="character" w:customStyle="1" w:styleId="180">
    <w:name w:val="标题 2 Char"/>
    <w:link w:val="179"/>
    <w:qFormat/>
    <w:uiPriority w:val="9"/>
    <w:rPr>
      <w:rFonts w:ascii="Cambria" w:hAnsi="Cambria"/>
      <w:b/>
      <w:bCs/>
      <w:sz w:val="30"/>
      <w:szCs w:val="32"/>
    </w:rPr>
  </w:style>
  <w:style w:type="paragraph" w:customStyle="1" w:styleId="181">
    <w:name w:val="标题 4_0"/>
    <w:basedOn w:val="174"/>
    <w:next w:val="174"/>
    <w:link w:val="182"/>
    <w:unhideWhenUsed/>
    <w:qFormat/>
    <w:uiPriority w:val="0"/>
    <w:pPr>
      <w:keepNext/>
      <w:keepLines/>
      <w:numPr>
        <w:ilvl w:val="3"/>
        <w:numId w:val="5"/>
      </w:numPr>
      <w:spacing w:before="280" w:after="290" w:line="376" w:lineRule="auto"/>
      <w:outlineLvl w:val="3"/>
    </w:pPr>
    <w:rPr>
      <w:rFonts w:ascii="Cambria" w:hAnsi="Cambria"/>
      <w:b/>
      <w:bCs/>
      <w:kern w:val="0"/>
      <w:sz w:val="28"/>
      <w:szCs w:val="28"/>
    </w:rPr>
  </w:style>
  <w:style w:type="character" w:customStyle="1" w:styleId="182">
    <w:name w:val="标题 4 Char"/>
    <w:link w:val="181"/>
    <w:qFormat/>
    <w:uiPriority w:val="0"/>
    <w:rPr>
      <w:rFonts w:ascii="Cambria" w:hAnsi="Cambria"/>
      <w:b/>
      <w:bCs/>
      <w:sz w:val="28"/>
      <w:szCs w:val="28"/>
    </w:rPr>
  </w:style>
  <w:style w:type="paragraph" w:customStyle="1" w:styleId="183">
    <w:name w:val="标题 5_1"/>
    <w:basedOn w:val="174"/>
    <w:next w:val="174"/>
    <w:link w:val="184"/>
    <w:unhideWhenUsed/>
    <w:qFormat/>
    <w:uiPriority w:val="9"/>
    <w:pPr>
      <w:keepNext/>
      <w:keepLines/>
      <w:numPr>
        <w:ilvl w:val="4"/>
        <w:numId w:val="5"/>
      </w:numPr>
      <w:spacing w:before="280" w:after="290" w:line="376" w:lineRule="auto"/>
      <w:outlineLvl w:val="4"/>
    </w:pPr>
    <w:rPr>
      <w:b/>
      <w:bCs/>
      <w:kern w:val="0"/>
      <w:sz w:val="28"/>
      <w:szCs w:val="28"/>
    </w:rPr>
  </w:style>
  <w:style w:type="character" w:customStyle="1" w:styleId="184">
    <w:name w:val="标题 5 Char_0"/>
    <w:link w:val="183"/>
    <w:qFormat/>
    <w:uiPriority w:val="9"/>
    <w:rPr>
      <w:rFonts w:ascii="Calibri" w:hAnsi="Calibri"/>
      <w:b/>
      <w:bCs/>
      <w:sz w:val="28"/>
      <w:szCs w:val="28"/>
    </w:rPr>
  </w:style>
  <w:style w:type="paragraph" w:customStyle="1" w:styleId="185">
    <w:name w:val="标题 6_1"/>
    <w:basedOn w:val="174"/>
    <w:next w:val="174"/>
    <w:link w:val="186"/>
    <w:unhideWhenUsed/>
    <w:qFormat/>
    <w:uiPriority w:val="9"/>
    <w:pPr>
      <w:keepNext/>
      <w:keepLines/>
      <w:numPr>
        <w:ilvl w:val="5"/>
        <w:numId w:val="5"/>
      </w:numPr>
      <w:spacing w:before="240" w:after="64" w:line="320" w:lineRule="auto"/>
      <w:outlineLvl w:val="5"/>
    </w:pPr>
    <w:rPr>
      <w:rFonts w:ascii="Cambria" w:hAnsi="Cambria"/>
      <w:b/>
      <w:bCs/>
      <w:kern w:val="0"/>
      <w:sz w:val="24"/>
      <w:szCs w:val="24"/>
    </w:rPr>
  </w:style>
  <w:style w:type="character" w:customStyle="1" w:styleId="186">
    <w:name w:val="标题 6 Char_0"/>
    <w:link w:val="185"/>
    <w:qFormat/>
    <w:uiPriority w:val="9"/>
    <w:rPr>
      <w:rFonts w:ascii="Cambria" w:hAnsi="Cambria"/>
      <w:b/>
      <w:bCs/>
      <w:sz w:val="24"/>
      <w:szCs w:val="24"/>
    </w:rPr>
  </w:style>
  <w:style w:type="paragraph" w:customStyle="1" w:styleId="187">
    <w:name w:val="标题 7_0"/>
    <w:basedOn w:val="174"/>
    <w:next w:val="174"/>
    <w:link w:val="188"/>
    <w:semiHidden/>
    <w:unhideWhenUsed/>
    <w:qFormat/>
    <w:uiPriority w:val="9"/>
    <w:pPr>
      <w:keepNext/>
      <w:keepLines/>
      <w:numPr>
        <w:ilvl w:val="6"/>
        <w:numId w:val="5"/>
      </w:numPr>
      <w:spacing w:before="240" w:after="64" w:line="320" w:lineRule="auto"/>
      <w:outlineLvl w:val="6"/>
    </w:pPr>
    <w:rPr>
      <w:b/>
      <w:bCs/>
      <w:kern w:val="0"/>
      <w:sz w:val="24"/>
      <w:szCs w:val="24"/>
    </w:rPr>
  </w:style>
  <w:style w:type="character" w:customStyle="1" w:styleId="188">
    <w:name w:val="标题 7 Char"/>
    <w:link w:val="187"/>
    <w:semiHidden/>
    <w:qFormat/>
    <w:uiPriority w:val="9"/>
    <w:rPr>
      <w:rFonts w:ascii="Calibri" w:hAnsi="Calibri"/>
      <w:b/>
      <w:bCs/>
      <w:sz w:val="24"/>
      <w:szCs w:val="24"/>
    </w:rPr>
  </w:style>
  <w:style w:type="paragraph" w:customStyle="1" w:styleId="189">
    <w:name w:val="标题 8_0"/>
    <w:basedOn w:val="174"/>
    <w:next w:val="174"/>
    <w:link w:val="190"/>
    <w:semiHidden/>
    <w:unhideWhenUsed/>
    <w:qFormat/>
    <w:uiPriority w:val="9"/>
    <w:pPr>
      <w:keepNext/>
      <w:keepLines/>
      <w:numPr>
        <w:ilvl w:val="7"/>
        <w:numId w:val="5"/>
      </w:numPr>
      <w:spacing w:before="240" w:after="64" w:line="320" w:lineRule="auto"/>
      <w:outlineLvl w:val="7"/>
    </w:pPr>
    <w:rPr>
      <w:rFonts w:ascii="Cambria" w:hAnsi="Cambria"/>
      <w:kern w:val="0"/>
      <w:sz w:val="24"/>
      <w:szCs w:val="24"/>
    </w:rPr>
  </w:style>
  <w:style w:type="character" w:customStyle="1" w:styleId="190">
    <w:name w:val="标题 8 Char"/>
    <w:link w:val="189"/>
    <w:semiHidden/>
    <w:qFormat/>
    <w:uiPriority w:val="9"/>
    <w:rPr>
      <w:rFonts w:ascii="Cambria" w:hAnsi="Cambria"/>
      <w:sz w:val="24"/>
      <w:szCs w:val="24"/>
    </w:rPr>
  </w:style>
  <w:style w:type="paragraph" w:customStyle="1" w:styleId="191">
    <w:name w:val="标题 9_0"/>
    <w:basedOn w:val="174"/>
    <w:next w:val="174"/>
    <w:link w:val="192"/>
    <w:semiHidden/>
    <w:unhideWhenUsed/>
    <w:qFormat/>
    <w:uiPriority w:val="9"/>
    <w:pPr>
      <w:keepNext/>
      <w:keepLines/>
      <w:numPr>
        <w:ilvl w:val="8"/>
        <w:numId w:val="5"/>
      </w:numPr>
      <w:spacing w:before="240" w:after="64" w:line="320" w:lineRule="auto"/>
      <w:outlineLvl w:val="8"/>
    </w:pPr>
    <w:rPr>
      <w:rFonts w:ascii="Cambria" w:hAnsi="Cambria"/>
      <w:kern w:val="0"/>
      <w:sz w:val="20"/>
      <w:szCs w:val="21"/>
    </w:rPr>
  </w:style>
  <w:style w:type="character" w:customStyle="1" w:styleId="192">
    <w:name w:val="标题 9 Char"/>
    <w:link w:val="191"/>
    <w:semiHidden/>
    <w:qFormat/>
    <w:uiPriority w:val="9"/>
    <w:rPr>
      <w:rFonts w:ascii="Cambria" w:hAnsi="Cambria"/>
      <w:szCs w:val="21"/>
    </w:rPr>
  </w:style>
  <w:style w:type="character" w:customStyle="1" w:styleId="193">
    <w:name w:val="标题 3 Char"/>
    <w:link w:val="176"/>
    <w:qFormat/>
    <w:uiPriority w:val="9"/>
    <w:rPr>
      <w:rFonts w:ascii="Calibri" w:hAnsi="Calibri"/>
      <w:b/>
      <w:bCs/>
      <w:sz w:val="32"/>
      <w:szCs w:val="32"/>
    </w:rPr>
  </w:style>
  <w:style w:type="paragraph" w:customStyle="1" w:styleId="194">
    <w:name w:val="纯文本1"/>
    <w:basedOn w:val="195"/>
    <w:link w:val="196"/>
    <w:qFormat/>
    <w:uiPriority w:val="0"/>
    <w:rPr>
      <w:rFonts w:ascii="宋体" w:hAnsi="Courier New"/>
      <w:sz w:val="20"/>
      <w:szCs w:val="21"/>
    </w:rPr>
  </w:style>
  <w:style w:type="paragraph" w:customStyle="1" w:styleId="195">
    <w:name w:val="Normal_3"/>
    <w:qFormat/>
    <w:uiPriority w:val="0"/>
    <w:rPr>
      <w:rFonts w:ascii="Times New Roman" w:hAnsi="Times New Roman" w:eastAsia="宋体" w:cs="Times New Roman"/>
      <w:sz w:val="21"/>
      <w:lang w:val="en-US" w:eastAsia="zh-CN" w:bidi="ar-SA"/>
    </w:rPr>
  </w:style>
  <w:style w:type="character" w:customStyle="1" w:styleId="196">
    <w:name w:val="纯文本 Char_0_0"/>
    <w:link w:val="194"/>
    <w:qFormat/>
    <w:locked/>
    <w:uiPriority w:val="0"/>
    <w:rPr>
      <w:rFonts w:ascii="宋体" w:hAnsi="Courier New" w:cs="Courier New"/>
      <w:szCs w:val="21"/>
    </w:rPr>
  </w:style>
  <w:style w:type="paragraph" w:customStyle="1" w:styleId="197">
    <w:name w:val="1_0"/>
    <w:basedOn w:val="195"/>
    <w:next w:val="194"/>
    <w:qFormat/>
    <w:uiPriority w:val="0"/>
    <w:pPr>
      <w:widowControl w:val="0"/>
      <w:jc w:val="both"/>
    </w:pPr>
    <w:rPr>
      <w:rFonts w:ascii="宋体" w:hAnsi="Courier New"/>
      <w:kern w:val="2"/>
    </w:rPr>
  </w:style>
  <w:style w:type="paragraph" w:customStyle="1" w:styleId="198">
    <w:name w:val="纯文本_0_0"/>
    <w:basedOn w:val="199"/>
    <w:link w:val="200"/>
    <w:unhideWhenUsed/>
    <w:qFormat/>
    <w:uiPriority w:val="0"/>
    <w:pPr>
      <w:widowControl/>
      <w:jc w:val="left"/>
    </w:pPr>
    <w:rPr>
      <w:rFonts w:ascii="宋体" w:hAnsi="Courier New"/>
      <w:kern w:val="0"/>
      <w:sz w:val="20"/>
      <w:szCs w:val="21"/>
    </w:rPr>
  </w:style>
  <w:style w:type="paragraph" w:customStyle="1" w:styleId="199">
    <w:name w:val="正文_0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200">
    <w:name w:val="纯文本 Char_1"/>
    <w:link w:val="198"/>
    <w:qFormat/>
    <w:locked/>
    <w:uiPriority w:val="0"/>
    <w:rPr>
      <w:rFonts w:ascii="宋体" w:hAnsi="Courier New" w:cs="Courier New"/>
      <w:szCs w:val="21"/>
    </w:rPr>
  </w:style>
  <w:style w:type="character" w:customStyle="1" w:styleId="201">
    <w:name w:val="p141_0"/>
    <w:qFormat/>
    <w:uiPriority w:val="0"/>
    <w:rPr>
      <w:rFonts w:ascii="Calibri" w:hAnsi="Calibri" w:eastAsia="宋体"/>
      <w:sz w:val="21"/>
      <w:szCs w:val="21"/>
      <w:lang w:val="en-US" w:eastAsia="zh-CN" w:bidi="ar-SA"/>
    </w:rPr>
  </w:style>
  <w:style w:type="paragraph" w:customStyle="1" w:styleId="202">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3">
    <w:name w:val="纯文本_1"/>
    <w:basedOn w:val="202"/>
    <w:link w:val="204"/>
    <w:unhideWhenUsed/>
    <w:qFormat/>
    <w:uiPriority w:val="0"/>
    <w:pPr>
      <w:widowControl/>
      <w:jc w:val="left"/>
    </w:pPr>
    <w:rPr>
      <w:rFonts w:ascii="宋体" w:hAnsi="Courier New"/>
      <w:kern w:val="0"/>
      <w:sz w:val="20"/>
      <w:szCs w:val="21"/>
    </w:rPr>
  </w:style>
  <w:style w:type="character" w:customStyle="1" w:styleId="204">
    <w:name w:val="纯文本 Char_2"/>
    <w:link w:val="203"/>
    <w:qFormat/>
    <w:locked/>
    <w:uiPriority w:val="0"/>
    <w:rPr>
      <w:rFonts w:ascii="宋体" w:hAnsi="Courier New" w:cs="Courier New"/>
      <w:szCs w:val="21"/>
    </w:rPr>
  </w:style>
  <w:style w:type="paragraph" w:customStyle="1" w:styleId="205">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纯文本_2"/>
    <w:basedOn w:val="205"/>
    <w:link w:val="207"/>
    <w:qFormat/>
    <w:uiPriority w:val="0"/>
    <w:pPr>
      <w:widowControl/>
      <w:jc w:val="left"/>
    </w:pPr>
    <w:rPr>
      <w:rFonts w:ascii="宋体" w:hAnsi="Courier New"/>
      <w:kern w:val="0"/>
      <w:sz w:val="20"/>
      <w:szCs w:val="21"/>
    </w:rPr>
  </w:style>
  <w:style w:type="character" w:customStyle="1" w:styleId="207">
    <w:name w:val="纯文本 Char_3"/>
    <w:link w:val="206"/>
    <w:qFormat/>
    <w:uiPriority w:val="0"/>
    <w:rPr>
      <w:rFonts w:ascii="宋体" w:hAnsi="Courier New" w:eastAsia="宋体" w:cs="Courier New"/>
      <w:kern w:val="0"/>
      <w:szCs w:val="21"/>
    </w:rPr>
  </w:style>
  <w:style w:type="paragraph" w:customStyle="1" w:styleId="208">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样式1_0"/>
    <w:basedOn w:val="210"/>
    <w:link w:val="213"/>
    <w:qFormat/>
    <w:uiPriority w:val="0"/>
    <w:pPr>
      <w:widowControl/>
      <w:tabs>
        <w:tab w:val="left" w:pos="420"/>
      </w:tabs>
      <w:adjustRightInd w:val="0"/>
      <w:snapToGrid w:val="0"/>
      <w:spacing w:before="0" w:after="0" w:line="360" w:lineRule="auto"/>
      <w:ind w:left="420" w:hanging="420"/>
      <w:jc w:val="center"/>
    </w:pPr>
    <w:rPr>
      <w:rFonts w:ascii="宋体" w:hAnsi="Arial"/>
      <w:bCs w:val="0"/>
      <w:szCs w:val="20"/>
    </w:rPr>
  </w:style>
  <w:style w:type="paragraph" w:customStyle="1" w:styleId="210">
    <w:name w:val="标题 2_0_0"/>
    <w:basedOn w:val="211"/>
    <w:next w:val="211"/>
    <w:link w:val="212"/>
    <w:semiHidden/>
    <w:unhideWhenUsed/>
    <w:qFormat/>
    <w:uiPriority w:val="9"/>
    <w:pPr>
      <w:keepNext/>
      <w:keepLines/>
      <w:spacing w:before="260" w:after="260" w:line="416" w:lineRule="auto"/>
      <w:outlineLvl w:val="1"/>
    </w:pPr>
    <w:rPr>
      <w:rFonts w:ascii="Cambria" w:hAnsi="Cambria"/>
      <w:b/>
      <w:bCs/>
      <w:kern w:val="0"/>
      <w:sz w:val="32"/>
      <w:szCs w:val="32"/>
    </w:rPr>
  </w:style>
  <w:style w:type="paragraph" w:customStyle="1" w:styleId="21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12">
    <w:name w:val="标题 2 Char_0"/>
    <w:link w:val="210"/>
    <w:semiHidden/>
    <w:qFormat/>
    <w:uiPriority w:val="9"/>
    <w:rPr>
      <w:rFonts w:ascii="Cambria" w:hAnsi="Cambria" w:eastAsia="宋体" w:cs="Times New Roman"/>
      <w:b/>
      <w:bCs/>
      <w:sz w:val="32"/>
      <w:szCs w:val="32"/>
    </w:rPr>
  </w:style>
  <w:style w:type="character" w:customStyle="1" w:styleId="213">
    <w:name w:val="样式1 Char"/>
    <w:link w:val="209"/>
    <w:qFormat/>
    <w:uiPriority w:val="0"/>
    <w:rPr>
      <w:rFonts w:ascii="宋体" w:hAnsi="Arial" w:eastAsia="宋体" w:cs="Times New Roman"/>
      <w:b/>
      <w:kern w:val="0"/>
      <w:sz w:val="32"/>
      <w:szCs w:val="20"/>
    </w:rPr>
  </w:style>
  <w:style w:type="paragraph" w:customStyle="1" w:styleId="214">
    <w:name w:val="样式1_0_0"/>
    <w:basedOn w:val="215"/>
    <w:link w:val="218"/>
    <w:qFormat/>
    <w:uiPriority w:val="0"/>
    <w:pPr>
      <w:widowControl/>
      <w:tabs>
        <w:tab w:val="left" w:pos="420"/>
      </w:tabs>
      <w:adjustRightInd w:val="0"/>
      <w:snapToGrid w:val="0"/>
      <w:spacing w:before="0" w:after="0" w:line="360" w:lineRule="auto"/>
      <w:ind w:left="420" w:hanging="420"/>
      <w:jc w:val="center"/>
    </w:pPr>
    <w:rPr>
      <w:rFonts w:ascii="宋体" w:hAnsi="Arial"/>
      <w:bCs w:val="0"/>
      <w:szCs w:val="20"/>
    </w:rPr>
  </w:style>
  <w:style w:type="paragraph" w:customStyle="1" w:styleId="215">
    <w:name w:val="标题 2_1_0"/>
    <w:basedOn w:val="216"/>
    <w:next w:val="216"/>
    <w:link w:val="217"/>
    <w:semiHidden/>
    <w:unhideWhenUsed/>
    <w:qFormat/>
    <w:uiPriority w:val="9"/>
    <w:pPr>
      <w:keepNext/>
      <w:keepLines/>
      <w:spacing w:before="260" w:after="260" w:line="416" w:lineRule="auto"/>
      <w:outlineLvl w:val="1"/>
    </w:pPr>
    <w:rPr>
      <w:rFonts w:ascii="Cambria" w:hAnsi="Cambria"/>
      <w:b/>
      <w:bCs/>
      <w:kern w:val="0"/>
      <w:sz w:val="32"/>
      <w:szCs w:val="32"/>
    </w:rPr>
  </w:style>
  <w:style w:type="paragraph" w:customStyle="1" w:styleId="216">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17">
    <w:name w:val="标题 2 Char_1"/>
    <w:link w:val="215"/>
    <w:semiHidden/>
    <w:qFormat/>
    <w:uiPriority w:val="9"/>
    <w:rPr>
      <w:rFonts w:ascii="Cambria" w:hAnsi="Cambria" w:eastAsia="宋体" w:cs="Times New Roman"/>
      <w:b/>
      <w:bCs/>
      <w:sz w:val="32"/>
      <w:szCs w:val="32"/>
    </w:rPr>
  </w:style>
  <w:style w:type="character" w:customStyle="1" w:styleId="218">
    <w:name w:val="样式1 Char_0"/>
    <w:link w:val="214"/>
    <w:qFormat/>
    <w:uiPriority w:val="0"/>
    <w:rPr>
      <w:rFonts w:ascii="宋体" w:hAnsi="Arial" w:eastAsia="宋体" w:cs="Times New Roman"/>
      <w:b/>
      <w:kern w:val="0"/>
      <w:sz w:val="32"/>
      <w:szCs w:val="20"/>
    </w:rPr>
  </w:style>
  <w:style w:type="paragraph" w:customStyle="1" w:styleId="219">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0">
    <w:name w:val="Normal_13"/>
    <w:qFormat/>
    <w:uiPriority w:val="0"/>
    <w:rPr>
      <w:rFonts w:ascii="Times New Roman" w:hAnsi="Times New Roman" w:eastAsia="宋体" w:cs="Times New Roman"/>
      <w:sz w:val="21"/>
      <w:lang w:val="en-US" w:eastAsia="zh-CN" w:bidi="ar-SA"/>
    </w:rPr>
  </w:style>
  <w:style w:type="paragraph" w:customStyle="1" w:styleId="221">
    <w:name w:val="列出段落2"/>
    <w:basedOn w:val="220"/>
    <w:qFormat/>
    <w:uiPriority w:val="34"/>
    <w:pPr>
      <w:ind w:firstLine="420" w:firstLineChars="200"/>
    </w:pPr>
    <w:rPr>
      <w:rFonts w:ascii="Calibri" w:hAnsi="Calibri"/>
    </w:rPr>
  </w:style>
  <w:style w:type="paragraph" w:customStyle="1" w:styleId="222">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3">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4">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5">
    <w:name w:val="Normal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6">
    <w:name w:val="Normal_20"/>
    <w:qFormat/>
    <w:uiPriority w:val="0"/>
    <w:rPr>
      <w:rFonts w:ascii="Times New Roman" w:hAnsi="Times New Roman" w:eastAsia="宋体" w:cs="Times New Roman"/>
      <w:sz w:val="21"/>
      <w:lang w:val="en-US" w:eastAsia="zh-CN" w:bidi="ar-SA"/>
    </w:rPr>
  </w:style>
  <w:style w:type="paragraph" w:customStyle="1" w:styleId="227">
    <w:name w:val="Normal_22"/>
    <w:qFormat/>
    <w:uiPriority w:val="0"/>
    <w:rPr>
      <w:rFonts w:ascii="Times New Roman" w:hAnsi="Times New Roman" w:eastAsia="宋体" w:cs="Times New Roman"/>
      <w:sz w:val="21"/>
      <w:lang w:val="en-US" w:eastAsia="zh-CN" w:bidi="ar-SA"/>
    </w:rPr>
  </w:style>
  <w:style w:type="paragraph" w:customStyle="1" w:styleId="228">
    <w:name w:val="样式1_1"/>
    <w:basedOn w:val="229"/>
    <w:link w:val="232"/>
    <w:qFormat/>
    <w:uiPriority w:val="0"/>
    <w:pPr>
      <w:widowControl/>
      <w:tabs>
        <w:tab w:val="left" w:pos="420"/>
      </w:tabs>
      <w:adjustRightInd w:val="0"/>
      <w:snapToGrid w:val="0"/>
      <w:spacing w:before="0" w:after="0" w:line="360" w:lineRule="auto"/>
      <w:ind w:left="420" w:hanging="420"/>
      <w:jc w:val="center"/>
    </w:pPr>
    <w:rPr>
      <w:rFonts w:ascii="宋体" w:hAnsi="Arial"/>
      <w:bCs w:val="0"/>
      <w:szCs w:val="20"/>
    </w:rPr>
  </w:style>
  <w:style w:type="paragraph" w:customStyle="1" w:styleId="229">
    <w:name w:val="标题 2_2"/>
    <w:basedOn w:val="230"/>
    <w:next w:val="230"/>
    <w:link w:val="231"/>
    <w:semiHidden/>
    <w:unhideWhenUsed/>
    <w:qFormat/>
    <w:uiPriority w:val="9"/>
    <w:pPr>
      <w:keepNext/>
      <w:keepLines/>
      <w:spacing w:before="260" w:after="260" w:line="416" w:lineRule="auto"/>
      <w:outlineLvl w:val="1"/>
    </w:pPr>
    <w:rPr>
      <w:rFonts w:ascii="Cambria" w:hAnsi="Cambria"/>
      <w:b/>
      <w:bCs/>
      <w:kern w:val="0"/>
      <w:sz w:val="32"/>
      <w:szCs w:val="32"/>
    </w:rPr>
  </w:style>
  <w:style w:type="paragraph" w:customStyle="1" w:styleId="230">
    <w:name w:val="正文_1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1">
    <w:name w:val="标题 2 Char_2"/>
    <w:link w:val="229"/>
    <w:semiHidden/>
    <w:qFormat/>
    <w:uiPriority w:val="9"/>
    <w:rPr>
      <w:rFonts w:ascii="Cambria" w:hAnsi="Cambria" w:eastAsia="宋体" w:cs="Times New Roman"/>
      <w:b/>
      <w:bCs/>
      <w:sz w:val="32"/>
      <w:szCs w:val="32"/>
    </w:rPr>
  </w:style>
  <w:style w:type="character" w:customStyle="1" w:styleId="232">
    <w:name w:val="样式1 Char_1"/>
    <w:link w:val="228"/>
    <w:qFormat/>
    <w:uiPriority w:val="0"/>
    <w:rPr>
      <w:rFonts w:ascii="宋体" w:hAnsi="Arial" w:eastAsia="宋体" w:cs="Times New Roman"/>
      <w:b/>
      <w:kern w:val="0"/>
      <w:sz w:val="32"/>
      <w:szCs w:val="20"/>
    </w:rPr>
  </w:style>
  <w:style w:type="paragraph" w:customStyle="1" w:styleId="233">
    <w:name w:val="正文_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4">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5">
    <w:name w:val="正文-段落"/>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236">
    <w:name w:val="我的正文"/>
    <w:basedOn w:val="1"/>
    <w:link w:val="237"/>
    <w:qFormat/>
    <w:uiPriority w:val="0"/>
    <w:pPr>
      <w:spacing w:line="360" w:lineRule="auto"/>
      <w:ind w:firstLine="480" w:firstLineChars="200"/>
    </w:pPr>
    <w:rPr>
      <w:rFonts w:ascii="Times New Roman" w:hAnsi="Times New Roman"/>
      <w:sz w:val="24"/>
      <w:szCs w:val="24"/>
    </w:rPr>
  </w:style>
  <w:style w:type="character" w:customStyle="1" w:styleId="237">
    <w:name w:val="我的正文 Char"/>
    <w:link w:val="236"/>
    <w:qFormat/>
    <w:uiPriority w:val="0"/>
    <w:rPr>
      <w:kern w:val="2"/>
      <w:sz w:val="24"/>
      <w:szCs w:val="24"/>
    </w:rPr>
  </w:style>
  <w:style w:type="paragraph" w:customStyle="1" w:styleId="238">
    <w:name w:val="正文内容格式"/>
    <w:basedOn w:val="1"/>
    <w:link w:val="239"/>
    <w:qFormat/>
    <w:uiPriority w:val="0"/>
    <w:pPr>
      <w:widowControl/>
      <w:adjustRightInd w:val="0"/>
      <w:snapToGrid w:val="0"/>
      <w:spacing w:line="360" w:lineRule="auto"/>
      <w:ind w:firstLine="482"/>
      <w:textAlignment w:val="baseline"/>
    </w:pPr>
    <w:rPr>
      <w:rFonts w:ascii="Times New Roman" w:hAnsi="Times New Roman" w:eastAsia="仿宋_GB2312"/>
      <w:kern w:val="0"/>
      <w:sz w:val="28"/>
      <w:szCs w:val="20"/>
      <w:lang w:val="zh-CN"/>
    </w:rPr>
  </w:style>
  <w:style w:type="character" w:customStyle="1" w:styleId="239">
    <w:name w:val="正文内容格式 Char"/>
    <w:link w:val="238"/>
    <w:qFormat/>
    <w:uiPriority w:val="0"/>
    <w:rPr>
      <w:rFonts w:eastAsia="仿宋_GB2312"/>
      <w:sz w:val="28"/>
      <w:lang w:val="zh-CN"/>
    </w:rPr>
  </w:style>
  <w:style w:type="character" w:customStyle="1" w:styleId="240">
    <w:name w:val="列出段落 字符"/>
    <w:qFormat/>
    <w:uiPriority w:val="34"/>
    <w:rPr>
      <w:rFonts w:ascii="Calibri" w:hAnsi="Calibri" w:eastAsia="宋体" w:cs="Times New Roman"/>
      <w:kern w:val="0"/>
      <w:szCs w:val="20"/>
    </w:rPr>
  </w:style>
  <w:style w:type="paragraph" w:customStyle="1" w:styleId="241">
    <w:name w:val="模板普通正文"/>
    <w:basedOn w:val="23"/>
    <w:qFormat/>
    <w:uiPriority w:val="0"/>
    <w:pPr>
      <w:tabs>
        <w:tab w:val="left" w:pos="700"/>
      </w:tabs>
      <w:spacing w:beforeLines="50" w:after="10" w:line="360" w:lineRule="auto"/>
      <w:ind w:left="0" w:leftChars="0" w:firstLine="490" w:firstLineChars="175"/>
      <w:jc w:val="left"/>
    </w:pPr>
    <w:rPr>
      <w:rFonts w:ascii="宋体" w:hAnsi="宋体"/>
      <w:sz w:val="24"/>
      <w:szCs w:val="24"/>
    </w:rPr>
  </w:style>
  <w:style w:type="paragraph" w:customStyle="1" w:styleId="242">
    <w:name w:val="Table Paragraph"/>
    <w:basedOn w:val="1"/>
    <w:qFormat/>
    <w:uiPriority w:val="1"/>
    <w:pPr>
      <w:jc w:val="left"/>
    </w:pPr>
    <w:rPr>
      <w:rFonts w:asciiTheme="minorHAnsi" w:hAnsiTheme="minorHAnsi" w:eastAsiaTheme="minorEastAsia" w:cstheme="minorBidi"/>
      <w:kern w:val="0"/>
      <w:sz w:val="22"/>
      <w:lang w:eastAsia="en-US"/>
    </w:rPr>
  </w:style>
  <w:style w:type="character" w:customStyle="1" w:styleId="243">
    <w:name w:val="页脚 字符"/>
    <w:link w:val="32"/>
    <w:qFormat/>
    <w:uiPriority w:val="99"/>
    <w:rPr>
      <w:rFonts w:ascii="Calibri" w:hAnsi="Calibri"/>
      <w:kern w:val="2"/>
      <w:sz w:val="18"/>
      <w:szCs w:val="22"/>
    </w:rPr>
  </w:style>
  <w:style w:type="character" w:customStyle="1" w:styleId="244">
    <w:name w:val="未处理的提及1"/>
    <w:basedOn w:val="48"/>
    <w:semiHidden/>
    <w:unhideWhenUsed/>
    <w:qFormat/>
    <w:uiPriority w:val="99"/>
    <w:rPr>
      <w:color w:val="605E5C"/>
      <w:shd w:val="clear" w:color="auto" w:fill="E1DFDD"/>
    </w:rPr>
  </w:style>
  <w:style w:type="paragraph" w:customStyle="1" w:styleId="245">
    <w:name w:val="*正文"/>
    <w:basedOn w:val="1"/>
    <w:link w:val="252"/>
    <w:qFormat/>
    <w:uiPriority w:val="0"/>
    <w:pPr>
      <w:ind w:firstLine="560" w:firstLineChars="200"/>
    </w:pPr>
    <w:rPr>
      <w:rFonts w:ascii="仿宋_GB2312" w:hAnsi="Times New Roman" w:eastAsia="仿宋_GB2312"/>
      <w:kern w:val="0"/>
      <w:sz w:val="28"/>
      <w:szCs w:val="28"/>
      <w:lang w:val="zh-CN"/>
    </w:rPr>
  </w:style>
  <w:style w:type="character" w:customStyle="1" w:styleId="246">
    <w:name w:val="页眉 字符"/>
    <w:basedOn w:val="48"/>
    <w:link w:val="35"/>
    <w:qFormat/>
    <w:uiPriority w:val="99"/>
    <w:rPr>
      <w:kern w:val="2"/>
      <w:sz w:val="18"/>
      <w:szCs w:val="22"/>
    </w:rPr>
  </w:style>
  <w:style w:type="character" w:customStyle="1" w:styleId="247">
    <w:name w:val="font11"/>
    <w:basedOn w:val="48"/>
    <w:qFormat/>
    <w:uiPriority w:val="0"/>
    <w:rPr>
      <w:rFonts w:hint="eastAsia" w:ascii="宋体" w:hAnsi="宋体" w:eastAsia="宋体" w:cs="宋体"/>
      <w:color w:val="000000"/>
      <w:sz w:val="20"/>
      <w:szCs w:val="20"/>
      <w:u w:val="none"/>
    </w:rPr>
  </w:style>
  <w:style w:type="paragraph" w:customStyle="1" w:styleId="248">
    <w:name w:val="修订2"/>
    <w:hidden/>
    <w:semiHidden/>
    <w:qFormat/>
    <w:uiPriority w:val="99"/>
    <w:rPr>
      <w:rFonts w:ascii="Calibri" w:hAnsi="Calibri" w:eastAsia="宋体" w:cs="Times New Roman"/>
      <w:kern w:val="2"/>
      <w:sz w:val="21"/>
      <w:szCs w:val="22"/>
      <w:lang w:val="en-US" w:eastAsia="zh-CN" w:bidi="ar-SA"/>
    </w:rPr>
  </w:style>
  <w:style w:type="character" w:customStyle="1" w:styleId="249">
    <w:name w:val="采购正文 字符"/>
    <w:link w:val="250"/>
    <w:qFormat/>
    <w:uiPriority w:val="0"/>
    <w:rPr>
      <w:rFonts w:ascii="楷体_GB2312" w:hAnsi="华文楷体" w:eastAsia="仿宋_GB2312"/>
      <w:kern w:val="2"/>
      <w:sz w:val="28"/>
      <w:szCs w:val="28"/>
    </w:rPr>
  </w:style>
  <w:style w:type="paragraph" w:customStyle="1" w:styleId="250">
    <w:name w:val="采购正文"/>
    <w:basedOn w:val="1"/>
    <w:link w:val="249"/>
    <w:qFormat/>
    <w:uiPriority w:val="0"/>
    <w:pPr>
      <w:ind w:firstLine="200" w:firstLineChars="200"/>
      <w:jc w:val="left"/>
    </w:pPr>
    <w:rPr>
      <w:rFonts w:ascii="楷体_GB2312" w:hAnsi="华文楷体" w:eastAsia="仿宋_GB2312"/>
      <w:sz w:val="28"/>
      <w:szCs w:val="28"/>
    </w:rPr>
  </w:style>
  <w:style w:type="paragraph" w:customStyle="1" w:styleId="251">
    <w:name w:val="0~正文"/>
    <w:basedOn w:val="1"/>
    <w:qFormat/>
    <w:uiPriority w:val="0"/>
    <w:pPr>
      <w:spacing w:line="360" w:lineRule="auto"/>
      <w:ind w:firstLine="480" w:firstLineChars="200"/>
    </w:pPr>
    <w:rPr>
      <w:rFonts w:ascii="Times New Roman" w:hAnsi="Times New Roman"/>
      <w:sz w:val="24"/>
      <w:szCs w:val="24"/>
    </w:rPr>
  </w:style>
  <w:style w:type="character" w:customStyle="1" w:styleId="252">
    <w:name w:val="*正文 Char Char"/>
    <w:link w:val="245"/>
    <w:qFormat/>
    <w:uiPriority w:val="0"/>
    <w:rPr>
      <w:rFonts w:ascii="仿宋_GB2312" w:eastAsia="仿宋_GB2312"/>
      <w:sz w:val="28"/>
      <w:szCs w:val="28"/>
      <w:lang w:val="zh-CN"/>
    </w:rPr>
  </w:style>
  <w:style w:type="paragraph" w:customStyle="1" w:styleId="253">
    <w:name w:val="Revision"/>
    <w:hidden/>
    <w:semiHidden/>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D547D7-85DA-4B8B-BF2A-550733ABE550}">
  <ds:schemaRefs/>
</ds:datastoreItem>
</file>

<file path=docProps/app.xml><?xml version="1.0" encoding="utf-8"?>
<Properties xmlns="http://schemas.openxmlformats.org/officeDocument/2006/extended-properties" xmlns:vt="http://schemas.openxmlformats.org/officeDocument/2006/docPropsVTypes">
  <Template>Normal.dotm</Template>
  <Company>您的公司名</Company>
  <Pages>68</Pages>
  <Words>9784</Words>
  <Characters>55775</Characters>
  <Lines>464</Lines>
  <Paragraphs>130</Paragraphs>
  <TotalTime>738</TotalTime>
  <ScaleCrop>false</ScaleCrop>
  <LinksUpToDate>false</LinksUpToDate>
  <CharactersWithSpaces>65429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2020-06-23T03:57:00Z</dcterms:created>
  <dc:creator>user</dc:creator>
  <cp:lastModifiedBy>刘奕慧</cp:lastModifiedBy>
  <cp:lastPrinted>2018-10-29T08:23:00Z</cp:lastPrinted>
  <dcterms:modified xsi:type="dcterms:W3CDTF">2020-07-21T09:19:33Z</dcterms:modified>
  <cp:revision>394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_2015_ms_pID_725343">
    <vt:lpwstr>(3)mVPtZ4D/mjodXWUbovdj4D0tgA4kFl26YJEwOrQdSfS/q1mhGqkxY8Dp6N1D0GJSx+cBFLxC
N221qe+J8srW8FWHltfmKuf1tkAtxFvl9+orydpsFd2YT3kIts75Eha3l+bBjAvdfEpLBjpa
wrN5FJ0J5kQpBa6zOWZjrtnJFHTroq+VYYyx45mGUV9OghXaqPySw2QajCqIRUHclb9W5iQ8
F77QpkxjZV7M/SsL5q</vt:lpwstr>
  </property>
  <property fmtid="{D5CDD505-2E9C-101B-9397-08002B2CF9AE}" pid="4" name="_2015_ms_pID_7253431">
    <vt:lpwstr>6WjiGhapQ/PiaxHBG8LyQ3nrGyEqMV/b3UUrvjfa+S5fA1B8eV3lx0
dFmsh8UOhyJzVBMXCI/qtevxvomm9uHuv75m1LKc+hQllD1l5K+mOrTcugSL4MQF64Ov+8LZ
ktsjkra5vXElWBesMURItc1uvPXFhmeV2y84eYEhaARPCE6M9U5BsrEjBIlijAogpf0pQcue
Gjrzg1IkPQCoBBTZBArhZsk+47T+ID7fEBJx</vt:lpwstr>
  </property>
  <property fmtid="{D5CDD505-2E9C-101B-9397-08002B2CF9AE}" pid="5" name="_2015_ms_pID_7253432">
    <vt:lpwstr>tEZsQBe61yIFrsYCzJIwGP4=</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1593934402</vt:lpwstr>
  </property>
</Properties>
</file>