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483"/>
        <w:tblOverlap w:val="never"/>
        <w:tblW w:w="1207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971"/>
        <w:gridCol w:w="6527"/>
        <w:gridCol w:w="16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广东海警局</w:t>
            </w:r>
          </w:p>
        </w:tc>
        <w:tc>
          <w:tcPr>
            <w:tcW w:w="6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年广东省近岸海域污染防治联合行动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广东海事局</w:t>
            </w:r>
          </w:p>
        </w:tc>
        <w:tc>
          <w:tcPr>
            <w:tcW w:w="6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年广东省近岸海域污染防治联合行动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广东省海洋综合执法总队</w:t>
            </w:r>
          </w:p>
        </w:tc>
        <w:tc>
          <w:tcPr>
            <w:tcW w:w="6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年广东省近岸海域污染防治联合行动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资金安排计划表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56805"/>
    <w:rsid w:val="03677258"/>
    <w:rsid w:val="778E3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2020-10-21T08:18:00Z</dcterms:created>
  <dc:creator>李章胜</dc:creator>
  <cp:lastModifiedBy>李章胜</cp:lastModifiedBy>
  <dcterms:modified xsi:type="dcterms:W3CDTF">2020-10-21T08:31:56Z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