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2022年专项资金一级项目清单</w:t>
      </w:r>
    </w:p>
    <w:tbl>
      <w:tblPr>
        <w:tblStyle w:val="7"/>
        <w:tblW w:w="7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9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政策任务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一级项目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一、生态环境监测执法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生态环境监测网建设与运维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生态环境执法及应急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二、污染防治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水污染防治和省内外流域生态补偿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近岸海域污染防治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大气污染防治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土壤和地下水污染防治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固体废物与化学品污染防治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核与辐射安全及污染防治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三、应对气候变化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碳达峰、碳中和等应对气候变化事务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四、生态环境监督管理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生态环境专题专项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生态环境科技支撑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生态环境宣传教育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0DEC"/>
    <w:rsid w:val="01FA0DEC"/>
    <w:rsid w:val="48DC0C3E"/>
    <w:rsid w:val="678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  <w:sz w:val="30"/>
    </w:rPr>
  </w:style>
  <w:style w:type="paragraph" w:styleId="3">
    <w:name w:val="Body Text Indent"/>
    <w:basedOn w:val="1"/>
    <w:qFormat/>
    <w:uiPriority w:val="0"/>
    <w:pPr>
      <w:ind w:firstLine="632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2021-05-25T03:41:00Z</dcterms:created>
  <dc:creator>张姝羽</dc:creator>
  <cp:lastModifiedBy>刘佳</cp:lastModifiedBy>
  <dcterms:modified xsi:type="dcterms:W3CDTF">2021-05-28T02:09:22Z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