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广东省VOCs重点监管企业管理手册（参考模板）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" w:right="-17" w:firstLine="363"/>
        <w:jc w:val="both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一、企业基本情况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注明企业名称、所属行政区、生产经营场所地址及经纬度、所属行业名称及代码（按照《国民经济行业分类》填写）、行业类型（按照《广东省涉挥发性有机物（VOCs）企业分级规则（试行）》分类填写）、所属工业园区、排污许可证管理类型（区分重点、一般）、企业生产规模等信息。具体见“表1-1 企业基本信息表”。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注明企业是否开展VOCs销号式综合整治，VOCs综合整治方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案（“一企一方案”）的编制、评审、落实整改及核实评估情况。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6" w:after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spacing w:val="2"/>
          <w:w w:val="1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表</w:t>
      </w:r>
      <w:r>
        <w:rPr>
          <w:rFonts w:hint="eastAsia"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pacing w:val="0"/>
          <w:w w:val="100"/>
          <w:sz w:val="28"/>
          <w:szCs w:val="28"/>
        </w:rPr>
        <w:t>1</w:t>
      </w:r>
      <w:r>
        <w:rPr>
          <w:rFonts w:hint="eastAsia" w:ascii="黑体" w:hAnsi="黑体" w:eastAsia="黑体" w:cs="黑体"/>
          <w:b/>
          <w:bCs/>
          <w:spacing w:val="-1"/>
          <w:w w:val="100"/>
          <w:sz w:val="28"/>
          <w:szCs w:val="28"/>
        </w:rPr>
        <w:t>-</w:t>
      </w:r>
      <w:r>
        <w:rPr>
          <w:rFonts w:hint="eastAsia" w:ascii="黑体" w:hAnsi="黑体" w:eastAsia="黑体" w:cs="黑体"/>
          <w:b/>
          <w:bCs/>
          <w:spacing w:val="0"/>
          <w:w w:val="100"/>
          <w:sz w:val="28"/>
          <w:szCs w:val="28"/>
        </w:rPr>
        <w:t>1</w:t>
      </w:r>
      <w:r>
        <w:rPr>
          <w:rFonts w:hint="eastAsia" w:ascii="黑体" w:hAnsi="黑体" w:eastAsia="黑体" w:cs="黑体"/>
          <w:b/>
          <w:bCs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2"/>
          <w:w w:val="100"/>
          <w:sz w:val="28"/>
          <w:szCs w:val="28"/>
        </w:rPr>
        <w:t>企</w:t>
      </w:r>
      <w:r>
        <w:rPr>
          <w:rFonts w:hint="eastAsia" w:ascii="黑体" w:hAnsi="黑体" w:eastAsia="黑体" w:cs="黑体"/>
          <w:spacing w:val="0"/>
          <w:w w:val="100"/>
          <w:sz w:val="28"/>
          <w:szCs w:val="28"/>
        </w:rPr>
        <w:t>业</w:t>
      </w:r>
      <w:r>
        <w:rPr>
          <w:rFonts w:hint="eastAsia" w:ascii="黑体" w:hAnsi="黑体" w:eastAsia="黑体" w:cs="黑体"/>
          <w:spacing w:val="2"/>
          <w:w w:val="100"/>
          <w:sz w:val="28"/>
          <w:szCs w:val="28"/>
        </w:rPr>
        <w:t>基</w:t>
      </w:r>
      <w:r>
        <w:rPr>
          <w:rFonts w:hint="eastAsia" w:ascii="黑体" w:hAnsi="黑体" w:eastAsia="黑体" w:cs="黑体"/>
          <w:spacing w:val="2"/>
          <w:w w:val="100"/>
          <w:sz w:val="28"/>
          <w:szCs w:val="28"/>
          <w:lang w:eastAsia="zh-CN"/>
        </w:rPr>
        <w:t>本信息表</w:t>
      </w:r>
    </w:p>
    <w:p>
      <w:pPr>
        <w:spacing w:before="6" w:after="0" w:line="90" w:lineRule="exact"/>
        <w:jc w:val="left"/>
        <w:rPr>
          <w:rFonts w:hint="eastAsia" w:ascii="黑体" w:hAnsi="黑体" w:eastAsia="黑体" w:cs="黑体"/>
          <w:sz w:val="21"/>
          <w:szCs w:val="21"/>
        </w:rPr>
      </w:pPr>
    </w:p>
    <w:tbl>
      <w:tblPr>
        <w:tblStyle w:val="4"/>
        <w:tblW w:w="98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1219"/>
        <w:gridCol w:w="3491"/>
        <w:gridCol w:w="18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334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名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称</w:t>
            </w:r>
          </w:p>
        </w:tc>
        <w:tc>
          <w:tcPr>
            <w:tcW w:w="6540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334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81" w:right="774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地址</w:t>
            </w:r>
          </w:p>
        </w:tc>
        <w:tc>
          <w:tcPr>
            <w:tcW w:w="65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334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81" w:right="774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经度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63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771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纬度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44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334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组织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机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构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代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码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62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行业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代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码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501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334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行业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名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称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100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企业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联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系人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79" w:right="755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334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联系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电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话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70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电子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邮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箱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334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建厂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时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间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297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最新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改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扩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建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334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职工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人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人）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859" w:right="836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97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年生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产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间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小时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867" w:right="841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34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90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年营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业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收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入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万元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53" w:right="73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97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年生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产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本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pacing w:val="-2"/>
                <w:w w:val="100"/>
                <w:sz w:val="21"/>
                <w:szCs w:val="21"/>
              </w:rPr>
              <w:t>万元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762" w:right="735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否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开展VOCs综合整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334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90" w:right="-2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eastAsia="zh-CN"/>
              </w:rPr>
              <w:t>“一企一策”方案评审时间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90" w:right="-2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right="-20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eastAsia="zh-CN"/>
              </w:rPr>
              <w:t>“一企一策”现场核实评估通过时间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563" w:right="-2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334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90" w:right="-2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eastAsia="zh-CN"/>
              </w:rPr>
              <w:t>是否完成“一企一策”提升整改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90" w:right="-2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eastAsia="zh-CN"/>
              </w:rPr>
            </w:pPr>
          </w:p>
        </w:tc>
        <w:tc>
          <w:tcPr>
            <w:tcW w:w="349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02" w:right="-2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否开展VOCs销号式综合整治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563" w:right="-2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default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pacing w:val="0"/>
          <w:w w:val="100"/>
          <w:sz w:val="32"/>
          <w:szCs w:val="32"/>
          <w:lang w:val="en-US" w:eastAsia="zh-CN"/>
        </w:rPr>
        <w:t>企业生产现状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2.1 企业设计产能及实际生产情况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列表逐项说明企业设计产能，以及近三年的产能和生产场所等（见表2-1）。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6" w:after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spacing w:val="2"/>
          <w:w w:val="1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2"/>
          <w:w w:val="100"/>
          <w:sz w:val="28"/>
          <w:szCs w:val="28"/>
          <w:lang w:eastAsia="zh-CN"/>
        </w:rPr>
        <w:t>表 2-1  项目设计产能及实际生产情况表</w:t>
      </w:r>
    </w:p>
    <w:tbl>
      <w:tblPr>
        <w:tblStyle w:val="5"/>
        <w:tblW w:w="10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28"/>
        <w:gridCol w:w="1428"/>
        <w:gridCol w:w="1428"/>
        <w:gridCol w:w="1428"/>
        <w:gridCol w:w="1428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64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产品名称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设计产能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2019年产量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2020年产量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2021年产量</w:t>
            </w:r>
          </w:p>
        </w:tc>
        <w:tc>
          <w:tcPr>
            <w:tcW w:w="1034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计量单位</w:t>
            </w:r>
          </w:p>
        </w:tc>
        <w:tc>
          <w:tcPr>
            <w:tcW w:w="1034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生产场所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产品1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428" w:type="dxa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XX厂房XX楼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产品2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428" w:type="dxa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428" w:type="dxa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FF0000"/>
                <w:sz w:val="18"/>
                <w:szCs w:val="20"/>
                <w:lang w:val="en-US" w:eastAsia="zh-CN"/>
              </w:rPr>
              <w:t>XX厂房XX楼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vAlign w:val="center"/>
          </w:tcPr>
          <w:p>
            <w:pPr>
              <w:adjustRightInd w:val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……</w:t>
            </w: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28" w:type="dxa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28" w:type="dxa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20"/>
                <w:lang w:val="en-US" w:eastAsia="zh-CN"/>
              </w:rPr>
            </w:pPr>
          </w:p>
        </w:tc>
      </w:tr>
    </w:tbl>
    <w:p>
      <w:pPr>
        <w:spacing w:before="0" w:after="0" w:line="325" w:lineRule="exact"/>
        <w:ind w:right="-20"/>
        <w:jc w:val="center"/>
        <w:rPr>
          <w:rFonts w:hint="default" w:ascii="Times New Roman" w:hAnsi="Times New Roman" w:eastAsia="宋体" w:cs="Times New Roman"/>
          <w:spacing w:val="0"/>
          <w:w w:val="100"/>
          <w:position w:val="-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2.2 主要原辅材料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列表逐项说明企业使用的原辅材料名称、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VOCs含量、</w:t>
      </w:r>
      <w: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设计年最大使用量、上一自然年使用量（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见</w:t>
      </w:r>
      <w: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表2-2）。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6" w:after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spacing w:val="2"/>
          <w:w w:val="1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pacing w:val="2"/>
          <w:w w:val="100"/>
          <w:sz w:val="28"/>
          <w:szCs w:val="28"/>
          <w:lang w:eastAsia="zh-CN"/>
        </w:rPr>
        <w:t>表 2-2</w:t>
      </w:r>
      <w:r>
        <w:rPr>
          <w:rFonts w:hint="eastAsia" w:ascii="黑体" w:hAnsi="黑体" w:eastAsia="黑体" w:cs="黑体"/>
          <w:spacing w:val="2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2"/>
          <w:w w:val="100"/>
          <w:sz w:val="28"/>
          <w:szCs w:val="28"/>
          <w:lang w:eastAsia="zh-CN"/>
        </w:rPr>
        <w:t>主要原辅材料清单</w:t>
      </w:r>
    </w:p>
    <w:p>
      <w:pPr>
        <w:spacing w:before="1" w:after="0" w:line="100" w:lineRule="exact"/>
        <w:jc w:val="left"/>
        <w:rPr>
          <w:rFonts w:hint="eastAsia" w:ascii="黑体" w:hAnsi="黑体" w:eastAsia="黑体" w:cs="黑体"/>
          <w:sz w:val="21"/>
          <w:szCs w:val="21"/>
        </w:rPr>
      </w:pPr>
    </w:p>
    <w:tbl>
      <w:tblPr>
        <w:tblStyle w:val="4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790"/>
        <w:gridCol w:w="1039"/>
        <w:gridCol w:w="1173"/>
        <w:gridCol w:w="1009"/>
        <w:gridCol w:w="996"/>
        <w:gridCol w:w="1043"/>
        <w:gridCol w:w="1292"/>
        <w:gridCol w:w="954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exact"/>
          <w:tblHeader/>
        </w:trPr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59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-2"/>
                <w:sz w:val="21"/>
                <w:szCs w:val="21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号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名称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设计年最大使用量（单位）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上一自然年使用量（单位）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使用工</w:t>
            </w:r>
            <w:r>
              <w:rPr>
                <w:rFonts w:hint="eastAsia" w:ascii="黑体" w:hAnsi="黑体" w:eastAsia="黑体" w:cs="黑体"/>
                <w:spacing w:val="3"/>
                <w:w w:val="100"/>
                <w:sz w:val="21"/>
                <w:szCs w:val="21"/>
              </w:rPr>
              <w:t>序</w:t>
            </w:r>
            <w:r>
              <w:rPr>
                <w:rFonts w:hint="eastAsia" w:ascii="黑体" w:hAnsi="黑体" w:eastAsia="黑体" w:cs="黑体"/>
                <w:b/>
                <w:bCs/>
                <w:spacing w:val="-4"/>
                <w:w w:val="1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位置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储存方</w:t>
            </w:r>
            <w:r>
              <w:rPr>
                <w:rFonts w:hint="eastAsia" w:ascii="黑体" w:hAnsi="黑体" w:eastAsia="黑体" w:cs="黑体"/>
                <w:spacing w:val="2"/>
                <w:w w:val="100"/>
                <w:sz w:val="21"/>
                <w:szCs w:val="21"/>
              </w:rPr>
              <w:t>式</w:t>
            </w:r>
            <w:r>
              <w:rPr>
                <w:rFonts w:hint="eastAsia" w:ascii="黑体" w:hAnsi="黑体" w:eastAsia="黑体" w:cs="黑体"/>
                <w:b/>
                <w:bCs/>
                <w:spacing w:val="-4"/>
                <w:w w:val="1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位置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  <w:t>VOCs含量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  <w:t>原辅材料VOCs含量计量单位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superscript"/>
                <w:lang w:eastAsia="zh-CN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-1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eastAsia="zh-CN"/>
              </w:rPr>
              <w:t>规格、形态及组分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上一自然年VOCs产生量（吨）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7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物料1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XX工艺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  <w:t>车间存放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7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7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7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0"/>
                <w:sz w:val="21"/>
                <w:szCs w:val="21"/>
              </w:rPr>
              <w:t>固体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7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2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物料2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  <w:t>车间存放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7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7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2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0"/>
                <w:sz w:val="21"/>
                <w:szCs w:val="21"/>
              </w:rPr>
              <w:t>固体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2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8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6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物料3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XX工艺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  <w:t>密闭包装袋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7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7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954" w:type="dxa"/>
            <w:vAlign w:val="center"/>
          </w:tcPr>
          <w:p>
            <w:pPr>
              <w:spacing w:before="4" w:after="0" w:line="120" w:lineRule="exact"/>
              <w:jc w:val="left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900"/>
              </w:tabs>
              <w:spacing w:before="0" w:after="0" w:line="240" w:lineRule="auto"/>
              <w:ind w:left="-169" w:leftChars="0" w:right="-20" w:rightChars="0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0"/>
                <w:sz w:val="21"/>
                <w:szCs w:val="21"/>
              </w:rPr>
              <w:t>固体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exact"/>
        </w:trPr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5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物料4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XX工艺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密闭容器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5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5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954" w:type="dxa"/>
            <w:vAlign w:val="top"/>
          </w:tcPr>
          <w:p>
            <w:pPr>
              <w:spacing w:before="9" w:after="0" w:line="240" w:lineRule="auto"/>
              <w:ind w:left="57" w:right="37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混合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液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>体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可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挥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发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成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分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约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exact"/>
        </w:trPr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2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物料5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丝印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移印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密闭容器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2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2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g/L</w:t>
            </w:r>
          </w:p>
        </w:tc>
        <w:tc>
          <w:tcPr>
            <w:tcW w:w="954" w:type="dxa"/>
            <w:vAlign w:val="top"/>
          </w:tcPr>
          <w:p>
            <w:pPr>
              <w:spacing w:before="40" w:after="0" w:line="312" w:lineRule="exact"/>
              <w:ind w:left="25" w:leftChars="0" w:right="3" w:rightChars="0" w:hanging="2" w:firstLineChars="0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混合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液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体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可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挥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发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成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分约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%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exact"/>
        </w:trPr>
        <w:tc>
          <w:tcPr>
            <w:tcW w:w="868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-3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企业根据不同原辅材料VOCs含量限值标准中VOC含量单位填写计量单位，如g/L、g/Kg或%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11" w:right="-17" w:firstLine="363"/>
        <w:jc w:val="both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三、主要生产工艺流程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20" w:firstLine="630" w:firstLineChars="300"/>
        <w:jc w:val="left"/>
        <w:textAlignment w:val="auto"/>
        <w:rPr>
          <w:rFonts w:hint="default" w:ascii="Times New Roman" w:hAnsi="Times New Roman" w:eastAsia="宋体" w:cs="Times New Roman"/>
          <w:spacing w:val="0"/>
          <w:w w:val="1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文字描述企业生产设施、生产工艺流程、生产线条数情况，重点标注涉VOCs产生环节，并附上生产工艺流程图（含VOCs产排环节），如有必要建议绘制物料平衡图或排放量分配比饼图。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四、各VOCs产排污环节分析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通过文字配合表格（见表4-1）分析企业各VOCs产排污环节，描述各生产工艺收集、治理、物料使用及回收情况。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after="0" w:line="360" w:lineRule="auto"/>
        <w:ind w:right="41"/>
        <w:jc w:val="both"/>
        <w:textAlignment w:val="auto"/>
        <w:rPr>
          <w:rFonts w:hint="default" w:ascii="Times New Roman" w:hAnsi="Times New Roman" w:eastAsia="宋体" w:cs="Times New Roman"/>
          <w:spacing w:val="0"/>
          <w:w w:val="100"/>
          <w:sz w:val="24"/>
          <w:szCs w:val="24"/>
        </w:rPr>
        <w:sectPr>
          <w:pgSz w:w="11920" w:h="16840"/>
          <w:pgMar w:top="1120" w:right="980" w:bottom="1320" w:left="1080" w:header="0" w:footer="7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6" w:after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spacing w:val="0"/>
          <w:w w:val="100"/>
          <w:sz w:val="28"/>
          <w:szCs w:val="28"/>
        </w:rPr>
      </w:pPr>
      <w:r>
        <w:rPr>
          <w:rFonts w:hint="eastAsia" w:ascii="黑体" w:hAnsi="黑体" w:eastAsia="黑体" w:cs="黑体"/>
          <w:spacing w:val="0"/>
          <w:w w:val="100"/>
          <w:sz w:val="28"/>
          <w:szCs w:val="28"/>
        </w:rPr>
        <w:t xml:space="preserve">表 </w:t>
      </w:r>
      <w:r>
        <w:rPr>
          <w:rFonts w:hint="eastAsia" w:ascii="黑体" w:hAnsi="黑体" w:eastAsia="黑体" w:cs="黑体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pacing w:val="0"/>
          <w:w w:val="100"/>
          <w:sz w:val="28"/>
          <w:szCs w:val="28"/>
        </w:rPr>
        <w:t>-</w:t>
      </w:r>
      <w:r>
        <w:rPr>
          <w:rFonts w:hint="eastAsia" w:ascii="黑体" w:hAnsi="黑体" w:eastAsia="黑体" w:cs="黑体"/>
          <w:spacing w:val="0"/>
          <w:w w:val="100"/>
          <w:sz w:val="28"/>
          <w:szCs w:val="28"/>
          <w:lang w:val="en-US" w:eastAsia="zh-CN"/>
        </w:rPr>
        <w:t xml:space="preserve">1 </w:t>
      </w:r>
      <w:r>
        <w:rPr>
          <w:rFonts w:hint="eastAsia" w:ascii="黑体" w:hAnsi="黑体" w:eastAsia="黑体" w:cs="黑体"/>
          <w:spacing w:val="0"/>
          <w:w w:val="100"/>
          <w:sz w:val="28"/>
          <w:szCs w:val="28"/>
        </w:rPr>
        <w:t>企业</w:t>
      </w:r>
      <w:r>
        <w:rPr>
          <w:rFonts w:hint="eastAsia" w:ascii="黑体" w:hAnsi="黑体" w:eastAsia="黑体" w:cs="黑体"/>
          <w:spacing w:val="0"/>
          <w:w w:val="100"/>
          <w:sz w:val="28"/>
          <w:szCs w:val="28"/>
          <w:lang w:val="en-US" w:eastAsia="zh-CN"/>
        </w:rPr>
        <w:t>上一自然年</w:t>
      </w:r>
      <w:r>
        <w:rPr>
          <w:rFonts w:hint="eastAsia" w:ascii="黑体" w:hAnsi="黑体" w:eastAsia="黑体" w:cs="黑体"/>
          <w:spacing w:val="0"/>
          <w:w w:val="100"/>
          <w:sz w:val="28"/>
          <w:szCs w:val="28"/>
        </w:rPr>
        <w:t>VOCs 产排污环节一览表</w:t>
      </w:r>
    </w:p>
    <w:tbl>
      <w:tblPr>
        <w:tblStyle w:val="4"/>
        <w:tblW w:w="14424" w:type="dxa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950"/>
        <w:gridCol w:w="1803"/>
        <w:gridCol w:w="2281"/>
        <w:gridCol w:w="1472"/>
        <w:gridCol w:w="904"/>
        <w:gridCol w:w="1243"/>
        <w:gridCol w:w="1449"/>
        <w:gridCol w:w="1439"/>
        <w:gridCol w:w="693"/>
        <w:gridCol w:w="693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tblHeader/>
        </w:trPr>
        <w:tc>
          <w:tcPr>
            <w:tcW w:w="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</w:rPr>
              <w:t>序 号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eastAsia="zh-CN"/>
              </w:rPr>
              <w:t>涉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  <w:t>VOCs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</w:rPr>
              <w:t>生产车间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涉</w:t>
            </w:r>
            <w:r>
              <w:rPr>
                <w:rFonts w:hint="eastAsia" w:ascii="黑体" w:hAnsi="黑体" w:eastAsia="黑体" w:cs="黑体"/>
                <w:b/>
                <w:bCs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hint="eastAsia" w:ascii="黑体" w:hAnsi="黑体" w:eastAsia="黑体" w:cs="黑体"/>
                <w:b/>
                <w:bCs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hint="eastAsia" w:ascii="黑体" w:hAnsi="黑体" w:eastAsia="黑体" w:cs="黑体"/>
                <w:b/>
                <w:bCs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</w:rPr>
              <w:t>工序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</w:rPr>
              <w:t>生产设</w:t>
            </w:r>
            <w:r>
              <w:rPr>
                <w:rFonts w:hint="eastAsia" w:ascii="黑体" w:hAnsi="黑体" w:eastAsia="黑体" w:cs="黑体"/>
                <w:b/>
                <w:bCs/>
                <w:spacing w:val="2"/>
                <w:w w:val="100"/>
                <w:sz w:val="21"/>
                <w:szCs w:val="21"/>
              </w:rPr>
              <w:t>备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w w:val="100"/>
                <w:sz w:val="21"/>
                <w:szCs w:val="21"/>
              </w:rPr>
              <w:t>/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</w:rPr>
              <w:t>生产线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涉</w:t>
            </w:r>
            <w:r>
              <w:rPr>
                <w:rFonts w:hint="eastAsia" w:ascii="黑体" w:hAnsi="黑体" w:eastAsia="黑体" w:cs="黑体"/>
                <w:b/>
                <w:bCs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-1"/>
                <w:w w:val="100"/>
                <w:sz w:val="21"/>
                <w:szCs w:val="21"/>
              </w:rPr>
              <w:t>V</w:t>
            </w:r>
            <w:r>
              <w:rPr>
                <w:rFonts w:hint="eastAsia" w:ascii="黑体" w:hAnsi="黑体" w:eastAsia="黑体" w:cs="黑体"/>
                <w:b/>
                <w:bCs/>
                <w:spacing w:val="-4"/>
                <w:w w:val="100"/>
                <w:sz w:val="21"/>
                <w:szCs w:val="21"/>
              </w:rPr>
              <w:t>O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w w:val="100"/>
                <w:sz w:val="21"/>
                <w:szCs w:val="21"/>
              </w:rPr>
              <w:t>C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</w:rPr>
              <w:t>s</w:t>
            </w:r>
            <w:r>
              <w:rPr>
                <w:rFonts w:hint="eastAsia" w:ascii="黑体" w:hAnsi="黑体" w:eastAsia="黑体" w:cs="黑体"/>
                <w:b/>
                <w:bCs/>
                <w:spacing w:val="-2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</w:rPr>
              <w:t>原辅料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  <w:t>VOCs产生量（t/a）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</w:rPr>
              <w:t>收集措施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</w:rPr>
              <w:t>末端治理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eastAsia="zh-CN"/>
              </w:rPr>
              <w:t>收集效率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eastAsia="zh-CN"/>
              </w:rPr>
              <w:t>治理效率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sz w:val="21"/>
                <w:szCs w:val="21"/>
                <w:lang w:val="en-US" w:eastAsia="zh-CN"/>
              </w:rPr>
              <w:t>VOCs排放量（吨）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tblHeader/>
        </w:trPr>
        <w:tc>
          <w:tcPr>
            <w:tcW w:w="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-3"/>
                <w:sz w:val="21"/>
                <w:szCs w:val="21"/>
              </w:rPr>
              <w:t>名称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-2"/>
                <w:sz w:val="21"/>
                <w:szCs w:val="21"/>
              </w:rPr>
              <w:t>用量</w:t>
            </w:r>
            <w:r>
              <w:rPr>
                <w:rFonts w:hint="eastAsia" w:ascii="黑体" w:hAnsi="黑体" w:eastAsia="黑体" w:cs="黑体"/>
                <w:b/>
                <w:bCs/>
                <w:spacing w:val="2"/>
                <w:w w:val="100"/>
                <w:position w:val="-2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spacing w:val="-1"/>
                <w:w w:val="100"/>
                <w:position w:val="-2"/>
                <w:sz w:val="21"/>
                <w:szCs w:val="21"/>
              </w:rPr>
              <w:t>t/</w:t>
            </w:r>
            <w:r>
              <w:rPr>
                <w:rFonts w:hint="eastAsia" w:ascii="黑体" w:hAnsi="黑体" w:eastAsia="黑体" w:cs="黑体"/>
                <w:b/>
                <w:bCs/>
                <w:spacing w:val="-3"/>
                <w:w w:val="100"/>
                <w:position w:val="-2"/>
                <w:sz w:val="21"/>
                <w:szCs w:val="21"/>
              </w:rPr>
              <w:t>a</w:t>
            </w:r>
            <w:r>
              <w:rPr>
                <w:rFonts w:hint="eastAsia" w:ascii="黑体" w:hAnsi="黑体" w:eastAsia="黑体" w:cs="黑体"/>
                <w:b/>
                <w:bCs/>
                <w:spacing w:val="0"/>
                <w:w w:val="100"/>
                <w:position w:val="-2"/>
                <w:sz w:val="21"/>
                <w:szCs w:val="21"/>
              </w:rPr>
              <w:t>）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墨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房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墨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调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墨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房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3"/>
                <w:sz w:val="21"/>
                <w:szCs w:val="21"/>
              </w:rPr>
              <w:t>油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  <w:t>墨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车间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密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闭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废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气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通过管道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收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集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水喷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淋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</w:rPr>
              <w:t>+U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光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</w:rPr>
              <w:t>+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2"/>
                <w:sz w:val="21"/>
                <w:szCs w:val="21"/>
              </w:rPr>
              <w:t>活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性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2"/>
                <w:sz w:val="21"/>
                <w:szCs w:val="21"/>
              </w:rPr>
              <w:t>炭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吸附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XX%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eastAsia="zh-CN"/>
              </w:rPr>
              <w:t>稀释剂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印刷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车间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凹版印刷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凹版印刷机1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（设备型号XXX）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XX油墨</w:t>
            </w:r>
          </w:p>
        </w:tc>
        <w:tc>
          <w:tcPr>
            <w:tcW w:w="9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after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车间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密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闭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废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气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通过管道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收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集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水喷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淋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</w:rPr>
              <w:t>+U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光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</w:rPr>
              <w:t>+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2"/>
                <w:sz w:val="21"/>
                <w:szCs w:val="21"/>
              </w:rPr>
              <w:t>活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性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2"/>
                <w:sz w:val="21"/>
                <w:szCs w:val="21"/>
              </w:rPr>
              <w:t>炭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吸附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XX%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6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  <w:t>稀释剂</w:t>
            </w:r>
          </w:p>
        </w:tc>
        <w:tc>
          <w:tcPr>
            <w:tcW w:w="904" w:type="dxa"/>
            <w:vAlign w:val="top"/>
          </w:tcPr>
          <w:p>
            <w:pPr>
              <w:spacing w:before="58" w:after="0" w:line="240" w:lineRule="auto"/>
              <w:ind w:right="-20" w:rightChars="0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印刷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车间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凹版印刷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凹版印刷机2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（设备型号XXX）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水性油墨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车间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密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闭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废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气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通过管道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收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集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水喷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淋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sz w:val="21"/>
                <w:szCs w:val="21"/>
              </w:rPr>
              <w:t>+U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V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光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</w:rPr>
              <w:t>+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2"/>
                <w:sz w:val="21"/>
                <w:szCs w:val="21"/>
              </w:rPr>
              <w:t>活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性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2"/>
                <w:sz w:val="21"/>
                <w:szCs w:val="21"/>
              </w:rPr>
              <w:t>炭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吸附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kern w:val="2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kern w:val="2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XX%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  <w:t>乙酸乙酯</w:t>
            </w:r>
          </w:p>
        </w:tc>
        <w:tc>
          <w:tcPr>
            <w:tcW w:w="904" w:type="dxa"/>
            <w:vAlign w:val="top"/>
          </w:tcPr>
          <w:p>
            <w:pPr>
              <w:spacing w:before="77" w:after="0" w:line="240" w:lineRule="auto"/>
              <w:ind w:right="-20" w:rightChars="0"/>
              <w:jc w:val="center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3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覆膜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车间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覆膜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水性覆膜生产线1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（设备型号XXX）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96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  <w:t>水性覆膜胶</w:t>
            </w:r>
          </w:p>
        </w:tc>
        <w:tc>
          <w:tcPr>
            <w:tcW w:w="904" w:type="dxa"/>
            <w:vAlign w:val="top"/>
          </w:tcPr>
          <w:p>
            <w:pPr>
              <w:spacing w:before="58" w:after="0" w:line="240" w:lineRule="auto"/>
              <w:ind w:right="-20" w:rightChars="0"/>
              <w:jc w:val="center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kern w:val="2"/>
                <w:position w:val="-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  <w:t>车间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3"/>
                <w:sz w:val="21"/>
                <w:szCs w:val="21"/>
              </w:rPr>
              <w:t>密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  <w:t>闭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  <w:t>废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3"/>
                <w:sz w:val="21"/>
                <w:szCs w:val="21"/>
              </w:rPr>
              <w:t>气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管道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收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集</w:t>
            </w:r>
          </w:p>
        </w:tc>
        <w:tc>
          <w:tcPr>
            <w:tcW w:w="14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kern w:val="2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水喷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2"/>
                <w:sz w:val="21"/>
                <w:szCs w:val="21"/>
              </w:rPr>
              <w:t>淋</w:t>
            </w:r>
            <w:r>
              <w:rPr>
                <w:rFonts w:hint="eastAsia" w:ascii="黑体" w:hAnsi="黑体" w:eastAsia="黑体" w:cs="黑体"/>
                <w:color w:val="FF0000"/>
                <w:spacing w:val="-1"/>
                <w:w w:val="100"/>
                <w:position w:val="-2"/>
                <w:sz w:val="21"/>
                <w:szCs w:val="21"/>
              </w:rPr>
              <w:t>+U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V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2"/>
                <w:sz w:val="21"/>
                <w:szCs w:val="21"/>
              </w:rPr>
              <w:t>光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催化</w:t>
            </w:r>
            <w:r>
              <w:rPr>
                <w:rFonts w:hint="eastAsia" w:ascii="黑体" w:hAnsi="黑体" w:eastAsia="黑体" w:cs="黑体"/>
                <w:color w:val="FF0000"/>
                <w:spacing w:val="1"/>
                <w:w w:val="100"/>
                <w:position w:val="-2"/>
                <w:sz w:val="21"/>
                <w:szCs w:val="21"/>
              </w:rPr>
              <w:t>+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2"/>
                <w:sz w:val="21"/>
                <w:szCs w:val="21"/>
              </w:rPr>
              <w:t>活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性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2"/>
                <w:sz w:val="21"/>
                <w:szCs w:val="21"/>
              </w:rPr>
              <w:t>炭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  <w:t>吸附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kern w:val="2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kern w:val="2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XX%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3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position w:val="-2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水性覆膜生产线2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（设备型号XXX）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6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CN" w:bidi="ar-SA"/>
              </w:rPr>
              <w:t>乙酸乙酯</w:t>
            </w:r>
          </w:p>
        </w:tc>
        <w:tc>
          <w:tcPr>
            <w:tcW w:w="904" w:type="dxa"/>
            <w:vAlign w:val="top"/>
          </w:tcPr>
          <w:p>
            <w:pPr>
              <w:spacing w:before="58" w:after="0" w:line="240" w:lineRule="auto"/>
              <w:ind w:right="-20" w:rightChars="0"/>
              <w:jc w:val="center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z w:val="21"/>
                <w:szCs w:val="21"/>
                <w:lang w:val="en-US" w:eastAsia="zh-CN"/>
              </w:rPr>
              <w:t>覆膜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车间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kern w:val="2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覆膜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position w:val="-2"/>
                <w:sz w:val="21"/>
                <w:szCs w:val="21"/>
                <w:lang w:val="en-US" w:eastAsia="zh-CN"/>
              </w:rPr>
              <w:t>无溶剂覆膜生产线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（设备型号XXX）</w:t>
            </w: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6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XX胶</w:t>
            </w:r>
          </w:p>
        </w:tc>
        <w:tc>
          <w:tcPr>
            <w:tcW w:w="904" w:type="dxa"/>
            <w:vAlign w:val="top"/>
          </w:tcPr>
          <w:p>
            <w:pPr>
              <w:spacing w:before="58" w:after="0" w:line="240" w:lineRule="auto"/>
              <w:ind w:right="-20" w:rightChars="0"/>
              <w:jc w:val="center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XXX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  <w:t>车间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3"/>
                <w:sz w:val="21"/>
                <w:szCs w:val="21"/>
              </w:rPr>
              <w:t>密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  <w:t>闭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3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  <w:t>废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position w:val="-3"/>
                <w:sz w:val="21"/>
                <w:szCs w:val="21"/>
              </w:rPr>
              <w:t>气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</w:rPr>
              <w:t>通过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管道</w:t>
            </w:r>
            <w:r>
              <w:rPr>
                <w:rFonts w:hint="eastAsia" w:ascii="黑体" w:hAnsi="黑体" w:eastAsia="黑体" w:cs="黑体"/>
                <w:color w:val="FF0000"/>
                <w:spacing w:val="-2"/>
                <w:w w:val="100"/>
                <w:sz w:val="21"/>
                <w:szCs w:val="21"/>
              </w:rPr>
              <w:t>收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  <w:t>集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kern w:val="2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1"/>
                <w:w w:val="100"/>
                <w:kern w:val="2"/>
                <w:position w:val="-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XX%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kern w:val="2"/>
                <w:position w:val="-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position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position w:val="-2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position w:val="-2"/>
                <w:sz w:val="21"/>
                <w:szCs w:val="21"/>
              </w:rPr>
            </w:pPr>
          </w:p>
        </w:tc>
        <w:tc>
          <w:tcPr>
            <w:tcW w:w="14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6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eastAsia="zh-CN"/>
              </w:rPr>
            </w:pPr>
          </w:p>
        </w:tc>
        <w:tc>
          <w:tcPr>
            <w:tcW w:w="904" w:type="dxa"/>
            <w:vAlign w:val="top"/>
          </w:tcPr>
          <w:p>
            <w:pPr>
              <w:spacing w:before="58" w:after="0" w:line="240" w:lineRule="auto"/>
              <w:ind w:right="-20" w:rightChars="0"/>
              <w:jc w:val="center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7771" w:type="dxa"/>
            <w:gridSpan w:val="6"/>
            <w:vAlign w:val="center"/>
          </w:tcPr>
          <w:p>
            <w:pPr>
              <w:spacing w:before="58" w:after="0" w:line="240" w:lineRule="auto"/>
              <w:ind w:right="-20" w:rightChars="0"/>
              <w:jc w:val="center"/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w w:val="100"/>
                <w:position w:val="-3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XXXX</w:t>
            </w:r>
          </w:p>
        </w:tc>
        <w:tc>
          <w:tcPr>
            <w:tcW w:w="42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position w:val="-3"/>
                <w:sz w:val="21"/>
                <w:szCs w:val="21"/>
                <w:lang w:val="en-US" w:eastAsia="zh-CN"/>
              </w:rPr>
              <w:t>XXXXX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240" w:lineRule="auto"/>
        <w:ind w:leftChars="0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0"/>
          <w:w w:val="100"/>
          <w:position w:val="-2"/>
          <w:sz w:val="28"/>
          <w:szCs w:val="28"/>
          <w:lang w:val="en-US" w:eastAsia="zh-CN"/>
        </w:rPr>
        <w:sectPr>
          <w:pgSz w:w="16838" w:h="11922" w:orient="landscape"/>
          <w:pgMar w:top="1083" w:right="1123" w:bottom="981" w:left="1321" w:header="0" w:footer="79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default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五、VOCs综合整治任务对照完成情况及实施计划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position w:val="-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position w:val="-2"/>
          <w:sz w:val="32"/>
          <w:szCs w:val="32"/>
          <w:lang w:eastAsia="zh-CN"/>
        </w:rPr>
        <w:t>对照《广东省涉VOCs重点行业治理指引》（粤环办〔2021〕43号）对应所属行业，逐条说明任务的实施情况：已实施的任务说明实施概况，不能实施的任务说明理由，计划实施的任务，实施进度计划安排、实施方案、投资估算、VOCs 削减量估算等内容（治理任务对照表具体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position w:val="-2"/>
          <w:sz w:val="32"/>
          <w:szCs w:val="32"/>
          <w:lang w:val="en-US" w:eastAsia="zh-CN"/>
        </w:rPr>
        <w:t>见表5-1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position w:val="-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line="360" w:lineRule="auto"/>
        <w:ind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position w:val="-2"/>
          <w:sz w:val="21"/>
          <w:szCs w:val="21"/>
          <w:lang w:eastAsia="zh-CN"/>
        </w:rPr>
        <w:sectPr>
          <w:pgSz w:w="11922" w:h="16838"/>
          <w:pgMar w:top="1123" w:right="981" w:bottom="1321" w:left="1083" w:header="0" w:footer="79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96" w:after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28"/>
          <w:szCs w:val="28"/>
          <w:lang w:val="en-US" w:eastAsia="zh-CN"/>
        </w:rPr>
        <w:t>表5-1 治理任务对照表（以印刷企业为例，仅截取部分与企业相关的表格内容。其他企业对照粤环办〔2021〕43号文件，分行业制定治理任务对照表）</w:t>
      </w:r>
    </w:p>
    <w:p>
      <w:pPr>
        <w:bidi w:val="0"/>
      </w:pPr>
    </w:p>
    <w:tbl>
      <w:tblPr>
        <w:tblStyle w:val="5"/>
        <w:tblW w:w="14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33"/>
        <w:gridCol w:w="3880"/>
        <w:gridCol w:w="1846"/>
        <w:gridCol w:w="972"/>
        <w:gridCol w:w="2990"/>
        <w:gridCol w:w="1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环节</w:t>
            </w:r>
          </w:p>
        </w:tc>
        <w:tc>
          <w:tcPr>
            <w:tcW w:w="3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控制要求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实施要求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依据</w:t>
            </w:r>
          </w:p>
        </w:tc>
        <w:tc>
          <w:tcPr>
            <w:tcW w:w="29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已实施或计划实施情况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拟实现的VOCs减排量/减排效果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无法实施的原因/未来实施计划（成本估算等）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源头削减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凹印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溶剂型凹印油墨，VOCs≤75%。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（7）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示例：目前全厂整体均使用</w:t>
            </w: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溶剂型凹印油墨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spacing w:val="0"/>
                <w:w w:val="100"/>
                <w:sz w:val="21"/>
                <w:szCs w:val="21"/>
                <w:lang w:val="en-US" w:eastAsia="zh-CN"/>
              </w:rPr>
              <w:t>示例：</w:t>
            </w: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溶剂型凹印油墨用量为XX吨，VOCs产生量为XX吨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spacing w:before="52" w:after="0" w:line="240" w:lineRule="auto"/>
              <w:ind w:right="-20" w:rightChars="0"/>
              <w:jc w:val="center"/>
              <w:rPr>
                <w:rFonts w:hint="eastAsia" w:ascii="黑体" w:hAnsi="黑体" w:eastAsia="黑体" w:cs="黑体"/>
                <w:color w:val="FF000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w w:val="100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用于吸收性承印物的水性凹印油墨，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VOCs≤15%。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（7）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不涉及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不涉及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用于非吸收性承印物的水性凹印油墨，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VOCs≤30%。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（7）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计划于本年度使用水性凹印油墨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替代比例计划为XX%，可实现VOCs减排量XX吨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示例：替换成水性凹印油墨，从设备、油墨价格、人工等方面分析投成本，及使用效果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能量固化油墨（凹印油墨），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VOCs≤10%。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（7）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——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示例：根据该行业和产品特点，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1"/>
                <w:szCs w:val="21"/>
                <w:lang w:val="en-US" w:eastAsia="zh-CN" w:bidi="ar"/>
              </w:rPr>
              <w:t>能量固化油墨（凹印油墨）</w:t>
            </w:r>
            <w:r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替代油性漆/墨的技术一直无法突破，目前暂无法使用水性漆和水性墨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  <w:t>清洗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水基清洗剂，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VOCs≤50g/L。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（9）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半水基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清洗剂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VOCs≤300g/L。。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（9）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有机溶剂清洗剂，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VOCs≤900g/L。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（9）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vertAlign w:val="baseline"/>
                <w:lang w:val="en-US" w:eastAsia="zh-CN"/>
              </w:rPr>
              <w:t>使用低（无）挥发和高沸点的清洁剂。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推荐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（4）</w:t>
            </w: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过程控制（略）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末端治理（略）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shd w:val="clear"/>
                <w:vertAlign w:val="baseline"/>
                <w:lang w:val="en-US" w:eastAsia="zh-CN"/>
              </w:rPr>
              <w:t>环境管理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6" w:type="dxa"/>
            <w:gridSpan w:val="8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21"/>
                <w:szCs w:val="21"/>
                <w:shd w:val="clear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shd w:val="clear"/>
                <w:vertAlign w:val="baseline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依据文件：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印刷业挥发性有机化合物排放标准（DB 44 815-2010）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挥发性有机物无组织排放控制标准（GB 38722-2019）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排污单位环境管理台账及排污许可证执行报告技术规范总则（试行）（HJ 944-2018）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（4）……</w:t>
            </w:r>
          </w:p>
        </w:tc>
      </w:tr>
    </w:tbl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-17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六、总结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pacing w:val="0"/>
          <w:w w:val="100"/>
          <w:position w:val="-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position w:val="-2"/>
          <w:sz w:val="32"/>
          <w:szCs w:val="32"/>
          <w:lang w:val="en-US" w:eastAsia="zh-CN"/>
        </w:rPr>
        <w:t>根据《关于开展涉挥发性有机物企业分级管理工作的通知》（粤环办函〔2021〕79号），对照企业“A、B、C定级”情况，通过文字或者列表描述下一步VOCs综合整治提升计划，以及拟实现的VOCs减排效果。</w:t>
      </w:r>
    </w:p>
    <w:sectPr>
      <w:pgSz w:w="16838" w:h="11922" w:orient="landscape"/>
      <w:pgMar w:top="1083" w:right="1123" w:bottom="981" w:left="1321" w:header="0" w:footer="79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CD8CF"/>
    <w:multiLevelType w:val="singleLevel"/>
    <w:tmpl w:val="8FECD8C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C43EF"/>
    <w:rsid w:val="0FDA61B5"/>
    <w:rsid w:val="158E2F44"/>
    <w:rsid w:val="187F228D"/>
    <w:rsid w:val="1A0E5727"/>
    <w:rsid w:val="24123E45"/>
    <w:rsid w:val="2650454D"/>
    <w:rsid w:val="28B008BA"/>
    <w:rsid w:val="29460050"/>
    <w:rsid w:val="35EC12FC"/>
    <w:rsid w:val="382D46F1"/>
    <w:rsid w:val="389C43EF"/>
    <w:rsid w:val="3A7A04A9"/>
    <w:rsid w:val="3FA749FD"/>
    <w:rsid w:val="4473239F"/>
    <w:rsid w:val="4ABC0A85"/>
    <w:rsid w:val="4D065725"/>
    <w:rsid w:val="501814F6"/>
    <w:rsid w:val="65C93058"/>
    <w:rsid w:val="67682AE9"/>
    <w:rsid w:val="69861FF5"/>
    <w:rsid w:val="771C3C4F"/>
    <w:rsid w:val="77296C32"/>
    <w:rsid w:val="7CD27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2021-01-17T16:35:00Z</dcterms:created>
  <dc:creator>周小米</dc:creator>
  <cp:lastModifiedBy>许技科</cp:lastModifiedBy>
  <dcterms:modified xsi:type="dcterms:W3CDTF">2021-08-20T10:20:26Z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SaveFontToCloudKey">
    <vt:lpwstr>1067532598_btnclosed</vt:lpwstr>
  </property>
  <property fmtid="{D5CDD505-2E9C-101B-9397-08002B2CF9AE}" pid="4" name="ICV">
    <vt:lpwstr>6B156C6F0F0E41B4B266712AA6EEFD98</vt:lpwstr>
  </property>
</Properties>
</file>