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highlight w:val="none"/>
        </w:rPr>
      </w:pPr>
      <w:r>
        <w:rPr>
          <w:rFonts w:hint="default" w:ascii="Times New Roman" w:hAnsi="Times New Roman" w:eastAsia="黑体" w:cs="Times New Roman"/>
          <w:highlight w:val="none"/>
        </w:rPr>
        <w:t>附件5</w:t>
      </w:r>
    </w:p>
    <w:p>
      <w:pPr>
        <w:rPr>
          <w:highlight w:val="none"/>
        </w:rPr>
      </w:pPr>
    </w:p>
    <w:p>
      <w:pPr>
        <w:pStyle w:val="2"/>
        <w:ind w:left="0" w:leftChars="0" w:firstLine="0" w:firstLineChars="0"/>
        <w:rPr>
          <w:highlight w:val="none"/>
        </w:rPr>
      </w:pPr>
    </w:p>
    <w:p>
      <w:pPr>
        <w:spacing w:line="360" w:lineRule="auto"/>
        <w:jc w:val="center"/>
        <w:rPr>
          <w:rFonts w:eastAsia="方正小标宋简体"/>
          <w:sz w:val="44"/>
          <w:szCs w:val="44"/>
          <w:highlight w:val="none"/>
        </w:rPr>
      </w:pPr>
      <w:r>
        <w:rPr>
          <w:rFonts w:eastAsia="方正小标宋简体"/>
          <w:sz w:val="44"/>
          <w:szCs w:val="44"/>
          <w:highlight w:val="none"/>
        </w:rPr>
        <w:t>20</w:t>
      </w:r>
      <w:r>
        <w:rPr>
          <w:rFonts w:hint="eastAsia" w:eastAsia="方正小标宋简体"/>
          <w:sz w:val="44"/>
          <w:szCs w:val="44"/>
          <w:highlight w:val="none"/>
          <w:lang w:val="en-US" w:eastAsia="zh-CN"/>
        </w:rPr>
        <w:t>20</w:t>
      </w:r>
      <w:r>
        <w:rPr>
          <w:rFonts w:eastAsia="方正小标宋简体"/>
          <w:sz w:val="44"/>
          <w:szCs w:val="44"/>
          <w:highlight w:val="none"/>
        </w:rPr>
        <w:t>年省级</w:t>
      </w:r>
      <w:r>
        <w:rPr>
          <w:rFonts w:hint="eastAsia" w:eastAsia="方正小标宋简体"/>
          <w:sz w:val="44"/>
          <w:szCs w:val="44"/>
          <w:highlight w:val="none"/>
          <w:lang w:eastAsia="zh-CN"/>
        </w:rPr>
        <w:t>生态环境</w:t>
      </w:r>
      <w:r>
        <w:rPr>
          <w:rFonts w:hint="eastAsia" w:eastAsia="方正小标宋简体"/>
          <w:sz w:val="44"/>
          <w:szCs w:val="44"/>
          <w:highlight w:val="none"/>
        </w:rPr>
        <w:t>专项</w:t>
      </w:r>
      <w:r>
        <w:rPr>
          <w:rFonts w:eastAsia="方正小标宋简体"/>
          <w:sz w:val="44"/>
          <w:szCs w:val="44"/>
          <w:highlight w:val="none"/>
        </w:rPr>
        <w:t>资金</w:t>
      </w:r>
    </w:p>
    <w:p>
      <w:pPr>
        <w:spacing w:line="360" w:lineRule="auto"/>
        <w:jc w:val="center"/>
        <w:rPr>
          <w:sz w:val="44"/>
          <w:szCs w:val="44"/>
          <w:highlight w:val="none"/>
        </w:rPr>
      </w:pPr>
      <w:r>
        <w:rPr>
          <w:rFonts w:hint="eastAsia" w:eastAsia="方正小标宋简体"/>
          <w:sz w:val="44"/>
          <w:szCs w:val="44"/>
          <w:highlight w:val="none"/>
          <w:lang w:val="en-US" w:eastAsia="zh-CN"/>
        </w:rPr>
        <w:t>环境监管能力建设</w:t>
      </w:r>
      <w:r>
        <w:rPr>
          <w:rFonts w:eastAsia="方正小标宋简体"/>
          <w:sz w:val="44"/>
          <w:szCs w:val="44"/>
          <w:highlight w:val="none"/>
        </w:rPr>
        <w:t>项目绩效自评报告</w:t>
      </w:r>
    </w:p>
    <w:p>
      <w:pPr>
        <w:rPr>
          <w:highlight w:val="none"/>
        </w:rPr>
      </w:pPr>
    </w:p>
    <w:p>
      <w:pPr>
        <w:rPr>
          <w:highlight w:val="none"/>
        </w:rPr>
      </w:pPr>
    </w:p>
    <w:p>
      <w:pPr>
        <w:rPr>
          <w:highlight w:val="none"/>
        </w:rPr>
      </w:pPr>
    </w:p>
    <w:p>
      <w:pPr>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rPr>
          <w:highlight w:val="none"/>
        </w:rPr>
      </w:pPr>
    </w:p>
    <w:p>
      <w:pPr>
        <w:pStyle w:val="2"/>
        <w:rPr>
          <w:highlight w:val="none"/>
        </w:rPr>
      </w:pPr>
    </w:p>
    <w:p>
      <w:pPr>
        <w:pStyle w:val="2"/>
        <w:rPr>
          <w:highlight w:val="none"/>
        </w:rPr>
      </w:pPr>
    </w:p>
    <w:p>
      <w:pPr>
        <w:jc w:val="center"/>
        <w:rPr>
          <w:rFonts w:eastAsia="黑体"/>
          <w:sz w:val="36"/>
          <w:szCs w:val="36"/>
          <w:highlight w:val="none"/>
        </w:rPr>
      </w:pPr>
      <w:r>
        <w:rPr>
          <w:rFonts w:eastAsia="黑体"/>
          <w:sz w:val="36"/>
          <w:szCs w:val="36"/>
          <w:highlight w:val="none"/>
        </w:rPr>
        <w:t>目  录</w:t>
      </w:r>
    </w:p>
    <w:p>
      <w:pPr>
        <w:pStyle w:val="6"/>
        <w:tabs>
          <w:tab w:val="right" w:leader="dot" w:pos="8306"/>
        </w:tabs>
        <w:rPr>
          <w:b/>
          <w:bCs/>
          <w:szCs w:val="30"/>
          <w:highlight w:val="none"/>
        </w:rPr>
      </w:pPr>
    </w:p>
    <w:p>
      <w:pPr>
        <w:pStyle w:val="6"/>
        <w:tabs>
          <w:tab w:val="right" w:leader="dot" w:pos="8845"/>
        </w:tabs>
        <w:rPr>
          <w:highlight w:val="none"/>
        </w:rPr>
      </w:pPr>
      <w:r>
        <w:rPr>
          <w:sz w:val="32"/>
          <w:szCs w:val="32"/>
          <w:highlight w:val="none"/>
        </w:rPr>
        <w:fldChar w:fldCharType="begin"/>
      </w:r>
      <w:r>
        <w:rPr>
          <w:sz w:val="32"/>
          <w:szCs w:val="32"/>
          <w:highlight w:val="none"/>
        </w:rPr>
        <w:instrText xml:space="preserve">TOC \o "1-3" \h \u </w:instrText>
      </w:r>
      <w:r>
        <w:rPr>
          <w:sz w:val="32"/>
          <w:szCs w:val="32"/>
          <w:highlight w:val="none"/>
        </w:rPr>
        <w:fldChar w:fldCharType="separate"/>
      </w:r>
      <w:r>
        <w:rPr>
          <w:szCs w:val="32"/>
          <w:highlight w:val="none"/>
        </w:rPr>
        <w:fldChar w:fldCharType="begin"/>
      </w:r>
      <w:r>
        <w:rPr>
          <w:szCs w:val="32"/>
          <w:highlight w:val="none"/>
        </w:rPr>
        <w:instrText xml:space="preserve"> HYPERLINK \l _Toc11395 </w:instrText>
      </w:r>
      <w:r>
        <w:rPr>
          <w:szCs w:val="32"/>
          <w:highlight w:val="none"/>
        </w:rPr>
        <w:fldChar w:fldCharType="separate"/>
      </w:r>
      <w:r>
        <w:rPr>
          <w:rFonts w:hint="eastAsia" w:ascii="黑体" w:hAnsi="黑体" w:eastAsia="黑体" w:cs="黑体"/>
          <w:highlight w:val="none"/>
        </w:rPr>
        <w:t>一、基本情况</w:t>
      </w:r>
      <w:r>
        <w:rPr>
          <w:highlight w:val="none"/>
        </w:rPr>
        <w:tab/>
      </w:r>
      <w:r>
        <w:rPr>
          <w:highlight w:val="none"/>
        </w:rPr>
        <w:fldChar w:fldCharType="begin"/>
      </w:r>
      <w:r>
        <w:rPr>
          <w:highlight w:val="none"/>
        </w:rPr>
        <w:instrText xml:space="preserve"> PAGEREF _Toc11395 </w:instrText>
      </w:r>
      <w:r>
        <w:rPr>
          <w:highlight w:val="none"/>
        </w:rPr>
        <w:fldChar w:fldCharType="separate"/>
      </w:r>
      <w:r>
        <w:rPr>
          <w:highlight w:val="none"/>
        </w:rPr>
        <w:t>1</w:t>
      </w:r>
      <w:r>
        <w:rPr>
          <w:highlight w:val="none"/>
        </w:rPr>
        <w:fldChar w:fldCharType="end"/>
      </w:r>
      <w:r>
        <w:rPr>
          <w:szCs w:val="32"/>
          <w:highlight w:val="none"/>
        </w:rPr>
        <w:fldChar w:fldCharType="end"/>
      </w:r>
    </w:p>
    <w:p>
      <w:pPr>
        <w:pStyle w:val="7"/>
        <w:tabs>
          <w:tab w:val="right" w:leader="dot" w:pos="8845"/>
        </w:tabs>
        <w:rPr>
          <w:highlight w:val="none"/>
        </w:rPr>
      </w:pPr>
      <w:r>
        <w:rPr>
          <w:szCs w:val="32"/>
          <w:highlight w:val="none"/>
        </w:rPr>
        <w:fldChar w:fldCharType="begin"/>
      </w:r>
      <w:r>
        <w:rPr>
          <w:szCs w:val="32"/>
          <w:highlight w:val="none"/>
        </w:rPr>
        <w:instrText xml:space="preserve"> HYPERLINK \l _Toc17844 </w:instrText>
      </w:r>
      <w:r>
        <w:rPr>
          <w:szCs w:val="32"/>
          <w:highlight w:val="none"/>
        </w:rPr>
        <w:fldChar w:fldCharType="separate"/>
      </w:r>
      <w:r>
        <w:rPr>
          <w:rFonts w:hint="eastAsia"/>
          <w:highlight w:val="none"/>
          <w:lang w:val="en-US" w:eastAsia="zh-CN"/>
        </w:rPr>
        <w:t>（一）</w:t>
      </w:r>
      <w:r>
        <w:rPr>
          <w:highlight w:val="none"/>
        </w:rPr>
        <w:t>经费背景</w:t>
      </w:r>
      <w:r>
        <w:rPr>
          <w:highlight w:val="none"/>
        </w:rPr>
        <w:tab/>
      </w:r>
      <w:r>
        <w:rPr>
          <w:highlight w:val="none"/>
        </w:rPr>
        <w:fldChar w:fldCharType="begin"/>
      </w:r>
      <w:r>
        <w:rPr>
          <w:highlight w:val="none"/>
        </w:rPr>
        <w:instrText xml:space="preserve"> PAGEREF _Toc17844 </w:instrText>
      </w:r>
      <w:r>
        <w:rPr>
          <w:highlight w:val="none"/>
        </w:rPr>
        <w:fldChar w:fldCharType="separate"/>
      </w:r>
      <w:r>
        <w:rPr>
          <w:highlight w:val="none"/>
        </w:rPr>
        <w:t>1</w:t>
      </w:r>
      <w:r>
        <w:rPr>
          <w:highlight w:val="none"/>
        </w:rPr>
        <w:fldChar w:fldCharType="end"/>
      </w:r>
      <w:r>
        <w:rPr>
          <w:szCs w:val="32"/>
          <w:highlight w:val="none"/>
        </w:rPr>
        <w:fldChar w:fldCharType="end"/>
      </w:r>
    </w:p>
    <w:p>
      <w:pPr>
        <w:pStyle w:val="7"/>
        <w:tabs>
          <w:tab w:val="right" w:leader="dot" w:pos="8845"/>
        </w:tabs>
        <w:rPr>
          <w:highlight w:val="none"/>
        </w:rPr>
      </w:pPr>
      <w:r>
        <w:rPr>
          <w:szCs w:val="32"/>
          <w:highlight w:val="none"/>
        </w:rPr>
        <w:fldChar w:fldCharType="begin"/>
      </w:r>
      <w:r>
        <w:rPr>
          <w:szCs w:val="32"/>
          <w:highlight w:val="none"/>
        </w:rPr>
        <w:instrText xml:space="preserve"> HYPERLINK \l _Toc2132 </w:instrText>
      </w:r>
      <w:r>
        <w:rPr>
          <w:szCs w:val="32"/>
          <w:highlight w:val="none"/>
        </w:rPr>
        <w:fldChar w:fldCharType="separate"/>
      </w:r>
      <w:r>
        <w:rPr>
          <w:rFonts w:hint="eastAsia"/>
          <w:highlight w:val="none"/>
          <w:lang w:val="en-US" w:eastAsia="zh-CN"/>
        </w:rPr>
        <w:t>（二）</w:t>
      </w:r>
      <w:r>
        <w:rPr>
          <w:highlight w:val="none"/>
        </w:rPr>
        <w:t>资金安排情况</w:t>
      </w:r>
      <w:r>
        <w:rPr>
          <w:highlight w:val="none"/>
        </w:rPr>
        <w:tab/>
      </w:r>
      <w:r>
        <w:rPr>
          <w:highlight w:val="none"/>
        </w:rPr>
        <w:fldChar w:fldCharType="begin"/>
      </w:r>
      <w:r>
        <w:rPr>
          <w:highlight w:val="none"/>
        </w:rPr>
        <w:instrText xml:space="preserve"> PAGEREF _Toc2132 </w:instrText>
      </w:r>
      <w:r>
        <w:rPr>
          <w:highlight w:val="none"/>
        </w:rPr>
        <w:fldChar w:fldCharType="separate"/>
      </w:r>
      <w:r>
        <w:rPr>
          <w:highlight w:val="none"/>
        </w:rPr>
        <w:t>1</w:t>
      </w:r>
      <w:r>
        <w:rPr>
          <w:highlight w:val="none"/>
        </w:rPr>
        <w:fldChar w:fldCharType="end"/>
      </w:r>
      <w:r>
        <w:rPr>
          <w:szCs w:val="32"/>
          <w:highlight w:val="none"/>
        </w:rPr>
        <w:fldChar w:fldCharType="end"/>
      </w:r>
    </w:p>
    <w:p>
      <w:pPr>
        <w:pStyle w:val="7"/>
        <w:tabs>
          <w:tab w:val="right" w:leader="dot" w:pos="8845"/>
        </w:tabs>
        <w:rPr>
          <w:highlight w:val="none"/>
        </w:rPr>
      </w:pPr>
      <w:r>
        <w:rPr>
          <w:szCs w:val="32"/>
          <w:highlight w:val="none"/>
        </w:rPr>
        <w:fldChar w:fldCharType="begin"/>
      </w:r>
      <w:r>
        <w:rPr>
          <w:szCs w:val="32"/>
          <w:highlight w:val="none"/>
        </w:rPr>
        <w:instrText xml:space="preserve"> HYPERLINK \l _Toc3979 </w:instrText>
      </w:r>
      <w:r>
        <w:rPr>
          <w:szCs w:val="32"/>
          <w:highlight w:val="none"/>
        </w:rPr>
        <w:fldChar w:fldCharType="separate"/>
      </w:r>
      <w:r>
        <w:rPr>
          <w:rFonts w:hint="eastAsia"/>
          <w:highlight w:val="none"/>
          <w:lang w:val="en-US" w:eastAsia="zh-CN"/>
        </w:rPr>
        <w:t>（三）</w:t>
      </w:r>
      <w:r>
        <w:rPr>
          <w:highlight w:val="none"/>
        </w:rPr>
        <w:t>项目实施内容</w:t>
      </w:r>
      <w:r>
        <w:rPr>
          <w:highlight w:val="none"/>
        </w:rPr>
        <w:tab/>
      </w:r>
      <w:r>
        <w:rPr>
          <w:highlight w:val="none"/>
        </w:rPr>
        <w:fldChar w:fldCharType="begin"/>
      </w:r>
      <w:r>
        <w:rPr>
          <w:highlight w:val="none"/>
        </w:rPr>
        <w:instrText xml:space="preserve"> PAGEREF _Toc3979 </w:instrText>
      </w:r>
      <w:r>
        <w:rPr>
          <w:highlight w:val="none"/>
        </w:rPr>
        <w:fldChar w:fldCharType="separate"/>
      </w:r>
      <w:r>
        <w:rPr>
          <w:highlight w:val="none"/>
        </w:rPr>
        <w:t>6</w:t>
      </w:r>
      <w:r>
        <w:rPr>
          <w:highlight w:val="none"/>
        </w:rPr>
        <w:fldChar w:fldCharType="end"/>
      </w:r>
      <w:r>
        <w:rPr>
          <w:szCs w:val="32"/>
          <w:highlight w:val="none"/>
        </w:rPr>
        <w:fldChar w:fldCharType="end"/>
      </w:r>
    </w:p>
    <w:p>
      <w:pPr>
        <w:pStyle w:val="7"/>
        <w:tabs>
          <w:tab w:val="right" w:leader="dot" w:pos="8845"/>
        </w:tabs>
        <w:rPr>
          <w:highlight w:val="none"/>
        </w:rPr>
      </w:pPr>
      <w:r>
        <w:rPr>
          <w:szCs w:val="32"/>
          <w:highlight w:val="none"/>
        </w:rPr>
        <w:fldChar w:fldCharType="begin"/>
      </w:r>
      <w:r>
        <w:rPr>
          <w:szCs w:val="32"/>
          <w:highlight w:val="none"/>
        </w:rPr>
        <w:instrText xml:space="preserve"> HYPERLINK \l _Toc24464 </w:instrText>
      </w:r>
      <w:r>
        <w:rPr>
          <w:szCs w:val="32"/>
          <w:highlight w:val="none"/>
        </w:rPr>
        <w:fldChar w:fldCharType="separate"/>
      </w:r>
      <w:r>
        <w:rPr>
          <w:rFonts w:hint="eastAsia"/>
          <w:highlight w:val="none"/>
          <w:lang w:val="en-US" w:eastAsia="zh-CN"/>
        </w:rPr>
        <w:t>（四）</w:t>
      </w:r>
      <w:r>
        <w:rPr>
          <w:highlight w:val="none"/>
        </w:rPr>
        <w:t>绩效目标</w:t>
      </w:r>
      <w:r>
        <w:rPr>
          <w:highlight w:val="none"/>
        </w:rPr>
        <w:tab/>
      </w:r>
      <w:r>
        <w:rPr>
          <w:highlight w:val="none"/>
        </w:rPr>
        <w:fldChar w:fldCharType="begin"/>
      </w:r>
      <w:r>
        <w:rPr>
          <w:highlight w:val="none"/>
        </w:rPr>
        <w:instrText xml:space="preserve"> PAGEREF _Toc24464 </w:instrText>
      </w:r>
      <w:r>
        <w:rPr>
          <w:highlight w:val="none"/>
        </w:rPr>
        <w:fldChar w:fldCharType="separate"/>
      </w:r>
      <w:r>
        <w:rPr>
          <w:highlight w:val="none"/>
        </w:rPr>
        <w:t>7</w:t>
      </w:r>
      <w:r>
        <w:rPr>
          <w:highlight w:val="none"/>
        </w:rPr>
        <w:fldChar w:fldCharType="end"/>
      </w:r>
      <w:r>
        <w:rPr>
          <w:szCs w:val="32"/>
          <w:highlight w:val="none"/>
        </w:rPr>
        <w:fldChar w:fldCharType="end"/>
      </w:r>
    </w:p>
    <w:p>
      <w:pPr>
        <w:pStyle w:val="6"/>
        <w:tabs>
          <w:tab w:val="right" w:leader="dot" w:pos="8845"/>
        </w:tabs>
        <w:rPr>
          <w:highlight w:val="none"/>
        </w:rPr>
      </w:pPr>
      <w:r>
        <w:rPr>
          <w:szCs w:val="32"/>
          <w:highlight w:val="none"/>
        </w:rPr>
        <w:fldChar w:fldCharType="begin"/>
      </w:r>
      <w:r>
        <w:rPr>
          <w:szCs w:val="32"/>
          <w:highlight w:val="none"/>
        </w:rPr>
        <w:instrText xml:space="preserve"> HYPERLINK \l _Toc1464 </w:instrText>
      </w:r>
      <w:r>
        <w:rPr>
          <w:szCs w:val="32"/>
          <w:highlight w:val="none"/>
        </w:rPr>
        <w:fldChar w:fldCharType="separate"/>
      </w:r>
      <w:r>
        <w:rPr>
          <w:rFonts w:hint="eastAsia" w:ascii="黑体" w:hAnsi="黑体" w:eastAsia="黑体" w:cs="黑体"/>
          <w:highlight w:val="none"/>
        </w:rPr>
        <w:t>二、自评情况</w:t>
      </w:r>
      <w:r>
        <w:rPr>
          <w:highlight w:val="none"/>
        </w:rPr>
        <w:tab/>
      </w:r>
      <w:r>
        <w:rPr>
          <w:highlight w:val="none"/>
        </w:rPr>
        <w:fldChar w:fldCharType="begin"/>
      </w:r>
      <w:r>
        <w:rPr>
          <w:highlight w:val="none"/>
        </w:rPr>
        <w:instrText xml:space="preserve"> PAGEREF _Toc1464 </w:instrText>
      </w:r>
      <w:r>
        <w:rPr>
          <w:highlight w:val="none"/>
        </w:rPr>
        <w:fldChar w:fldCharType="separate"/>
      </w:r>
      <w:r>
        <w:rPr>
          <w:highlight w:val="none"/>
        </w:rPr>
        <w:t>9</w:t>
      </w:r>
      <w:r>
        <w:rPr>
          <w:highlight w:val="none"/>
        </w:rPr>
        <w:fldChar w:fldCharType="end"/>
      </w:r>
      <w:r>
        <w:rPr>
          <w:szCs w:val="32"/>
          <w:highlight w:val="none"/>
        </w:rPr>
        <w:fldChar w:fldCharType="end"/>
      </w:r>
    </w:p>
    <w:p>
      <w:pPr>
        <w:pStyle w:val="7"/>
        <w:tabs>
          <w:tab w:val="right" w:leader="dot" w:pos="8845"/>
        </w:tabs>
        <w:rPr>
          <w:highlight w:val="none"/>
        </w:rPr>
      </w:pPr>
      <w:r>
        <w:rPr>
          <w:szCs w:val="32"/>
          <w:highlight w:val="none"/>
        </w:rPr>
        <w:fldChar w:fldCharType="begin"/>
      </w:r>
      <w:r>
        <w:rPr>
          <w:szCs w:val="32"/>
          <w:highlight w:val="none"/>
        </w:rPr>
        <w:instrText xml:space="preserve"> HYPERLINK \l _Toc15111 </w:instrText>
      </w:r>
      <w:r>
        <w:rPr>
          <w:szCs w:val="32"/>
          <w:highlight w:val="none"/>
        </w:rPr>
        <w:fldChar w:fldCharType="separate"/>
      </w:r>
      <w:r>
        <w:rPr>
          <w:rFonts w:hint="eastAsia"/>
          <w:highlight w:val="none"/>
          <w:lang w:eastAsia="zh-CN"/>
        </w:rPr>
        <w:t>（一）</w:t>
      </w:r>
      <w:r>
        <w:rPr>
          <w:highlight w:val="none"/>
        </w:rPr>
        <w:t>自评分数</w:t>
      </w:r>
      <w:r>
        <w:rPr>
          <w:highlight w:val="none"/>
        </w:rPr>
        <w:tab/>
      </w:r>
      <w:r>
        <w:rPr>
          <w:highlight w:val="none"/>
        </w:rPr>
        <w:fldChar w:fldCharType="begin"/>
      </w:r>
      <w:r>
        <w:rPr>
          <w:highlight w:val="none"/>
        </w:rPr>
        <w:instrText xml:space="preserve"> PAGEREF _Toc15111 </w:instrText>
      </w:r>
      <w:r>
        <w:rPr>
          <w:highlight w:val="none"/>
        </w:rPr>
        <w:fldChar w:fldCharType="separate"/>
      </w:r>
      <w:r>
        <w:rPr>
          <w:highlight w:val="none"/>
        </w:rPr>
        <w:t>9</w:t>
      </w:r>
      <w:r>
        <w:rPr>
          <w:highlight w:val="none"/>
        </w:rPr>
        <w:fldChar w:fldCharType="end"/>
      </w:r>
      <w:r>
        <w:rPr>
          <w:szCs w:val="32"/>
          <w:highlight w:val="none"/>
        </w:rPr>
        <w:fldChar w:fldCharType="end"/>
      </w:r>
    </w:p>
    <w:p>
      <w:pPr>
        <w:pStyle w:val="3"/>
        <w:tabs>
          <w:tab w:val="right" w:leader="dot" w:pos="8845"/>
        </w:tabs>
        <w:rPr>
          <w:highlight w:val="none"/>
        </w:rPr>
      </w:pPr>
      <w:r>
        <w:rPr>
          <w:szCs w:val="32"/>
          <w:highlight w:val="none"/>
        </w:rPr>
        <w:fldChar w:fldCharType="begin"/>
      </w:r>
      <w:r>
        <w:rPr>
          <w:szCs w:val="32"/>
          <w:highlight w:val="none"/>
        </w:rPr>
        <w:instrText xml:space="preserve"> HYPERLINK \l _Toc9330 </w:instrText>
      </w:r>
      <w:r>
        <w:rPr>
          <w:szCs w:val="32"/>
          <w:highlight w:val="none"/>
        </w:rPr>
        <w:fldChar w:fldCharType="separate"/>
      </w:r>
      <w:r>
        <w:rPr>
          <w:highlight w:val="none"/>
        </w:rPr>
        <w:t>1. 投入</w:t>
      </w:r>
      <w:r>
        <w:rPr>
          <w:highlight w:val="none"/>
        </w:rPr>
        <w:tab/>
      </w:r>
      <w:r>
        <w:rPr>
          <w:highlight w:val="none"/>
        </w:rPr>
        <w:fldChar w:fldCharType="begin"/>
      </w:r>
      <w:r>
        <w:rPr>
          <w:highlight w:val="none"/>
        </w:rPr>
        <w:instrText xml:space="preserve"> PAGEREF _Toc9330 </w:instrText>
      </w:r>
      <w:r>
        <w:rPr>
          <w:highlight w:val="none"/>
        </w:rPr>
        <w:fldChar w:fldCharType="separate"/>
      </w:r>
      <w:r>
        <w:rPr>
          <w:highlight w:val="none"/>
        </w:rPr>
        <w:t>9</w:t>
      </w:r>
      <w:r>
        <w:rPr>
          <w:highlight w:val="none"/>
        </w:rPr>
        <w:fldChar w:fldCharType="end"/>
      </w:r>
      <w:r>
        <w:rPr>
          <w:szCs w:val="32"/>
          <w:highlight w:val="none"/>
        </w:rPr>
        <w:fldChar w:fldCharType="end"/>
      </w:r>
    </w:p>
    <w:p>
      <w:pPr>
        <w:pStyle w:val="3"/>
        <w:tabs>
          <w:tab w:val="right" w:leader="dot" w:pos="8845"/>
        </w:tabs>
        <w:rPr>
          <w:highlight w:val="none"/>
        </w:rPr>
      </w:pPr>
      <w:r>
        <w:rPr>
          <w:szCs w:val="32"/>
          <w:highlight w:val="none"/>
        </w:rPr>
        <w:fldChar w:fldCharType="begin"/>
      </w:r>
      <w:r>
        <w:rPr>
          <w:szCs w:val="32"/>
          <w:highlight w:val="none"/>
        </w:rPr>
        <w:instrText xml:space="preserve"> HYPERLINK \l _Toc2589 </w:instrText>
      </w:r>
      <w:r>
        <w:rPr>
          <w:szCs w:val="32"/>
          <w:highlight w:val="none"/>
        </w:rPr>
        <w:fldChar w:fldCharType="separate"/>
      </w:r>
      <w:r>
        <w:rPr>
          <w:highlight w:val="none"/>
        </w:rPr>
        <w:t>2. 过程</w:t>
      </w:r>
      <w:r>
        <w:rPr>
          <w:highlight w:val="none"/>
        </w:rPr>
        <w:tab/>
      </w:r>
      <w:r>
        <w:rPr>
          <w:highlight w:val="none"/>
        </w:rPr>
        <w:fldChar w:fldCharType="begin"/>
      </w:r>
      <w:r>
        <w:rPr>
          <w:highlight w:val="none"/>
        </w:rPr>
        <w:instrText xml:space="preserve"> PAGEREF _Toc2589 </w:instrText>
      </w:r>
      <w:r>
        <w:rPr>
          <w:highlight w:val="none"/>
        </w:rPr>
        <w:fldChar w:fldCharType="separate"/>
      </w:r>
      <w:r>
        <w:rPr>
          <w:highlight w:val="none"/>
        </w:rPr>
        <w:t>11</w:t>
      </w:r>
      <w:r>
        <w:rPr>
          <w:highlight w:val="none"/>
        </w:rPr>
        <w:fldChar w:fldCharType="end"/>
      </w:r>
      <w:r>
        <w:rPr>
          <w:szCs w:val="32"/>
          <w:highlight w:val="none"/>
        </w:rPr>
        <w:fldChar w:fldCharType="end"/>
      </w:r>
    </w:p>
    <w:p>
      <w:pPr>
        <w:pStyle w:val="3"/>
        <w:tabs>
          <w:tab w:val="right" w:leader="dot" w:pos="8845"/>
        </w:tabs>
        <w:rPr>
          <w:highlight w:val="none"/>
        </w:rPr>
      </w:pPr>
      <w:r>
        <w:rPr>
          <w:szCs w:val="32"/>
          <w:highlight w:val="none"/>
        </w:rPr>
        <w:fldChar w:fldCharType="begin"/>
      </w:r>
      <w:r>
        <w:rPr>
          <w:szCs w:val="32"/>
          <w:highlight w:val="none"/>
        </w:rPr>
        <w:instrText xml:space="preserve"> HYPERLINK \l _Toc31113 </w:instrText>
      </w:r>
      <w:r>
        <w:rPr>
          <w:szCs w:val="32"/>
          <w:highlight w:val="none"/>
        </w:rPr>
        <w:fldChar w:fldCharType="separate"/>
      </w:r>
      <w:r>
        <w:rPr>
          <w:highlight w:val="none"/>
        </w:rPr>
        <w:t>3. 产出</w:t>
      </w:r>
      <w:r>
        <w:rPr>
          <w:highlight w:val="none"/>
        </w:rPr>
        <w:tab/>
      </w:r>
      <w:r>
        <w:rPr>
          <w:highlight w:val="none"/>
        </w:rPr>
        <w:fldChar w:fldCharType="begin"/>
      </w:r>
      <w:r>
        <w:rPr>
          <w:highlight w:val="none"/>
        </w:rPr>
        <w:instrText xml:space="preserve"> PAGEREF _Toc31113 </w:instrText>
      </w:r>
      <w:r>
        <w:rPr>
          <w:highlight w:val="none"/>
        </w:rPr>
        <w:fldChar w:fldCharType="separate"/>
      </w:r>
      <w:r>
        <w:rPr>
          <w:highlight w:val="none"/>
        </w:rPr>
        <w:t>12</w:t>
      </w:r>
      <w:r>
        <w:rPr>
          <w:highlight w:val="none"/>
        </w:rPr>
        <w:fldChar w:fldCharType="end"/>
      </w:r>
      <w:r>
        <w:rPr>
          <w:szCs w:val="32"/>
          <w:highlight w:val="none"/>
        </w:rPr>
        <w:fldChar w:fldCharType="end"/>
      </w:r>
    </w:p>
    <w:p>
      <w:pPr>
        <w:pStyle w:val="3"/>
        <w:tabs>
          <w:tab w:val="right" w:leader="dot" w:pos="8845"/>
        </w:tabs>
        <w:rPr>
          <w:highlight w:val="none"/>
        </w:rPr>
      </w:pPr>
      <w:r>
        <w:rPr>
          <w:szCs w:val="32"/>
          <w:highlight w:val="none"/>
        </w:rPr>
        <w:fldChar w:fldCharType="begin"/>
      </w:r>
      <w:r>
        <w:rPr>
          <w:szCs w:val="32"/>
          <w:highlight w:val="none"/>
        </w:rPr>
        <w:instrText xml:space="preserve"> HYPERLINK \l _Toc30573 </w:instrText>
      </w:r>
      <w:r>
        <w:rPr>
          <w:szCs w:val="32"/>
          <w:highlight w:val="none"/>
        </w:rPr>
        <w:fldChar w:fldCharType="separate"/>
      </w:r>
      <w:r>
        <w:rPr>
          <w:highlight w:val="none"/>
        </w:rPr>
        <w:t>4. 效益</w:t>
      </w:r>
      <w:r>
        <w:rPr>
          <w:highlight w:val="none"/>
        </w:rPr>
        <w:tab/>
      </w:r>
      <w:r>
        <w:rPr>
          <w:highlight w:val="none"/>
        </w:rPr>
        <w:fldChar w:fldCharType="begin"/>
      </w:r>
      <w:r>
        <w:rPr>
          <w:highlight w:val="none"/>
        </w:rPr>
        <w:instrText xml:space="preserve"> PAGEREF _Toc30573 </w:instrText>
      </w:r>
      <w:r>
        <w:rPr>
          <w:highlight w:val="none"/>
        </w:rPr>
        <w:fldChar w:fldCharType="separate"/>
      </w:r>
      <w:r>
        <w:rPr>
          <w:highlight w:val="none"/>
        </w:rPr>
        <w:t>13</w:t>
      </w:r>
      <w:r>
        <w:rPr>
          <w:highlight w:val="none"/>
        </w:rPr>
        <w:fldChar w:fldCharType="end"/>
      </w:r>
      <w:r>
        <w:rPr>
          <w:szCs w:val="32"/>
          <w:highlight w:val="none"/>
        </w:rPr>
        <w:fldChar w:fldCharType="end"/>
      </w:r>
    </w:p>
    <w:p>
      <w:pPr>
        <w:pStyle w:val="7"/>
        <w:tabs>
          <w:tab w:val="right" w:leader="dot" w:pos="8845"/>
        </w:tabs>
        <w:rPr>
          <w:highlight w:val="none"/>
        </w:rPr>
      </w:pPr>
      <w:r>
        <w:rPr>
          <w:szCs w:val="32"/>
          <w:highlight w:val="none"/>
        </w:rPr>
        <w:fldChar w:fldCharType="begin"/>
      </w:r>
      <w:r>
        <w:rPr>
          <w:szCs w:val="32"/>
          <w:highlight w:val="none"/>
        </w:rPr>
        <w:instrText xml:space="preserve"> HYPERLINK \l _Toc20723 </w:instrText>
      </w:r>
      <w:r>
        <w:rPr>
          <w:szCs w:val="32"/>
          <w:highlight w:val="none"/>
        </w:rPr>
        <w:fldChar w:fldCharType="separate"/>
      </w:r>
      <w:r>
        <w:rPr>
          <w:rFonts w:hint="eastAsia"/>
          <w:highlight w:val="none"/>
          <w:lang w:val="en-US" w:eastAsia="zh-CN"/>
        </w:rPr>
        <w:t>（二）</w:t>
      </w:r>
      <w:r>
        <w:rPr>
          <w:highlight w:val="none"/>
        </w:rPr>
        <w:t>专项资金使用绩效</w:t>
      </w:r>
      <w:r>
        <w:rPr>
          <w:highlight w:val="none"/>
        </w:rPr>
        <w:tab/>
      </w:r>
      <w:r>
        <w:rPr>
          <w:highlight w:val="none"/>
        </w:rPr>
        <w:fldChar w:fldCharType="begin"/>
      </w:r>
      <w:r>
        <w:rPr>
          <w:highlight w:val="none"/>
        </w:rPr>
        <w:instrText xml:space="preserve"> PAGEREF _Toc20723 </w:instrText>
      </w:r>
      <w:r>
        <w:rPr>
          <w:highlight w:val="none"/>
        </w:rPr>
        <w:fldChar w:fldCharType="separate"/>
      </w:r>
      <w:r>
        <w:rPr>
          <w:highlight w:val="none"/>
        </w:rPr>
        <w:t>14</w:t>
      </w:r>
      <w:r>
        <w:rPr>
          <w:highlight w:val="none"/>
        </w:rPr>
        <w:fldChar w:fldCharType="end"/>
      </w:r>
      <w:r>
        <w:rPr>
          <w:szCs w:val="32"/>
          <w:highlight w:val="none"/>
        </w:rPr>
        <w:fldChar w:fldCharType="end"/>
      </w:r>
    </w:p>
    <w:p>
      <w:pPr>
        <w:pStyle w:val="3"/>
        <w:tabs>
          <w:tab w:val="right" w:leader="dot" w:pos="8845"/>
        </w:tabs>
        <w:rPr>
          <w:highlight w:val="none"/>
        </w:rPr>
      </w:pPr>
      <w:r>
        <w:rPr>
          <w:szCs w:val="32"/>
          <w:highlight w:val="none"/>
        </w:rPr>
        <w:fldChar w:fldCharType="begin"/>
      </w:r>
      <w:r>
        <w:rPr>
          <w:szCs w:val="32"/>
          <w:highlight w:val="none"/>
        </w:rPr>
        <w:instrText xml:space="preserve"> HYPERLINK \l _Toc25532 </w:instrText>
      </w:r>
      <w:r>
        <w:rPr>
          <w:szCs w:val="32"/>
          <w:highlight w:val="none"/>
        </w:rPr>
        <w:fldChar w:fldCharType="separate"/>
      </w:r>
      <w:r>
        <w:rPr>
          <w:rFonts w:hint="eastAsia"/>
          <w:highlight w:val="none"/>
          <w:lang w:val="en-US" w:eastAsia="zh-CN"/>
        </w:rPr>
        <w:t xml:space="preserve">1. </w:t>
      </w:r>
      <w:r>
        <w:rPr>
          <w:highlight w:val="none"/>
        </w:rPr>
        <w:t>专项资金支出情况。</w:t>
      </w:r>
      <w:r>
        <w:rPr>
          <w:highlight w:val="none"/>
        </w:rPr>
        <w:tab/>
      </w:r>
      <w:r>
        <w:rPr>
          <w:highlight w:val="none"/>
        </w:rPr>
        <w:fldChar w:fldCharType="begin"/>
      </w:r>
      <w:r>
        <w:rPr>
          <w:highlight w:val="none"/>
        </w:rPr>
        <w:instrText xml:space="preserve"> PAGEREF _Toc25532 </w:instrText>
      </w:r>
      <w:r>
        <w:rPr>
          <w:highlight w:val="none"/>
        </w:rPr>
        <w:fldChar w:fldCharType="separate"/>
      </w:r>
      <w:r>
        <w:rPr>
          <w:highlight w:val="none"/>
        </w:rPr>
        <w:t>14</w:t>
      </w:r>
      <w:r>
        <w:rPr>
          <w:highlight w:val="none"/>
        </w:rPr>
        <w:fldChar w:fldCharType="end"/>
      </w:r>
      <w:r>
        <w:rPr>
          <w:szCs w:val="32"/>
          <w:highlight w:val="none"/>
        </w:rPr>
        <w:fldChar w:fldCharType="end"/>
      </w:r>
    </w:p>
    <w:p>
      <w:pPr>
        <w:pStyle w:val="3"/>
        <w:tabs>
          <w:tab w:val="right" w:leader="dot" w:pos="8845"/>
        </w:tabs>
        <w:rPr>
          <w:highlight w:val="none"/>
        </w:rPr>
      </w:pPr>
      <w:r>
        <w:rPr>
          <w:szCs w:val="32"/>
          <w:highlight w:val="none"/>
        </w:rPr>
        <w:fldChar w:fldCharType="begin"/>
      </w:r>
      <w:r>
        <w:rPr>
          <w:szCs w:val="32"/>
          <w:highlight w:val="none"/>
        </w:rPr>
        <w:instrText xml:space="preserve"> HYPERLINK \l _Toc17023 </w:instrText>
      </w:r>
      <w:r>
        <w:rPr>
          <w:szCs w:val="32"/>
          <w:highlight w:val="none"/>
        </w:rPr>
        <w:fldChar w:fldCharType="separate"/>
      </w:r>
      <w:r>
        <w:rPr>
          <w:highlight w:val="none"/>
        </w:rPr>
        <w:t>2. 专项资金完成绩效目标情况。</w:t>
      </w:r>
      <w:r>
        <w:rPr>
          <w:highlight w:val="none"/>
        </w:rPr>
        <w:tab/>
      </w:r>
      <w:r>
        <w:rPr>
          <w:highlight w:val="none"/>
        </w:rPr>
        <w:fldChar w:fldCharType="begin"/>
      </w:r>
      <w:r>
        <w:rPr>
          <w:highlight w:val="none"/>
        </w:rPr>
        <w:instrText xml:space="preserve"> PAGEREF _Toc17023 </w:instrText>
      </w:r>
      <w:r>
        <w:rPr>
          <w:highlight w:val="none"/>
        </w:rPr>
        <w:fldChar w:fldCharType="separate"/>
      </w:r>
      <w:r>
        <w:rPr>
          <w:highlight w:val="none"/>
        </w:rPr>
        <w:t>14</w:t>
      </w:r>
      <w:r>
        <w:rPr>
          <w:highlight w:val="none"/>
        </w:rPr>
        <w:fldChar w:fldCharType="end"/>
      </w:r>
      <w:r>
        <w:rPr>
          <w:szCs w:val="32"/>
          <w:highlight w:val="none"/>
        </w:rPr>
        <w:fldChar w:fldCharType="end"/>
      </w:r>
    </w:p>
    <w:p>
      <w:pPr>
        <w:pStyle w:val="3"/>
        <w:tabs>
          <w:tab w:val="right" w:leader="dot" w:pos="8845"/>
        </w:tabs>
        <w:rPr>
          <w:highlight w:val="none"/>
        </w:rPr>
      </w:pPr>
      <w:r>
        <w:rPr>
          <w:szCs w:val="32"/>
          <w:highlight w:val="none"/>
        </w:rPr>
        <w:fldChar w:fldCharType="begin"/>
      </w:r>
      <w:r>
        <w:rPr>
          <w:szCs w:val="32"/>
          <w:highlight w:val="none"/>
        </w:rPr>
        <w:instrText xml:space="preserve"> HYPERLINK \l _Toc16720 </w:instrText>
      </w:r>
      <w:r>
        <w:rPr>
          <w:szCs w:val="32"/>
          <w:highlight w:val="none"/>
        </w:rPr>
        <w:fldChar w:fldCharType="separate"/>
      </w:r>
      <w:r>
        <w:rPr>
          <w:highlight w:val="none"/>
        </w:rPr>
        <w:t>3. 专项资金分用途使用绩效。</w:t>
      </w:r>
      <w:r>
        <w:rPr>
          <w:highlight w:val="none"/>
        </w:rPr>
        <w:tab/>
      </w:r>
      <w:r>
        <w:rPr>
          <w:highlight w:val="none"/>
        </w:rPr>
        <w:fldChar w:fldCharType="begin"/>
      </w:r>
      <w:r>
        <w:rPr>
          <w:highlight w:val="none"/>
        </w:rPr>
        <w:instrText xml:space="preserve"> PAGEREF _Toc16720 </w:instrText>
      </w:r>
      <w:r>
        <w:rPr>
          <w:highlight w:val="none"/>
        </w:rPr>
        <w:fldChar w:fldCharType="separate"/>
      </w:r>
      <w:r>
        <w:rPr>
          <w:highlight w:val="none"/>
        </w:rPr>
        <w:t>15</w:t>
      </w:r>
      <w:r>
        <w:rPr>
          <w:highlight w:val="none"/>
        </w:rPr>
        <w:fldChar w:fldCharType="end"/>
      </w:r>
      <w:r>
        <w:rPr>
          <w:szCs w:val="32"/>
          <w:highlight w:val="none"/>
        </w:rPr>
        <w:fldChar w:fldCharType="end"/>
      </w:r>
    </w:p>
    <w:p>
      <w:pPr>
        <w:pStyle w:val="7"/>
        <w:tabs>
          <w:tab w:val="right" w:leader="dot" w:pos="8845"/>
        </w:tabs>
        <w:rPr>
          <w:highlight w:val="none"/>
        </w:rPr>
      </w:pPr>
      <w:r>
        <w:rPr>
          <w:szCs w:val="32"/>
          <w:highlight w:val="none"/>
        </w:rPr>
        <w:fldChar w:fldCharType="begin"/>
      </w:r>
      <w:r>
        <w:rPr>
          <w:szCs w:val="32"/>
          <w:highlight w:val="none"/>
        </w:rPr>
        <w:instrText xml:space="preserve"> HYPERLINK \l _Toc4676 </w:instrText>
      </w:r>
      <w:r>
        <w:rPr>
          <w:szCs w:val="32"/>
          <w:highlight w:val="none"/>
        </w:rPr>
        <w:fldChar w:fldCharType="separate"/>
      </w:r>
      <w:r>
        <w:rPr>
          <w:rFonts w:hint="eastAsia"/>
          <w:highlight w:val="none"/>
          <w:lang w:val="en-US" w:eastAsia="zh-CN"/>
        </w:rPr>
        <w:t>（三）</w:t>
      </w:r>
      <w:r>
        <w:rPr>
          <w:highlight w:val="none"/>
        </w:rPr>
        <w:t>专项资金使用绩效存在的问题</w:t>
      </w:r>
      <w:r>
        <w:rPr>
          <w:highlight w:val="none"/>
        </w:rPr>
        <w:tab/>
      </w:r>
      <w:r>
        <w:rPr>
          <w:highlight w:val="none"/>
        </w:rPr>
        <w:fldChar w:fldCharType="begin"/>
      </w:r>
      <w:r>
        <w:rPr>
          <w:highlight w:val="none"/>
        </w:rPr>
        <w:instrText xml:space="preserve"> PAGEREF _Toc4676 </w:instrText>
      </w:r>
      <w:r>
        <w:rPr>
          <w:highlight w:val="none"/>
        </w:rPr>
        <w:fldChar w:fldCharType="separate"/>
      </w:r>
      <w:r>
        <w:rPr>
          <w:highlight w:val="none"/>
        </w:rPr>
        <w:t>25</w:t>
      </w:r>
      <w:r>
        <w:rPr>
          <w:highlight w:val="none"/>
        </w:rPr>
        <w:fldChar w:fldCharType="end"/>
      </w:r>
      <w:r>
        <w:rPr>
          <w:szCs w:val="32"/>
          <w:highlight w:val="none"/>
        </w:rPr>
        <w:fldChar w:fldCharType="end"/>
      </w:r>
    </w:p>
    <w:p>
      <w:pPr>
        <w:pStyle w:val="6"/>
        <w:tabs>
          <w:tab w:val="right" w:leader="dot" w:pos="8845"/>
        </w:tabs>
        <w:rPr>
          <w:highlight w:val="none"/>
        </w:rPr>
      </w:pPr>
      <w:r>
        <w:rPr>
          <w:szCs w:val="32"/>
          <w:highlight w:val="none"/>
        </w:rPr>
        <w:fldChar w:fldCharType="begin"/>
      </w:r>
      <w:r>
        <w:rPr>
          <w:szCs w:val="32"/>
          <w:highlight w:val="none"/>
        </w:rPr>
        <w:instrText xml:space="preserve"> HYPERLINK \l _Toc6943 </w:instrText>
      </w:r>
      <w:r>
        <w:rPr>
          <w:szCs w:val="32"/>
          <w:highlight w:val="none"/>
        </w:rPr>
        <w:fldChar w:fldCharType="separate"/>
      </w:r>
      <w:r>
        <w:rPr>
          <w:rFonts w:hint="eastAsia" w:ascii="黑体" w:hAnsi="黑体" w:eastAsia="黑体" w:cs="黑体"/>
          <w:bCs w:val="0"/>
          <w:highlight w:val="none"/>
        </w:rPr>
        <w:t>三、改进意见</w:t>
      </w:r>
      <w:r>
        <w:rPr>
          <w:highlight w:val="none"/>
        </w:rPr>
        <w:tab/>
      </w:r>
      <w:r>
        <w:rPr>
          <w:highlight w:val="none"/>
        </w:rPr>
        <w:fldChar w:fldCharType="begin"/>
      </w:r>
      <w:r>
        <w:rPr>
          <w:highlight w:val="none"/>
        </w:rPr>
        <w:instrText xml:space="preserve"> PAGEREF _Toc6943 </w:instrText>
      </w:r>
      <w:r>
        <w:rPr>
          <w:highlight w:val="none"/>
        </w:rPr>
        <w:fldChar w:fldCharType="separate"/>
      </w:r>
      <w:r>
        <w:rPr>
          <w:highlight w:val="none"/>
        </w:rPr>
        <w:t>25</w:t>
      </w:r>
      <w:r>
        <w:rPr>
          <w:highlight w:val="none"/>
        </w:rPr>
        <w:fldChar w:fldCharType="end"/>
      </w:r>
      <w:r>
        <w:rPr>
          <w:szCs w:val="32"/>
          <w:highlight w:val="none"/>
        </w:rPr>
        <w:fldChar w:fldCharType="end"/>
      </w:r>
    </w:p>
    <w:p>
      <w:pPr>
        <w:snapToGrid w:val="0"/>
        <w:spacing w:line="360" w:lineRule="auto"/>
        <w:ind w:firstLine="632" w:firstLineChars="200"/>
        <w:rPr>
          <w:rFonts w:eastAsia="黑体"/>
          <w:sz w:val="32"/>
          <w:szCs w:val="32"/>
          <w:highlight w:val="none"/>
        </w:rPr>
        <w:sectPr>
          <w:footerReference r:id="rId3" w:type="default"/>
          <w:pgSz w:w="11906" w:h="16838"/>
          <w:pgMar w:top="2098" w:right="1474" w:bottom="1984" w:left="1587" w:header="851" w:footer="1587" w:gutter="0"/>
          <w:pgNumType w:fmt="decimal"/>
          <w:cols w:space="720" w:num="1"/>
          <w:rtlGutter w:val="0"/>
          <w:docGrid w:type="linesAndChars" w:linePitch="554" w:charSpace="-1024"/>
        </w:sectPr>
      </w:pPr>
      <w:r>
        <w:rPr>
          <w:szCs w:val="32"/>
          <w:highlight w:val="none"/>
        </w:rPr>
        <w:fldChar w:fldCharType="end"/>
      </w:r>
      <w:bookmarkStart w:id="17" w:name="_GoBack"/>
      <w:bookmarkEnd w:id="17"/>
    </w:p>
    <w:p>
      <w:pPr>
        <w:keepNext w:val="0"/>
        <w:keepLines w:val="0"/>
        <w:pageBreakBefore w:val="0"/>
        <w:widowControl w:val="0"/>
        <w:kinsoku/>
        <w:wordWrap/>
        <w:overflowPunct/>
        <w:topLinePunct w:val="0"/>
        <w:autoSpaceDE/>
        <w:autoSpaceDN/>
        <w:bidi w:val="0"/>
        <w:adjustRightInd/>
        <w:snapToGrid/>
        <w:spacing w:line="260" w:lineRule="auto"/>
        <w:ind w:left="0" w:leftChars="0" w:right="0" w:rightChars="0" w:firstLine="640" w:firstLineChars="200"/>
        <w:jc w:val="both"/>
        <w:textAlignment w:val="auto"/>
        <w:outlineLvl w:val="0"/>
        <w:rPr>
          <w:rFonts w:hint="eastAsia" w:ascii="黑体" w:hAnsi="黑体" w:eastAsia="黑体" w:cs="黑体"/>
          <w:highlight w:val="none"/>
        </w:rPr>
      </w:pPr>
      <w:bookmarkStart w:id="0" w:name="_Toc11395"/>
      <w:r>
        <w:rPr>
          <w:rFonts w:hint="eastAsia" w:ascii="黑体" w:hAnsi="黑体" w:eastAsia="黑体" w:cs="黑体"/>
          <w:highlight w:val="none"/>
        </w:rPr>
        <w:t>一、基本情况</w:t>
      </w:r>
      <w:bookmarkEnd w:id="0"/>
    </w:p>
    <w:p>
      <w:pPr>
        <w:keepNext w:val="0"/>
        <w:keepLines w:val="0"/>
        <w:pageBreakBefore w:val="0"/>
        <w:widowControl w:val="0"/>
        <w:kinsoku/>
        <w:wordWrap/>
        <w:overflowPunct/>
        <w:topLinePunct w:val="0"/>
        <w:autoSpaceDE/>
        <w:autoSpaceDN/>
        <w:bidi w:val="0"/>
        <w:adjustRightInd/>
        <w:snapToGrid/>
        <w:spacing w:line="260" w:lineRule="auto"/>
        <w:ind w:left="0" w:leftChars="0" w:right="0" w:rightChars="0" w:firstLine="640" w:firstLineChars="200"/>
        <w:jc w:val="both"/>
        <w:textAlignment w:val="auto"/>
        <w:outlineLvl w:val="9"/>
        <w:rPr>
          <w:highlight w:val="none"/>
        </w:rPr>
      </w:pPr>
      <w:r>
        <w:rPr>
          <w:highlight w:val="none"/>
        </w:rPr>
        <w:t>为深入贯彻落实《中共广东省委 广东省人民政府关于全面实施预算绩效管理的若干意见》（粤发〔2019〕5号）精神，检验资金预期绩效目标的实现程度、预算执行管理情况及成果效益，强化绩效管理意识，提高财政资金使用效益，</w:t>
      </w:r>
      <w:r>
        <w:rPr>
          <w:rFonts w:hint="eastAsia"/>
          <w:highlight w:val="none"/>
        </w:rPr>
        <w:t>我厅将绩效评价作为一项重要工作，</w:t>
      </w:r>
      <w:r>
        <w:rPr>
          <w:highlight w:val="none"/>
        </w:rPr>
        <w:t>按照《广东省财政厅关于开展202</w:t>
      </w:r>
      <w:r>
        <w:rPr>
          <w:rFonts w:hint="eastAsia"/>
          <w:highlight w:val="none"/>
          <w:lang w:val="en-US" w:eastAsia="zh-CN"/>
        </w:rPr>
        <w:t>1</w:t>
      </w:r>
      <w:r>
        <w:rPr>
          <w:highlight w:val="none"/>
        </w:rPr>
        <w:t>年省级财政资金绩效自评工作的通知》有关要求，对20</w:t>
      </w:r>
      <w:r>
        <w:rPr>
          <w:rFonts w:hint="eastAsia"/>
          <w:highlight w:val="none"/>
          <w:lang w:val="en-US" w:eastAsia="zh-CN"/>
        </w:rPr>
        <w:t>20</w:t>
      </w:r>
      <w:r>
        <w:rPr>
          <w:highlight w:val="none"/>
        </w:rPr>
        <w:t>年打好污染防治攻坚战专项资金-环境监管能力建设项目开展了绩效自评工作，汇总形成绩效自评报告。</w:t>
      </w:r>
    </w:p>
    <w:p>
      <w:pPr>
        <w:keepNext w:val="0"/>
        <w:keepLines w:val="0"/>
        <w:pageBreakBefore w:val="0"/>
        <w:widowControl w:val="0"/>
        <w:kinsoku/>
        <w:wordWrap/>
        <w:overflowPunct/>
        <w:topLinePunct w:val="0"/>
        <w:autoSpaceDE/>
        <w:autoSpaceDN/>
        <w:bidi w:val="0"/>
        <w:adjustRightInd/>
        <w:snapToGrid/>
        <w:spacing w:line="248" w:lineRule="auto"/>
        <w:ind w:left="0" w:leftChars="0" w:right="0" w:rightChars="0" w:firstLine="640" w:firstLineChars="200"/>
        <w:jc w:val="both"/>
        <w:textAlignment w:val="auto"/>
        <w:outlineLvl w:val="1"/>
        <w:rPr>
          <w:highlight w:val="none"/>
        </w:rPr>
      </w:pPr>
      <w:bookmarkStart w:id="1" w:name="_Toc17844"/>
      <w:r>
        <w:rPr>
          <w:rFonts w:hint="eastAsia"/>
          <w:highlight w:val="none"/>
          <w:lang w:val="en-US" w:eastAsia="zh-CN"/>
        </w:rPr>
        <w:t>（一）</w:t>
      </w:r>
      <w:r>
        <w:rPr>
          <w:highlight w:val="none"/>
        </w:rPr>
        <w:t>经费背景</w:t>
      </w:r>
      <w:bookmarkEnd w:id="1"/>
    </w:p>
    <w:p>
      <w:pPr>
        <w:keepNext w:val="0"/>
        <w:keepLines w:val="0"/>
        <w:pageBreakBefore w:val="0"/>
        <w:widowControl w:val="0"/>
        <w:kinsoku/>
        <w:wordWrap/>
        <w:overflowPunct/>
        <w:topLinePunct w:val="0"/>
        <w:autoSpaceDE/>
        <w:autoSpaceDN/>
        <w:bidi w:val="0"/>
        <w:adjustRightInd/>
        <w:snapToGrid/>
        <w:spacing w:line="248" w:lineRule="auto"/>
        <w:ind w:left="0" w:leftChars="0" w:right="0" w:rightChars="0" w:firstLine="640" w:firstLineChars="200"/>
        <w:jc w:val="both"/>
        <w:textAlignment w:val="auto"/>
        <w:outlineLvl w:val="9"/>
        <w:rPr>
          <w:highlight w:val="none"/>
        </w:rPr>
      </w:pPr>
      <w:r>
        <w:rPr>
          <w:highlight w:val="none"/>
        </w:rPr>
        <w:t>根据《广东省打好污染防治攻坚战三年行动计划（2018-2020年）》（粤办发〔2018〕29号）、《广东省水污染防治行动计划实施方案》(粤府〔2015〕131号)、《广东省土壤污染防治行动计划实施方案》(粤府〔2016〕145号)、《广东省固体废物污染防治三年行动计划（2018年－2020年）》（粤环发〔2018〕5号）</w:t>
      </w:r>
      <w:r>
        <w:rPr>
          <w:rFonts w:hint="eastAsia"/>
          <w:highlight w:val="none"/>
          <w:lang w:eastAsia="zh-CN"/>
        </w:rPr>
        <w:t>、</w:t>
      </w:r>
      <w:r>
        <w:rPr>
          <w:highlight w:val="none"/>
        </w:rPr>
        <w:t>《广东省生态环境监测网络建设实施方案》（粤府办〔2017〕19号）、《关于印发广东省生态环境监测“十三五”规划的通知 》（粤环〔2017〕8号）等文件依据，省财政设立了20</w:t>
      </w:r>
      <w:r>
        <w:rPr>
          <w:rFonts w:hint="eastAsia"/>
          <w:highlight w:val="none"/>
          <w:lang w:val="en-US" w:eastAsia="zh-CN"/>
        </w:rPr>
        <w:t>20</w:t>
      </w:r>
      <w:r>
        <w:rPr>
          <w:highlight w:val="none"/>
        </w:rPr>
        <w:t>年打好污染防治攻坚战专项资金-环境监管能力建设，包含</w:t>
      </w:r>
      <w:r>
        <w:rPr>
          <w:rFonts w:hint="eastAsia"/>
          <w:highlight w:val="none"/>
          <w:lang w:val="en-US" w:eastAsia="zh-CN"/>
        </w:rPr>
        <w:t>1</w:t>
      </w:r>
      <w:r>
        <w:rPr>
          <w:highlight w:val="none"/>
        </w:rPr>
        <w:t>个政策任务，</w:t>
      </w:r>
      <w:r>
        <w:rPr>
          <w:rFonts w:hint="eastAsia"/>
          <w:highlight w:val="none"/>
          <w:lang w:eastAsia="zh-CN"/>
        </w:rPr>
        <w:t>即</w:t>
      </w:r>
      <w:r>
        <w:rPr>
          <w:highlight w:val="none"/>
        </w:rPr>
        <w:t>（生态）环境保护与监管能力建设。</w:t>
      </w:r>
    </w:p>
    <w:p>
      <w:pPr>
        <w:keepNext w:val="0"/>
        <w:keepLines w:val="0"/>
        <w:pageBreakBefore w:val="0"/>
        <w:widowControl w:val="0"/>
        <w:kinsoku/>
        <w:wordWrap/>
        <w:overflowPunct/>
        <w:topLinePunct w:val="0"/>
        <w:autoSpaceDE/>
        <w:autoSpaceDN/>
        <w:bidi w:val="0"/>
        <w:adjustRightInd/>
        <w:snapToGrid/>
        <w:spacing w:line="248" w:lineRule="auto"/>
        <w:ind w:left="0" w:leftChars="0" w:right="0" w:rightChars="0" w:firstLine="640" w:firstLineChars="200"/>
        <w:jc w:val="both"/>
        <w:textAlignment w:val="auto"/>
        <w:outlineLvl w:val="1"/>
        <w:rPr>
          <w:highlight w:val="none"/>
        </w:rPr>
      </w:pPr>
      <w:bookmarkStart w:id="2" w:name="_Toc2132"/>
      <w:r>
        <w:rPr>
          <w:rFonts w:hint="eastAsia"/>
          <w:highlight w:val="none"/>
          <w:lang w:val="en-US" w:eastAsia="zh-CN"/>
        </w:rPr>
        <w:t>（二）</w:t>
      </w:r>
      <w:r>
        <w:rPr>
          <w:highlight w:val="none"/>
        </w:rPr>
        <w:t>资金安排情况</w:t>
      </w:r>
      <w:bookmarkEnd w:id="2"/>
    </w:p>
    <w:p>
      <w:pPr>
        <w:keepNext w:val="0"/>
        <w:keepLines w:val="0"/>
        <w:pageBreakBefore w:val="0"/>
        <w:widowControl w:val="0"/>
        <w:kinsoku/>
        <w:wordWrap/>
        <w:overflowPunct/>
        <w:topLinePunct w:val="0"/>
        <w:autoSpaceDE/>
        <w:autoSpaceDN/>
        <w:bidi w:val="0"/>
        <w:adjustRightInd/>
        <w:snapToGrid/>
        <w:spacing w:line="248" w:lineRule="auto"/>
        <w:ind w:left="0" w:leftChars="0" w:right="0" w:rightChars="0" w:firstLine="640" w:firstLineChars="200"/>
        <w:jc w:val="both"/>
        <w:textAlignment w:val="auto"/>
        <w:outlineLvl w:val="9"/>
        <w:rPr>
          <w:highlight w:val="none"/>
        </w:rPr>
      </w:pPr>
      <w:r>
        <w:rPr>
          <w:highlight w:val="none"/>
        </w:rPr>
        <w:t>20</w:t>
      </w:r>
      <w:r>
        <w:rPr>
          <w:rFonts w:hint="eastAsia"/>
          <w:highlight w:val="none"/>
          <w:lang w:val="en-US" w:eastAsia="zh-CN"/>
        </w:rPr>
        <w:t>20</w:t>
      </w:r>
      <w:r>
        <w:rPr>
          <w:highlight w:val="none"/>
        </w:rPr>
        <w:t>年省财政厅下达环境监管能力建设专项资金文件包括</w:t>
      </w:r>
      <w:r>
        <w:rPr>
          <w:rFonts w:hint="eastAsia"/>
          <w:highlight w:val="none"/>
          <w:lang w:eastAsia="zh-CN"/>
        </w:rPr>
        <w:t>《关于提前下达2020年省生态环境厅打好污染防治攻坚战资金的通知》（粤财资环〔2019〕39号）、《</w:t>
      </w:r>
      <w:r>
        <w:rPr>
          <w:rFonts w:hint="eastAsia"/>
          <w:highlight w:val="none"/>
        </w:rPr>
        <w:t>广东省财政厅关于批复2020年省级部门预算的通知</w:t>
      </w:r>
      <w:r>
        <w:rPr>
          <w:rFonts w:hint="eastAsia"/>
          <w:highlight w:val="none"/>
          <w:lang w:eastAsia="zh-CN"/>
        </w:rPr>
        <w:t>》（</w:t>
      </w:r>
      <w:r>
        <w:rPr>
          <w:rFonts w:hint="eastAsia"/>
          <w:highlight w:val="none"/>
        </w:rPr>
        <w:t>粤财预〔2020〕5</w:t>
      </w:r>
      <w:r>
        <w:rPr>
          <w:rFonts w:hint="eastAsia"/>
          <w:highlight w:val="none"/>
          <w:lang w:eastAsia="zh-CN"/>
        </w:rPr>
        <w:t>）</w:t>
      </w:r>
      <w:r>
        <w:rPr>
          <w:rFonts w:hint="eastAsia"/>
          <w:highlight w:val="none"/>
        </w:rPr>
        <w:t>号</w:t>
      </w:r>
      <w:r>
        <w:rPr>
          <w:rFonts w:hint="eastAsia"/>
          <w:highlight w:val="none"/>
          <w:lang w:eastAsia="zh-CN"/>
        </w:rPr>
        <w:t>、《广东省财政厅关于下达省生态环境厅2020年打好污染防治攻坚战资金（第二批）的通知》（粤财资环〔2020〕15号）、《广东省财政厅关于下达省生态环境厅2020年打好污染防治攻坚战专项资金（第三批）的通知》（粤财资环〔2020〕47号）、《广东省财政厅关于下达2020年大气污染防控精准攻坚咨询及跟踪服务资金的通知》（粤财资环〔2020〕53号） 、《广东省财政厅关于调整省生态环境厅2020年部分预算资金的通知（2020年中预算调整）》（粤财资环〔2020〕65号） 、《广东省财政厅关于安排省生态环境厅2020年信息化建设项目资金的通知》（粤财资环〔2020〕94号）、《广东省财政厅关于下达省生态环境厅2020年打好污染防治攻坚战专项资金（信息化建设项目第二批）的通知》（粤财资环〔2020〕100号）、《广东省财政厅关于安排油品质量快速检测车购置等经费的通知》（粤财资环〔2020〕110号）、《广东省财政厅关于安排省生态环境厅2020年信息化项目资金（第三批）的通知》（粤财资环〔2020〕114号）</w:t>
      </w:r>
      <w:r>
        <w:rPr>
          <w:highlight w:val="none"/>
        </w:rPr>
        <w:t>及</w:t>
      </w:r>
      <w:r>
        <w:rPr>
          <w:rFonts w:hint="eastAsia"/>
          <w:highlight w:val="none"/>
          <w:lang w:eastAsia="zh-CN"/>
        </w:rPr>
        <w:t>《广东省财政厅关于安排2020年度碳排放有偿经费（第二批）和污染攻坚战集中宣传资金的通知》（粤财资环〔2020〕118号）</w:t>
      </w:r>
      <w:r>
        <w:rPr>
          <w:highlight w:val="none"/>
        </w:rPr>
        <w:t>等。</w:t>
      </w:r>
    </w:p>
    <w:p>
      <w:pPr>
        <w:keepNext w:val="0"/>
        <w:keepLines w:val="0"/>
        <w:pageBreakBefore w:val="0"/>
        <w:widowControl w:val="0"/>
        <w:kinsoku/>
        <w:wordWrap/>
        <w:overflowPunct/>
        <w:topLinePunct w:val="0"/>
        <w:autoSpaceDE/>
        <w:autoSpaceDN/>
        <w:bidi w:val="0"/>
        <w:adjustRightInd/>
        <w:snapToGrid/>
        <w:spacing w:line="248" w:lineRule="auto"/>
        <w:ind w:left="0" w:leftChars="0" w:right="0" w:rightChars="0" w:firstLine="640" w:firstLineChars="200"/>
        <w:jc w:val="both"/>
        <w:textAlignment w:val="auto"/>
        <w:outlineLvl w:val="9"/>
        <w:rPr>
          <w:highlight w:val="none"/>
        </w:rPr>
      </w:pPr>
      <w:r>
        <w:rPr>
          <w:highlight w:val="none"/>
        </w:rPr>
        <w:t>根据以上文件，省财政下达20</w:t>
      </w:r>
      <w:r>
        <w:rPr>
          <w:rFonts w:hint="eastAsia"/>
          <w:highlight w:val="none"/>
          <w:lang w:val="en-US" w:eastAsia="zh-CN"/>
        </w:rPr>
        <w:t>20</w:t>
      </w:r>
      <w:r>
        <w:rPr>
          <w:highlight w:val="none"/>
        </w:rPr>
        <w:t>年环境监管能力建设专项资金共</w:t>
      </w:r>
      <w:r>
        <w:rPr>
          <w:rFonts w:hint="eastAsia"/>
          <w:highlight w:val="none"/>
          <w:lang w:val="en-US" w:eastAsia="zh-CN"/>
        </w:rPr>
        <w:t>54921</w:t>
      </w:r>
      <w:r>
        <w:rPr>
          <w:highlight w:val="none"/>
        </w:rPr>
        <w:t>万元</w:t>
      </w:r>
      <w:r>
        <w:rPr>
          <w:rFonts w:hint="eastAsia"/>
          <w:highlight w:val="none"/>
          <w:lang w:eastAsia="zh-CN"/>
        </w:rPr>
        <w:t>，用于支持</w:t>
      </w:r>
      <w:r>
        <w:rPr>
          <w:rFonts w:hint="eastAsia"/>
          <w:highlight w:val="none"/>
          <w:lang w:val="en-US" w:eastAsia="zh-CN"/>
        </w:rPr>
        <w:t>9个方向的项目建设，</w:t>
      </w:r>
      <w:r>
        <w:rPr>
          <w:highlight w:val="none"/>
        </w:rPr>
        <w:t>采用因素法和项目制结合的方式分配。具体资金分配情况见表</w:t>
      </w:r>
      <w:r>
        <w:rPr>
          <w:rFonts w:hint="eastAsia"/>
          <w:highlight w:val="none"/>
          <w:lang w:val="en-US" w:eastAsia="zh-CN"/>
        </w:rPr>
        <w:t>1至表3</w:t>
      </w:r>
      <w:r>
        <w:rPr>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黑体" w:cs="Times New Roman"/>
          <w:sz w:val="30"/>
          <w:szCs w:val="30"/>
          <w:highlight w:val="none"/>
        </w:rPr>
        <w:sectPr>
          <w:footerReference r:id="rId4"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sz w:val="30"/>
          <w:szCs w:val="30"/>
          <w:highlight w:val="none"/>
        </w:rPr>
      </w:pPr>
      <w:r>
        <w:rPr>
          <w:rFonts w:hint="default" w:ascii="Times New Roman" w:hAnsi="Times New Roman" w:eastAsia="黑体" w:cs="Times New Roman"/>
          <w:sz w:val="30"/>
          <w:szCs w:val="30"/>
          <w:highlight w:val="none"/>
        </w:rPr>
        <w:t>表</w:t>
      </w:r>
      <w:r>
        <w:rPr>
          <w:rFonts w:hint="eastAsia" w:eastAsia="黑体" w:cs="Times New Roman"/>
          <w:sz w:val="30"/>
          <w:szCs w:val="30"/>
          <w:highlight w:val="none"/>
          <w:lang w:val="en-US" w:eastAsia="zh-CN"/>
        </w:rPr>
        <w:t>1</w:t>
      </w:r>
      <w:r>
        <w:rPr>
          <w:rFonts w:hint="default" w:ascii="Times New Roman" w:hAnsi="Times New Roman" w:eastAsia="黑体" w:cs="Times New Roman"/>
          <w:sz w:val="30"/>
          <w:szCs w:val="30"/>
          <w:highlight w:val="none"/>
        </w:rPr>
        <w:t xml:space="preserve">  20</w:t>
      </w:r>
      <w:r>
        <w:rPr>
          <w:rFonts w:hint="eastAsia" w:eastAsia="黑体" w:cs="Times New Roman"/>
          <w:sz w:val="30"/>
          <w:szCs w:val="30"/>
          <w:highlight w:val="none"/>
          <w:lang w:val="en-US" w:eastAsia="zh-CN"/>
        </w:rPr>
        <w:t>20</w:t>
      </w:r>
      <w:r>
        <w:rPr>
          <w:rFonts w:hint="default" w:ascii="Times New Roman" w:hAnsi="Times New Roman" w:eastAsia="黑体" w:cs="Times New Roman"/>
          <w:sz w:val="30"/>
          <w:szCs w:val="30"/>
          <w:highlight w:val="none"/>
        </w:rPr>
        <w:t>年环境监管能力建设专项资金总体安排情况</w:t>
      </w:r>
    </w:p>
    <w:tbl>
      <w:tblPr>
        <w:tblStyle w:val="11"/>
        <w:tblpPr w:leftFromText="180" w:rightFromText="180" w:vertAnchor="text" w:horzAnchor="page" w:tblpXSpec="center" w:tblpY="491"/>
        <w:tblOverlap w:val="never"/>
        <w:tblW w:w="14385" w:type="dxa"/>
        <w:jc w:val="center"/>
        <w:tblInd w:w="0" w:type="dxa"/>
        <w:shd w:val="clear" w:color="auto" w:fill="auto"/>
        <w:tblLayout w:type="fixed"/>
        <w:tblCellMar>
          <w:top w:w="0" w:type="dxa"/>
          <w:left w:w="0" w:type="dxa"/>
          <w:bottom w:w="0" w:type="dxa"/>
          <w:right w:w="0" w:type="dxa"/>
        </w:tblCellMar>
      </w:tblPr>
      <w:tblGrid>
        <w:gridCol w:w="630"/>
        <w:gridCol w:w="3511"/>
        <w:gridCol w:w="1020"/>
        <w:gridCol w:w="930"/>
        <w:gridCol w:w="1050"/>
        <w:gridCol w:w="960"/>
        <w:gridCol w:w="945"/>
        <w:gridCol w:w="914"/>
        <w:gridCol w:w="2685"/>
        <w:gridCol w:w="1740"/>
      </w:tblGrid>
      <w:tr>
        <w:tblPrEx>
          <w:tblLayout w:type="fixed"/>
          <w:tblCellMar>
            <w:top w:w="0" w:type="dxa"/>
            <w:left w:w="0" w:type="dxa"/>
            <w:bottom w:w="0" w:type="dxa"/>
            <w:right w:w="0" w:type="dxa"/>
          </w:tblCellMar>
        </w:tblPrEx>
        <w:trPr>
          <w:trHeight w:val="397" w:hRule="atLeast"/>
          <w:jc w:val="center"/>
        </w:trPr>
        <w:tc>
          <w:tcPr>
            <w:tcW w:w="63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序号</w:t>
            </w:r>
          </w:p>
        </w:tc>
        <w:tc>
          <w:tcPr>
            <w:tcW w:w="3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项目类型</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总安排</w:t>
            </w:r>
            <w:r>
              <w:rPr>
                <w:rFonts w:hint="default" w:ascii="Times New Roman" w:hAnsi="Times New Roman" w:eastAsia="楷体" w:cs="Times New Roman"/>
                <w:b/>
                <w:i w:val="0"/>
                <w:color w:val="000000"/>
                <w:kern w:val="0"/>
                <w:sz w:val="24"/>
                <w:szCs w:val="24"/>
                <w:highlight w:val="none"/>
                <w:u w:val="none"/>
                <w:lang w:val="en-US" w:eastAsia="en-US" w:bidi="ar"/>
              </w:rPr>
              <w:t>（A+B）</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省本级安排（</w:t>
            </w:r>
            <w:r>
              <w:rPr>
                <w:rFonts w:hint="default" w:ascii="Times New Roman" w:hAnsi="Times New Roman" w:eastAsia="楷体" w:cs="Times New Roman"/>
                <w:b/>
                <w:i w:val="0"/>
                <w:color w:val="000000"/>
                <w:kern w:val="0"/>
                <w:sz w:val="24"/>
                <w:szCs w:val="24"/>
                <w:highlight w:val="none"/>
                <w:u w:val="none"/>
                <w:lang w:val="en-US" w:eastAsia="en-US" w:bidi="ar"/>
              </w:rPr>
              <w:t>A）</w:t>
            </w:r>
          </w:p>
        </w:tc>
        <w:tc>
          <w:tcPr>
            <w:tcW w:w="1859"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地市安排（</w:t>
            </w:r>
            <w:r>
              <w:rPr>
                <w:rFonts w:hint="default" w:ascii="Times New Roman" w:hAnsi="Times New Roman" w:eastAsia="楷体" w:cs="Times New Roman"/>
                <w:b/>
                <w:i w:val="0"/>
                <w:color w:val="000000"/>
                <w:kern w:val="0"/>
                <w:sz w:val="24"/>
                <w:szCs w:val="24"/>
                <w:highlight w:val="none"/>
                <w:u w:val="none"/>
                <w:lang w:val="en-US" w:eastAsia="en-US" w:bidi="ar"/>
              </w:rPr>
              <w:t>B）</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资金下达文件</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分配方式</w:t>
            </w:r>
          </w:p>
        </w:tc>
      </w:tr>
      <w:tr>
        <w:tblPrEx>
          <w:tblLayout w:type="fixed"/>
          <w:tblCellMar>
            <w:top w:w="0" w:type="dxa"/>
            <w:left w:w="0" w:type="dxa"/>
            <w:bottom w:w="0" w:type="dxa"/>
            <w:right w:w="0" w:type="dxa"/>
          </w:tblCellMar>
        </w:tblPrEx>
        <w:trPr>
          <w:trHeight w:val="397" w:hRule="atLeast"/>
          <w:jc w:val="center"/>
        </w:trPr>
        <w:tc>
          <w:tcPr>
            <w:tcW w:w="630" w:type="dxa"/>
            <w:vMerge w:val="continue"/>
            <w:tcBorders>
              <w:top w:val="single" w:color="000000" w:sz="4" w:space="0"/>
              <w:left w:val="single" w:color="000000" w:sz="4" w:space="0"/>
              <w:bottom w:val="nil"/>
              <w:right w:val="single" w:color="000000" w:sz="4" w:space="0"/>
            </w:tcBorders>
            <w:shd w:val="clear" w:color="auto" w:fill="DDD9C4"/>
            <w:tcMar>
              <w:top w:w="15" w:type="dxa"/>
              <w:left w:w="15" w:type="dxa"/>
              <w:right w:w="15" w:type="dxa"/>
            </w:tcMar>
            <w:vAlign w:val="center"/>
          </w:tcPr>
          <w:p>
            <w:pPr>
              <w:jc w:val="center"/>
              <w:rPr>
                <w:rFonts w:hint="default" w:ascii="Times New Roman" w:hAnsi="Times New Roman" w:eastAsia="楷体" w:cs="Times New Roman"/>
                <w:b/>
                <w:i w:val="0"/>
                <w:color w:val="000000"/>
                <w:sz w:val="24"/>
                <w:szCs w:val="24"/>
                <w:highlight w:val="none"/>
                <w:u w:val="none"/>
              </w:rPr>
            </w:pPr>
          </w:p>
        </w:tc>
        <w:tc>
          <w:tcPr>
            <w:tcW w:w="3511" w:type="dxa"/>
            <w:vMerge w:val="continue"/>
            <w:tcBorders>
              <w:top w:val="single" w:color="000000" w:sz="4" w:space="0"/>
              <w:left w:val="single" w:color="000000" w:sz="4" w:space="0"/>
              <w:bottom w:val="single" w:color="000000" w:sz="4" w:space="0"/>
              <w:right w:val="single" w:color="000000" w:sz="4" w:space="0"/>
            </w:tcBorders>
            <w:shd w:val="clear" w:color="auto" w:fill="DDD9C4"/>
            <w:tcMar>
              <w:top w:w="15" w:type="dxa"/>
              <w:left w:w="15" w:type="dxa"/>
              <w:right w:w="15" w:type="dxa"/>
            </w:tcMar>
            <w:vAlign w:val="center"/>
          </w:tcPr>
          <w:p>
            <w:pPr>
              <w:jc w:val="center"/>
              <w:rPr>
                <w:rFonts w:hint="default" w:ascii="Times New Roman" w:hAnsi="Times New Roman" w:eastAsia="楷体" w:cs="Times New Roman"/>
                <w:b/>
                <w:i w:val="0"/>
                <w:color w:val="000000"/>
                <w:sz w:val="24"/>
                <w:szCs w:val="24"/>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金</w:t>
            </w:r>
            <w:r>
              <w:rPr>
                <w:rFonts w:hint="default" w:ascii="Times New Roman" w:hAnsi="Times New Roman" w:eastAsia="楷体" w:cs="Times New Roman"/>
                <w:b/>
                <w:i w:val="0"/>
                <w:color w:val="000000"/>
                <w:kern w:val="0"/>
                <w:sz w:val="24"/>
                <w:szCs w:val="24"/>
                <w:highlight w:val="none"/>
                <w:u w:val="none"/>
                <w:lang w:val="en-US" w:eastAsia="en-US" w:bidi="ar"/>
              </w:rPr>
              <w:t>额</w:t>
            </w:r>
            <w:r>
              <w:rPr>
                <w:rFonts w:hint="default" w:ascii="Times New Roman" w:hAnsi="Times New Roman" w:eastAsia="楷体" w:cs="Times New Roman"/>
                <w:b/>
                <w:i w:val="0"/>
                <w:color w:val="000000"/>
                <w:kern w:val="0"/>
                <w:sz w:val="24"/>
                <w:szCs w:val="24"/>
                <w:highlight w:val="none"/>
                <w:u w:val="none"/>
                <w:lang w:val="en-US" w:eastAsia="en-US" w:bidi="ar"/>
              </w:rPr>
              <w:br w:type="textWrapping"/>
            </w:r>
            <w:r>
              <w:rPr>
                <w:rFonts w:hint="default" w:ascii="Times New Roman" w:hAnsi="Times New Roman" w:eastAsia="楷体" w:cs="Times New Roman"/>
                <w:b/>
                <w:i w:val="0"/>
                <w:color w:val="000000"/>
                <w:kern w:val="0"/>
                <w:sz w:val="24"/>
                <w:szCs w:val="24"/>
                <w:highlight w:val="none"/>
                <w:u w:val="none"/>
                <w:lang w:val="en-US" w:eastAsia="en-US" w:bidi="ar"/>
              </w:rPr>
              <w:t>（万元）</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项目数（个）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金</w:t>
            </w:r>
            <w:r>
              <w:rPr>
                <w:rFonts w:hint="default" w:ascii="Times New Roman" w:hAnsi="Times New Roman" w:eastAsia="楷体" w:cs="Times New Roman"/>
                <w:b/>
                <w:i w:val="0"/>
                <w:color w:val="000000"/>
                <w:kern w:val="0"/>
                <w:sz w:val="24"/>
                <w:szCs w:val="24"/>
                <w:highlight w:val="none"/>
                <w:u w:val="none"/>
                <w:lang w:val="en-US" w:eastAsia="en-US" w:bidi="ar"/>
              </w:rPr>
              <w:t>额</w:t>
            </w:r>
            <w:r>
              <w:rPr>
                <w:rFonts w:hint="default" w:ascii="Times New Roman" w:hAnsi="Times New Roman" w:eastAsia="楷体" w:cs="Times New Roman"/>
                <w:b/>
                <w:i w:val="0"/>
                <w:color w:val="000000"/>
                <w:kern w:val="0"/>
                <w:sz w:val="24"/>
                <w:szCs w:val="24"/>
                <w:highlight w:val="none"/>
                <w:u w:val="none"/>
                <w:lang w:val="en-US" w:eastAsia="en-US" w:bidi="ar"/>
              </w:rPr>
              <w:br w:type="textWrapping"/>
            </w:r>
            <w:r>
              <w:rPr>
                <w:rFonts w:hint="default" w:ascii="Times New Roman" w:hAnsi="Times New Roman" w:eastAsia="楷体" w:cs="Times New Roman"/>
                <w:b/>
                <w:i w:val="0"/>
                <w:color w:val="000000"/>
                <w:kern w:val="0"/>
                <w:sz w:val="24"/>
                <w:szCs w:val="24"/>
                <w:highlight w:val="none"/>
                <w:u w:val="none"/>
                <w:lang w:val="en-US" w:eastAsia="en-US" w:bidi="ar"/>
              </w:rPr>
              <w:t>（万元）</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项目数（个）</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金</w:t>
            </w:r>
            <w:r>
              <w:rPr>
                <w:rFonts w:hint="default" w:ascii="Times New Roman" w:hAnsi="Times New Roman" w:eastAsia="楷体" w:cs="Times New Roman"/>
                <w:b/>
                <w:i w:val="0"/>
                <w:color w:val="000000"/>
                <w:kern w:val="0"/>
                <w:sz w:val="24"/>
                <w:szCs w:val="24"/>
                <w:highlight w:val="none"/>
                <w:u w:val="none"/>
                <w:lang w:val="en-US" w:eastAsia="en-US" w:bidi="ar"/>
              </w:rPr>
              <w:t>额</w:t>
            </w:r>
            <w:r>
              <w:rPr>
                <w:rFonts w:hint="default" w:ascii="Times New Roman" w:hAnsi="Times New Roman" w:eastAsia="楷体" w:cs="Times New Roman"/>
                <w:b/>
                <w:i w:val="0"/>
                <w:color w:val="000000"/>
                <w:kern w:val="0"/>
                <w:sz w:val="24"/>
                <w:szCs w:val="24"/>
                <w:highlight w:val="none"/>
                <w:u w:val="none"/>
                <w:lang w:val="en-US" w:eastAsia="en-US" w:bidi="ar"/>
              </w:rPr>
              <w:br w:type="textWrapping"/>
            </w:r>
            <w:r>
              <w:rPr>
                <w:rFonts w:hint="default" w:ascii="Times New Roman" w:hAnsi="Times New Roman" w:eastAsia="楷体" w:cs="Times New Roman"/>
                <w:b/>
                <w:i w:val="0"/>
                <w:color w:val="000000"/>
                <w:kern w:val="0"/>
                <w:sz w:val="24"/>
                <w:szCs w:val="24"/>
                <w:highlight w:val="none"/>
                <w:u w:val="none"/>
                <w:lang w:val="en-US" w:eastAsia="en-US" w:bidi="ar"/>
              </w:rPr>
              <w:t>（万元）</w:t>
            </w:r>
          </w:p>
        </w:tc>
        <w:tc>
          <w:tcPr>
            <w:tcW w:w="91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项目数（个）</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DDD9C4"/>
            <w:tcMar>
              <w:top w:w="15" w:type="dxa"/>
              <w:left w:w="15" w:type="dxa"/>
              <w:right w:w="15" w:type="dxa"/>
            </w:tcMar>
            <w:vAlign w:val="center"/>
          </w:tcPr>
          <w:p>
            <w:pPr>
              <w:jc w:val="center"/>
              <w:rPr>
                <w:rFonts w:hint="default" w:ascii="Times New Roman" w:hAnsi="Times New Roman" w:eastAsia="楷体" w:cs="Times New Roman"/>
                <w:b/>
                <w:i w:val="0"/>
                <w:color w:val="000000"/>
                <w:sz w:val="24"/>
                <w:szCs w:val="24"/>
                <w:highlight w:val="none"/>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DDD9C4"/>
            <w:tcMar>
              <w:top w:w="15" w:type="dxa"/>
              <w:left w:w="15" w:type="dxa"/>
              <w:right w:w="15" w:type="dxa"/>
            </w:tcMar>
            <w:vAlign w:val="center"/>
          </w:tcPr>
          <w:p>
            <w:pPr>
              <w:jc w:val="center"/>
              <w:rPr>
                <w:rFonts w:hint="default" w:ascii="Times New Roman" w:hAnsi="Times New Roman" w:eastAsia="楷体" w:cs="Times New Roman"/>
                <w:b/>
                <w:i w:val="0"/>
                <w:color w:val="000000"/>
                <w:sz w:val="24"/>
                <w:szCs w:val="24"/>
                <w:highlight w:val="none"/>
                <w:u w:val="none"/>
              </w:rPr>
            </w:pPr>
          </w:p>
        </w:tc>
      </w:tr>
      <w:tr>
        <w:tblPrEx>
          <w:shd w:val="clear" w:color="auto" w:fill="auto"/>
          <w:tblLayout w:type="fixed"/>
          <w:tblCellMar>
            <w:top w:w="0" w:type="dxa"/>
            <w:left w:w="0" w:type="dxa"/>
            <w:bottom w:w="0" w:type="dxa"/>
            <w:right w:w="0" w:type="dxa"/>
          </w:tblCellMar>
        </w:tblPrEx>
        <w:trPr>
          <w:trHeight w:val="397" w:hRule="atLeast"/>
          <w:jc w:val="center"/>
        </w:trPr>
        <w:tc>
          <w:tcPr>
            <w:tcW w:w="41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（生态）环境保护与监管能力建设</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lang w:val="en-US"/>
              </w:rPr>
            </w:pPr>
            <w:r>
              <w:rPr>
                <w:rFonts w:hint="default" w:ascii="Times New Roman" w:hAnsi="Times New Roman" w:eastAsia="楷体" w:cs="Times New Roman"/>
                <w:i w:val="0"/>
                <w:color w:val="000000"/>
                <w:kern w:val="0"/>
                <w:sz w:val="24"/>
                <w:szCs w:val="24"/>
                <w:highlight w:val="none"/>
                <w:u w:val="none"/>
                <w:lang w:val="en-US" w:eastAsia="zh-CN" w:bidi="ar"/>
              </w:rPr>
              <w:t>54,921</w:t>
            </w:r>
            <w:r>
              <w:rPr>
                <w:rFonts w:hint="eastAsia" w:eastAsia="楷体" w:cs="Times New Roman"/>
                <w:i w:val="0"/>
                <w:color w:val="000000"/>
                <w:kern w:val="0"/>
                <w:sz w:val="24"/>
                <w:szCs w:val="24"/>
                <w:highlight w:val="none"/>
                <w:u w:val="none"/>
                <w:lang w:val="en-US" w:eastAsia="zh-CN" w:bidi="ar"/>
              </w:rPr>
              <w:t>.28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235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lang w:val="en-US"/>
              </w:rPr>
            </w:pPr>
            <w:r>
              <w:rPr>
                <w:rFonts w:hint="default" w:ascii="Times New Roman" w:hAnsi="Times New Roman" w:eastAsia="楷体" w:cs="Times New Roman"/>
                <w:i w:val="0"/>
                <w:color w:val="000000"/>
                <w:kern w:val="0"/>
                <w:sz w:val="24"/>
                <w:szCs w:val="24"/>
                <w:highlight w:val="none"/>
                <w:u w:val="none"/>
                <w:lang w:val="en-US" w:eastAsia="zh-CN" w:bidi="ar"/>
              </w:rPr>
              <w:t>28,186</w:t>
            </w:r>
            <w:r>
              <w:rPr>
                <w:rFonts w:hint="eastAsia" w:eastAsia="楷体" w:cs="Times New Roman"/>
                <w:i w:val="0"/>
                <w:color w:val="000000"/>
                <w:kern w:val="0"/>
                <w:sz w:val="24"/>
                <w:szCs w:val="24"/>
                <w:highlight w:val="none"/>
                <w:u w:val="none"/>
                <w:lang w:val="en-US" w:eastAsia="zh-CN" w:bidi="ar"/>
              </w:rPr>
              <w:t>.28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99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26,735</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136</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r>
      <w:tr>
        <w:tblPrEx>
          <w:shd w:val="clear" w:color="auto" w:fill="auto"/>
          <w:tblLayout w:type="fixed"/>
          <w:tblCellMar>
            <w:top w:w="0" w:type="dxa"/>
            <w:left w:w="0" w:type="dxa"/>
            <w:bottom w:w="0" w:type="dxa"/>
            <w:right w:w="0"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1</w:t>
            </w:r>
          </w:p>
        </w:tc>
        <w:tc>
          <w:tcPr>
            <w:tcW w:w="3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省市生态环境监测网络建设</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lang w:val="en-US"/>
              </w:rPr>
            </w:pPr>
            <w:r>
              <w:rPr>
                <w:rFonts w:hint="default" w:ascii="Times New Roman" w:hAnsi="Times New Roman" w:eastAsia="楷体" w:cs="Times New Roman"/>
                <w:i w:val="0"/>
                <w:color w:val="000000"/>
                <w:kern w:val="0"/>
                <w:sz w:val="24"/>
                <w:szCs w:val="24"/>
                <w:highlight w:val="none"/>
                <w:u w:val="none"/>
                <w:lang w:val="en-US" w:eastAsia="zh-CN" w:bidi="ar"/>
              </w:rPr>
              <w:t>26,291</w:t>
            </w:r>
            <w:r>
              <w:rPr>
                <w:rFonts w:hint="eastAsia" w:eastAsia="楷体" w:cs="Times New Roman"/>
                <w:i w:val="0"/>
                <w:color w:val="000000"/>
                <w:kern w:val="0"/>
                <w:sz w:val="24"/>
                <w:szCs w:val="24"/>
                <w:highlight w:val="none"/>
                <w:u w:val="none"/>
                <w:lang w:val="en-US" w:eastAsia="zh-CN" w:bidi="ar"/>
              </w:rPr>
              <w:t>.25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55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lang w:val="en-US"/>
              </w:rPr>
            </w:pPr>
            <w:r>
              <w:rPr>
                <w:rFonts w:hint="default" w:ascii="Times New Roman" w:hAnsi="Times New Roman" w:eastAsia="楷体" w:cs="Times New Roman"/>
                <w:i w:val="0"/>
                <w:color w:val="000000"/>
                <w:kern w:val="0"/>
                <w:sz w:val="24"/>
                <w:szCs w:val="24"/>
                <w:highlight w:val="none"/>
                <w:u w:val="none"/>
                <w:lang w:val="en-US" w:eastAsia="zh-CN" w:bidi="ar"/>
              </w:rPr>
              <w:t>11,691</w:t>
            </w:r>
            <w:r>
              <w:rPr>
                <w:rFonts w:hint="eastAsia" w:eastAsia="楷体" w:cs="Times New Roman"/>
                <w:i w:val="0"/>
                <w:color w:val="000000"/>
                <w:kern w:val="0"/>
                <w:sz w:val="24"/>
                <w:szCs w:val="24"/>
                <w:highlight w:val="none"/>
                <w:u w:val="none"/>
                <w:lang w:val="en-US" w:eastAsia="zh-CN" w:bidi="ar"/>
              </w:rPr>
              <w:t>.25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14,600</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42</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粤财资环</w:t>
            </w:r>
            <w:r>
              <w:rPr>
                <w:rFonts w:hint="default" w:ascii="Times New Roman" w:hAnsi="Times New Roman" w:eastAsia="楷体" w:cs="Times New Roman"/>
                <w:i w:val="0"/>
                <w:color w:val="000000"/>
                <w:kern w:val="0"/>
                <w:sz w:val="24"/>
                <w:szCs w:val="24"/>
                <w:highlight w:val="none"/>
                <w:u w:val="none"/>
                <w:lang w:val="en-US" w:eastAsia="en-US" w:bidi="ar"/>
              </w:rPr>
              <w:t>〔201</w:t>
            </w:r>
            <w:r>
              <w:rPr>
                <w:rStyle w:val="25"/>
                <w:rFonts w:hint="default" w:ascii="Times New Roman" w:hAnsi="Times New Roman" w:eastAsia="楷体" w:cs="Times New Roman"/>
                <w:sz w:val="24"/>
                <w:szCs w:val="24"/>
                <w:highlight w:val="none"/>
                <w:lang w:val="en-US" w:eastAsia="zh-CN" w:bidi="ar"/>
              </w:rPr>
              <w:t>9</w:t>
            </w:r>
            <w:r>
              <w:rPr>
                <w:rFonts w:hint="default" w:ascii="Times New Roman" w:hAnsi="Times New Roman" w:eastAsia="楷体" w:cs="Times New Roman"/>
                <w:i w:val="0"/>
                <w:color w:val="000000"/>
                <w:kern w:val="0"/>
                <w:sz w:val="24"/>
                <w:szCs w:val="24"/>
                <w:highlight w:val="none"/>
                <w:u w:val="none"/>
                <w:lang w:val="en-US" w:eastAsia="en-US" w:bidi="ar"/>
              </w:rPr>
              <w:t>〕3</w:t>
            </w:r>
            <w:r>
              <w:rPr>
                <w:rStyle w:val="25"/>
                <w:rFonts w:hint="default" w:ascii="Times New Roman" w:hAnsi="Times New Roman" w:eastAsia="楷体" w:cs="Times New Roman"/>
                <w:sz w:val="24"/>
                <w:szCs w:val="24"/>
                <w:highlight w:val="none"/>
                <w:lang w:val="en-US" w:eastAsia="zh-CN" w:bidi="ar"/>
              </w:rPr>
              <w:t>9号</w:t>
            </w:r>
            <w:r>
              <w:rPr>
                <w:rFonts w:hint="default" w:ascii="Times New Roman" w:hAnsi="Times New Roman" w:eastAsia="楷体" w:cs="Times New Roman"/>
                <w:i w:val="0"/>
                <w:color w:val="000000"/>
                <w:kern w:val="0"/>
                <w:sz w:val="24"/>
                <w:szCs w:val="24"/>
                <w:highlight w:val="none"/>
                <w:u w:val="none"/>
                <w:lang w:val="en-US" w:eastAsia="en-US" w:bidi="ar"/>
              </w:rPr>
              <w:t>、</w:t>
            </w:r>
            <w:r>
              <w:rPr>
                <w:rStyle w:val="25"/>
                <w:rFonts w:hint="default" w:ascii="Times New Roman" w:hAnsi="Times New Roman" w:eastAsia="楷体" w:cs="Times New Roman"/>
                <w:sz w:val="24"/>
                <w:szCs w:val="24"/>
                <w:highlight w:val="none"/>
                <w:lang w:val="en-US" w:eastAsia="zh-CN" w:bidi="ar"/>
              </w:rPr>
              <w:t>粤财资环</w:t>
            </w:r>
            <w:r>
              <w:rPr>
                <w:rFonts w:hint="default" w:ascii="Times New Roman" w:hAnsi="Times New Roman" w:eastAsia="楷体" w:cs="Times New Roman"/>
                <w:i w:val="0"/>
                <w:color w:val="000000"/>
                <w:kern w:val="0"/>
                <w:sz w:val="24"/>
                <w:szCs w:val="24"/>
                <w:highlight w:val="none"/>
                <w:u w:val="none"/>
                <w:lang w:val="en-US" w:eastAsia="en-US" w:bidi="ar"/>
              </w:rPr>
              <w:t>〔202</w:t>
            </w:r>
            <w:r>
              <w:rPr>
                <w:rStyle w:val="25"/>
                <w:rFonts w:hint="default" w:ascii="Times New Roman" w:hAnsi="Times New Roman" w:eastAsia="楷体" w:cs="Times New Roman"/>
                <w:sz w:val="24"/>
                <w:szCs w:val="24"/>
                <w:highlight w:val="none"/>
                <w:lang w:val="en-US" w:eastAsia="zh-CN" w:bidi="ar"/>
              </w:rPr>
              <w:t>0</w:t>
            </w:r>
            <w:r>
              <w:rPr>
                <w:rFonts w:hint="default" w:ascii="Times New Roman" w:hAnsi="Times New Roman" w:eastAsia="楷体" w:cs="Times New Roman"/>
                <w:i w:val="0"/>
                <w:color w:val="000000"/>
                <w:kern w:val="0"/>
                <w:sz w:val="24"/>
                <w:szCs w:val="24"/>
                <w:highlight w:val="none"/>
                <w:u w:val="none"/>
                <w:lang w:val="en-US" w:eastAsia="en-US" w:bidi="ar"/>
              </w:rPr>
              <w:t>〕1</w:t>
            </w:r>
            <w:r>
              <w:rPr>
                <w:rStyle w:val="25"/>
                <w:rFonts w:hint="default" w:ascii="Times New Roman" w:hAnsi="Times New Roman" w:eastAsia="楷体" w:cs="Times New Roman"/>
                <w:sz w:val="24"/>
                <w:szCs w:val="24"/>
                <w:highlight w:val="none"/>
                <w:lang w:val="en-US" w:eastAsia="zh-CN" w:bidi="ar"/>
              </w:rPr>
              <w:t>5号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项目法+因素法</w:t>
            </w:r>
          </w:p>
        </w:tc>
      </w:tr>
      <w:tr>
        <w:tblPrEx>
          <w:tblLayout w:type="fixed"/>
          <w:tblCellMar>
            <w:top w:w="0" w:type="dxa"/>
            <w:left w:w="0" w:type="dxa"/>
            <w:bottom w:w="0" w:type="dxa"/>
            <w:right w:w="0"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2</w:t>
            </w:r>
          </w:p>
        </w:tc>
        <w:tc>
          <w:tcPr>
            <w:tcW w:w="3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信息化项目预留经费</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lang w:val="en-US"/>
              </w:rPr>
            </w:pPr>
            <w:r>
              <w:rPr>
                <w:rFonts w:hint="default" w:ascii="Times New Roman" w:hAnsi="Times New Roman" w:eastAsia="楷体" w:cs="Times New Roman"/>
                <w:i w:val="0"/>
                <w:color w:val="000000"/>
                <w:kern w:val="0"/>
                <w:sz w:val="24"/>
                <w:szCs w:val="24"/>
                <w:highlight w:val="none"/>
                <w:u w:val="none"/>
                <w:lang w:val="en-US" w:eastAsia="zh-CN" w:bidi="ar"/>
              </w:rPr>
              <w:t>4,190</w:t>
            </w:r>
            <w:r>
              <w:rPr>
                <w:rFonts w:hint="eastAsia" w:eastAsia="楷体" w:cs="Times New Roman"/>
                <w:i w:val="0"/>
                <w:color w:val="000000"/>
                <w:kern w:val="0"/>
                <w:sz w:val="24"/>
                <w:szCs w:val="24"/>
                <w:highlight w:val="none"/>
                <w:u w:val="none"/>
                <w:lang w:val="en-US" w:eastAsia="zh-CN" w:bidi="ar"/>
              </w:rPr>
              <w:t>.34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lang w:val="en-US"/>
              </w:rPr>
            </w:pPr>
            <w:r>
              <w:rPr>
                <w:rFonts w:hint="default" w:ascii="Times New Roman" w:hAnsi="Times New Roman" w:eastAsia="楷体" w:cs="Times New Roman"/>
                <w:i w:val="0"/>
                <w:color w:val="000000"/>
                <w:kern w:val="0"/>
                <w:sz w:val="24"/>
                <w:szCs w:val="24"/>
                <w:highlight w:val="none"/>
                <w:u w:val="none"/>
                <w:lang w:val="en-US" w:eastAsia="zh-CN" w:bidi="ar"/>
              </w:rPr>
              <w:t>4,190</w:t>
            </w:r>
            <w:r>
              <w:rPr>
                <w:rFonts w:hint="eastAsia" w:eastAsia="楷体" w:cs="Times New Roman"/>
                <w:i w:val="0"/>
                <w:color w:val="000000"/>
                <w:kern w:val="0"/>
                <w:sz w:val="24"/>
                <w:szCs w:val="24"/>
                <w:highlight w:val="none"/>
                <w:u w:val="none"/>
                <w:lang w:val="en-US" w:eastAsia="zh-CN" w:bidi="ar"/>
              </w:rPr>
              <w:t>.34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粤财资环</w:t>
            </w:r>
            <w:r>
              <w:rPr>
                <w:rFonts w:hint="default" w:ascii="Times New Roman" w:hAnsi="Times New Roman" w:eastAsia="楷体" w:cs="Times New Roman"/>
                <w:i w:val="0"/>
                <w:color w:val="000000"/>
                <w:kern w:val="0"/>
                <w:sz w:val="24"/>
                <w:szCs w:val="24"/>
                <w:highlight w:val="none"/>
                <w:u w:val="none"/>
                <w:lang w:val="en-US" w:eastAsia="en-US" w:bidi="ar"/>
              </w:rPr>
              <w:t>〔202</w:t>
            </w:r>
            <w:r>
              <w:rPr>
                <w:rStyle w:val="25"/>
                <w:rFonts w:hint="default" w:ascii="Times New Roman" w:hAnsi="Times New Roman" w:eastAsia="楷体" w:cs="Times New Roman"/>
                <w:sz w:val="24"/>
                <w:szCs w:val="24"/>
                <w:highlight w:val="none"/>
                <w:lang w:val="en-US" w:eastAsia="zh-CN" w:bidi="ar"/>
              </w:rPr>
              <w:t>0</w:t>
            </w:r>
            <w:r>
              <w:rPr>
                <w:rFonts w:hint="default" w:ascii="Times New Roman" w:hAnsi="Times New Roman" w:eastAsia="楷体" w:cs="Times New Roman"/>
                <w:i w:val="0"/>
                <w:color w:val="000000"/>
                <w:kern w:val="0"/>
                <w:sz w:val="24"/>
                <w:szCs w:val="24"/>
                <w:highlight w:val="none"/>
                <w:u w:val="none"/>
                <w:lang w:val="en-US" w:eastAsia="en-US" w:bidi="ar"/>
              </w:rPr>
              <w:t>〕9</w:t>
            </w:r>
            <w:r>
              <w:rPr>
                <w:rStyle w:val="25"/>
                <w:rFonts w:hint="default" w:ascii="Times New Roman" w:hAnsi="Times New Roman" w:eastAsia="楷体" w:cs="Times New Roman"/>
                <w:sz w:val="24"/>
                <w:szCs w:val="24"/>
                <w:highlight w:val="none"/>
                <w:lang w:val="en-US" w:eastAsia="zh-CN" w:bidi="ar"/>
              </w:rPr>
              <w:t>4号</w:t>
            </w:r>
            <w:r>
              <w:rPr>
                <w:rFonts w:hint="default" w:ascii="Times New Roman" w:hAnsi="Times New Roman" w:eastAsia="楷体" w:cs="Times New Roman"/>
                <w:i w:val="0"/>
                <w:color w:val="000000"/>
                <w:kern w:val="0"/>
                <w:sz w:val="24"/>
                <w:szCs w:val="24"/>
                <w:highlight w:val="none"/>
                <w:u w:val="none"/>
                <w:lang w:val="en-US" w:eastAsia="en-US" w:bidi="ar"/>
              </w:rPr>
              <w:t>、10</w:t>
            </w:r>
            <w:r>
              <w:rPr>
                <w:rStyle w:val="25"/>
                <w:rFonts w:hint="default" w:ascii="Times New Roman" w:hAnsi="Times New Roman" w:eastAsia="楷体" w:cs="Times New Roman"/>
                <w:sz w:val="24"/>
                <w:szCs w:val="24"/>
                <w:highlight w:val="none"/>
                <w:lang w:val="en-US" w:eastAsia="zh-CN" w:bidi="ar"/>
              </w:rPr>
              <w:t>0号</w:t>
            </w:r>
            <w:r>
              <w:rPr>
                <w:rFonts w:hint="default" w:ascii="Times New Roman" w:hAnsi="Times New Roman" w:eastAsia="楷体" w:cs="Times New Roman"/>
                <w:i w:val="0"/>
                <w:color w:val="000000"/>
                <w:kern w:val="0"/>
                <w:sz w:val="24"/>
                <w:szCs w:val="24"/>
                <w:highlight w:val="none"/>
                <w:u w:val="none"/>
                <w:lang w:val="en-US" w:eastAsia="en-US" w:bidi="ar"/>
              </w:rPr>
              <w:t>、11</w:t>
            </w:r>
            <w:r>
              <w:rPr>
                <w:rStyle w:val="25"/>
                <w:rFonts w:hint="default" w:ascii="Times New Roman" w:hAnsi="Times New Roman" w:eastAsia="楷体" w:cs="Times New Roman"/>
                <w:sz w:val="24"/>
                <w:szCs w:val="24"/>
                <w:highlight w:val="none"/>
                <w:lang w:val="en-US" w:eastAsia="zh-CN" w:bidi="ar"/>
              </w:rPr>
              <w:t>4号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项目法</w:t>
            </w:r>
          </w:p>
        </w:tc>
      </w:tr>
      <w:tr>
        <w:tblPrEx>
          <w:shd w:val="clear" w:color="auto" w:fill="auto"/>
          <w:tblLayout w:type="fixed"/>
          <w:tblCellMar>
            <w:top w:w="0" w:type="dxa"/>
            <w:left w:w="0" w:type="dxa"/>
            <w:bottom w:w="0" w:type="dxa"/>
            <w:right w:w="0"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3</w:t>
            </w:r>
          </w:p>
        </w:tc>
        <w:tc>
          <w:tcPr>
            <w:tcW w:w="3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专题专项工作经费</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lang w:val="en-US"/>
              </w:rPr>
            </w:pPr>
            <w:r>
              <w:rPr>
                <w:rFonts w:hint="default" w:ascii="Times New Roman" w:hAnsi="Times New Roman" w:eastAsia="楷体" w:cs="Times New Roman"/>
                <w:i w:val="0"/>
                <w:color w:val="000000"/>
                <w:kern w:val="0"/>
                <w:sz w:val="24"/>
                <w:szCs w:val="24"/>
                <w:highlight w:val="none"/>
                <w:u w:val="none"/>
                <w:lang w:val="en-US" w:eastAsia="zh-CN" w:bidi="ar"/>
              </w:rPr>
              <w:t>12,30</w:t>
            </w:r>
            <w:r>
              <w:rPr>
                <w:rFonts w:hint="eastAsia" w:eastAsia="楷体" w:cs="Times New Roman"/>
                <w:i w:val="0"/>
                <w:color w:val="000000"/>
                <w:kern w:val="0"/>
                <w:sz w:val="24"/>
                <w:szCs w:val="24"/>
                <w:highlight w:val="none"/>
                <w:u w:val="none"/>
                <w:lang w:val="en-US" w:eastAsia="zh-CN" w:bidi="ar"/>
              </w:rPr>
              <w:t>4.69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74</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lang w:val="en-US"/>
              </w:rPr>
            </w:pPr>
            <w:r>
              <w:rPr>
                <w:rFonts w:hint="default" w:ascii="Times New Roman" w:hAnsi="Times New Roman" w:eastAsia="楷体" w:cs="Times New Roman"/>
                <w:i w:val="0"/>
                <w:color w:val="000000"/>
                <w:kern w:val="0"/>
                <w:sz w:val="24"/>
                <w:szCs w:val="24"/>
                <w:highlight w:val="none"/>
                <w:u w:val="none"/>
                <w:lang w:val="en-US" w:eastAsia="zh-CN" w:bidi="ar"/>
              </w:rPr>
              <w:t>12,30</w:t>
            </w:r>
            <w:r>
              <w:rPr>
                <w:rFonts w:hint="eastAsia" w:eastAsia="楷体" w:cs="Times New Roman"/>
                <w:i w:val="0"/>
                <w:color w:val="000000"/>
                <w:kern w:val="0"/>
                <w:sz w:val="24"/>
                <w:szCs w:val="24"/>
                <w:highlight w:val="none"/>
                <w:u w:val="none"/>
                <w:lang w:val="en-US" w:eastAsia="zh-CN" w:bidi="ar"/>
              </w:rPr>
              <w:t>4.69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74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粤财预</w:t>
            </w:r>
            <w:r>
              <w:rPr>
                <w:rFonts w:hint="default" w:ascii="Times New Roman" w:hAnsi="Times New Roman" w:eastAsia="楷体" w:cs="Times New Roman"/>
                <w:i w:val="0"/>
                <w:color w:val="000000"/>
                <w:kern w:val="0"/>
                <w:sz w:val="24"/>
                <w:szCs w:val="24"/>
                <w:highlight w:val="none"/>
                <w:u w:val="none"/>
                <w:lang w:val="en-US" w:eastAsia="en-US" w:bidi="ar"/>
              </w:rPr>
              <w:t>〔202</w:t>
            </w:r>
            <w:r>
              <w:rPr>
                <w:rStyle w:val="25"/>
                <w:rFonts w:hint="default" w:ascii="Times New Roman" w:hAnsi="Times New Roman" w:eastAsia="楷体" w:cs="Times New Roman"/>
                <w:sz w:val="24"/>
                <w:szCs w:val="24"/>
                <w:highlight w:val="none"/>
                <w:lang w:val="en-US" w:eastAsia="zh-CN" w:bidi="ar"/>
              </w:rPr>
              <w:t>0</w:t>
            </w:r>
            <w:r>
              <w:rPr>
                <w:rFonts w:hint="default" w:ascii="Times New Roman" w:hAnsi="Times New Roman" w:eastAsia="楷体" w:cs="Times New Roman"/>
                <w:i w:val="0"/>
                <w:color w:val="000000"/>
                <w:kern w:val="0"/>
                <w:sz w:val="24"/>
                <w:szCs w:val="24"/>
                <w:highlight w:val="none"/>
                <w:u w:val="none"/>
                <w:lang w:val="en-US" w:eastAsia="en-US" w:bidi="ar"/>
              </w:rPr>
              <w:t>〕</w:t>
            </w:r>
            <w:r>
              <w:rPr>
                <w:rStyle w:val="25"/>
                <w:rFonts w:hint="default" w:ascii="Times New Roman" w:hAnsi="Times New Roman" w:eastAsia="楷体" w:cs="Times New Roman"/>
                <w:sz w:val="24"/>
                <w:szCs w:val="24"/>
                <w:highlight w:val="none"/>
                <w:lang w:val="en-US" w:eastAsia="zh-CN" w:bidi="ar"/>
              </w:rPr>
              <w:t>5号、粤财资环</w:t>
            </w:r>
            <w:r>
              <w:rPr>
                <w:rFonts w:hint="default" w:ascii="Times New Roman" w:hAnsi="Times New Roman" w:eastAsia="楷体" w:cs="Times New Roman"/>
                <w:i w:val="0"/>
                <w:color w:val="000000"/>
                <w:kern w:val="0"/>
                <w:sz w:val="24"/>
                <w:szCs w:val="24"/>
                <w:highlight w:val="none"/>
                <w:u w:val="none"/>
                <w:lang w:val="en-US" w:eastAsia="en-US" w:bidi="ar"/>
              </w:rPr>
              <w:t>〔202</w:t>
            </w:r>
            <w:r>
              <w:rPr>
                <w:rStyle w:val="25"/>
                <w:rFonts w:hint="default" w:ascii="Times New Roman" w:hAnsi="Times New Roman" w:eastAsia="楷体" w:cs="Times New Roman"/>
                <w:sz w:val="24"/>
                <w:szCs w:val="24"/>
                <w:highlight w:val="none"/>
                <w:lang w:val="en-US" w:eastAsia="zh-CN" w:bidi="ar"/>
              </w:rPr>
              <w:t>0</w:t>
            </w:r>
            <w:r>
              <w:rPr>
                <w:rFonts w:hint="default" w:ascii="Times New Roman" w:hAnsi="Times New Roman" w:eastAsia="楷体" w:cs="Times New Roman"/>
                <w:i w:val="0"/>
                <w:color w:val="000000"/>
                <w:kern w:val="0"/>
                <w:sz w:val="24"/>
                <w:szCs w:val="24"/>
                <w:highlight w:val="none"/>
                <w:u w:val="none"/>
                <w:lang w:val="en-US" w:eastAsia="en-US" w:bidi="ar"/>
              </w:rPr>
              <w:t>〕1</w:t>
            </w:r>
            <w:r>
              <w:rPr>
                <w:rStyle w:val="25"/>
                <w:rFonts w:hint="default" w:ascii="Times New Roman" w:hAnsi="Times New Roman" w:eastAsia="楷体" w:cs="Times New Roman"/>
                <w:sz w:val="24"/>
                <w:szCs w:val="24"/>
                <w:highlight w:val="none"/>
                <w:lang w:val="en-US" w:eastAsia="zh-CN" w:bidi="ar"/>
              </w:rPr>
              <w:t>5号</w:t>
            </w:r>
            <w:r>
              <w:rPr>
                <w:rFonts w:hint="default" w:ascii="Times New Roman" w:hAnsi="Times New Roman" w:eastAsia="楷体" w:cs="Times New Roman"/>
                <w:i w:val="0"/>
                <w:color w:val="000000"/>
                <w:kern w:val="0"/>
                <w:sz w:val="24"/>
                <w:szCs w:val="24"/>
                <w:highlight w:val="none"/>
                <w:u w:val="none"/>
                <w:lang w:val="en-US" w:eastAsia="en-US" w:bidi="ar"/>
              </w:rPr>
              <w:t>、4</w:t>
            </w:r>
            <w:r>
              <w:rPr>
                <w:rStyle w:val="25"/>
                <w:rFonts w:hint="default" w:ascii="Times New Roman" w:hAnsi="Times New Roman" w:eastAsia="楷体" w:cs="Times New Roman"/>
                <w:sz w:val="24"/>
                <w:szCs w:val="24"/>
                <w:highlight w:val="none"/>
                <w:lang w:val="en-US" w:eastAsia="zh-CN" w:bidi="ar"/>
              </w:rPr>
              <w:t>7号</w:t>
            </w:r>
            <w:r>
              <w:rPr>
                <w:rFonts w:hint="default" w:ascii="Times New Roman" w:hAnsi="Times New Roman" w:eastAsia="楷体" w:cs="Times New Roman"/>
                <w:i w:val="0"/>
                <w:color w:val="000000"/>
                <w:kern w:val="0"/>
                <w:sz w:val="24"/>
                <w:szCs w:val="24"/>
                <w:highlight w:val="none"/>
                <w:u w:val="none"/>
                <w:lang w:val="en-US" w:eastAsia="en-US" w:bidi="ar"/>
              </w:rPr>
              <w:t>、6</w:t>
            </w:r>
            <w:r>
              <w:rPr>
                <w:rStyle w:val="25"/>
                <w:rFonts w:hint="default" w:ascii="Times New Roman" w:hAnsi="Times New Roman" w:eastAsia="楷体" w:cs="Times New Roman"/>
                <w:sz w:val="24"/>
                <w:szCs w:val="24"/>
                <w:highlight w:val="none"/>
                <w:lang w:val="en-US" w:eastAsia="zh-CN" w:bidi="ar"/>
              </w:rPr>
              <w:t>5号</w:t>
            </w:r>
            <w:r>
              <w:rPr>
                <w:rFonts w:hint="default" w:ascii="Times New Roman" w:hAnsi="Times New Roman" w:eastAsia="楷体" w:cs="Times New Roman"/>
                <w:i w:val="0"/>
                <w:color w:val="000000"/>
                <w:kern w:val="0"/>
                <w:sz w:val="24"/>
                <w:szCs w:val="24"/>
                <w:highlight w:val="none"/>
                <w:u w:val="none"/>
                <w:lang w:val="en-US" w:eastAsia="en-US" w:bidi="ar"/>
              </w:rPr>
              <w:t>、10</w:t>
            </w:r>
            <w:r>
              <w:rPr>
                <w:rStyle w:val="25"/>
                <w:rFonts w:hint="default" w:ascii="Times New Roman" w:hAnsi="Times New Roman" w:eastAsia="楷体" w:cs="Times New Roman"/>
                <w:sz w:val="24"/>
                <w:szCs w:val="24"/>
                <w:highlight w:val="none"/>
                <w:lang w:val="en-US" w:eastAsia="zh-CN" w:bidi="ar"/>
              </w:rPr>
              <w:t>1号</w:t>
            </w:r>
            <w:r>
              <w:rPr>
                <w:rFonts w:hint="default" w:ascii="Times New Roman" w:hAnsi="Times New Roman" w:eastAsia="楷体" w:cs="Times New Roman"/>
                <w:i w:val="0"/>
                <w:color w:val="000000"/>
                <w:kern w:val="0"/>
                <w:sz w:val="24"/>
                <w:szCs w:val="24"/>
                <w:highlight w:val="none"/>
                <w:u w:val="none"/>
                <w:lang w:val="en-US" w:eastAsia="en-US" w:bidi="ar"/>
              </w:rPr>
              <w:t>、11</w:t>
            </w:r>
            <w:r>
              <w:rPr>
                <w:rStyle w:val="25"/>
                <w:rFonts w:hint="default" w:ascii="Times New Roman" w:hAnsi="Times New Roman" w:eastAsia="楷体" w:cs="Times New Roman"/>
                <w:sz w:val="24"/>
                <w:szCs w:val="24"/>
                <w:highlight w:val="none"/>
                <w:lang w:val="en-US" w:eastAsia="zh-CN" w:bidi="ar"/>
              </w:rPr>
              <w:t>0号</w:t>
            </w:r>
            <w:r>
              <w:rPr>
                <w:rFonts w:hint="default" w:ascii="Times New Roman" w:hAnsi="Times New Roman" w:eastAsia="楷体" w:cs="Times New Roman"/>
                <w:i w:val="0"/>
                <w:color w:val="000000"/>
                <w:kern w:val="0"/>
                <w:sz w:val="24"/>
                <w:szCs w:val="24"/>
                <w:highlight w:val="none"/>
                <w:u w:val="none"/>
                <w:lang w:val="en-US" w:eastAsia="en-US" w:bidi="ar"/>
              </w:rPr>
              <w:t>、11</w:t>
            </w:r>
            <w:r>
              <w:rPr>
                <w:rStyle w:val="25"/>
                <w:rFonts w:hint="default" w:ascii="Times New Roman" w:hAnsi="Times New Roman" w:eastAsia="楷体" w:cs="Times New Roman"/>
                <w:sz w:val="24"/>
                <w:szCs w:val="24"/>
                <w:highlight w:val="none"/>
                <w:lang w:val="en-US" w:eastAsia="zh-CN" w:bidi="ar"/>
              </w:rPr>
              <w:t>8号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项目法</w:t>
            </w:r>
          </w:p>
        </w:tc>
      </w:tr>
      <w:tr>
        <w:tblPrEx>
          <w:tblLayout w:type="fixed"/>
          <w:tblCellMar>
            <w:top w:w="0" w:type="dxa"/>
            <w:left w:w="0" w:type="dxa"/>
            <w:bottom w:w="0" w:type="dxa"/>
            <w:right w:w="0"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4</w:t>
            </w:r>
          </w:p>
        </w:tc>
        <w:tc>
          <w:tcPr>
            <w:tcW w:w="3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地市环境监管能力建设</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5,350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5,350</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13</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Style w:val="25"/>
                <w:rFonts w:hint="default" w:ascii="Times New Roman" w:hAnsi="Times New Roman" w:eastAsia="楷体" w:cs="Times New Roman"/>
                <w:sz w:val="24"/>
                <w:szCs w:val="24"/>
                <w:highlight w:val="none"/>
                <w:lang w:val="en-US" w:eastAsia="zh-CN" w:bidi="ar"/>
              </w:rPr>
              <w:t>粤财资环</w:t>
            </w:r>
            <w:r>
              <w:rPr>
                <w:rFonts w:hint="default" w:ascii="Times New Roman" w:hAnsi="Times New Roman" w:eastAsia="楷体" w:cs="Times New Roman"/>
                <w:i w:val="0"/>
                <w:color w:val="000000"/>
                <w:kern w:val="0"/>
                <w:sz w:val="24"/>
                <w:szCs w:val="24"/>
                <w:highlight w:val="none"/>
                <w:u w:val="none"/>
                <w:lang w:val="en-US" w:eastAsia="en-US" w:bidi="ar"/>
              </w:rPr>
              <w:t>〔201</w:t>
            </w:r>
            <w:r>
              <w:rPr>
                <w:rStyle w:val="25"/>
                <w:rFonts w:hint="default" w:ascii="Times New Roman" w:hAnsi="Times New Roman" w:eastAsia="楷体" w:cs="Times New Roman"/>
                <w:sz w:val="24"/>
                <w:szCs w:val="24"/>
                <w:highlight w:val="none"/>
                <w:lang w:val="en-US" w:eastAsia="zh-CN" w:bidi="ar"/>
              </w:rPr>
              <w:t>9</w:t>
            </w:r>
            <w:r>
              <w:rPr>
                <w:rFonts w:hint="default" w:ascii="Times New Roman" w:hAnsi="Times New Roman" w:eastAsia="楷体" w:cs="Times New Roman"/>
                <w:i w:val="0"/>
                <w:color w:val="000000"/>
                <w:kern w:val="0"/>
                <w:sz w:val="24"/>
                <w:szCs w:val="24"/>
                <w:highlight w:val="none"/>
                <w:u w:val="none"/>
                <w:lang w:val="en-US" w:eastAsia="en-US" w:bidi="ar"/>
              </w:rPr>
              <w:t>〕3</w:t>
            </w:r>
            <w:r>
              <w:rPr>
                <w:rStyle w:val="25"/>
                <w:rFonts w:hint="default" w:ascii="Times New Roman" w:hAnsi="Times New Roman" w:eastAsia="楷体" w:cs="Times New Roman"/>
                <w:sz w:val="24"/>
                <w:szCs w:val="24"/>
                <w:highlight w:val="none"/>
                <w:lang w:val="en-US" w:eastAsia="zh-CN" w:bidi="ar"/>
              </w:rPr>
              <w:t>9号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因素法</w:t>
            </w:r>
          </w:p>
        </w:tc>
      </w:tr>
      <w:tr>
        <w:tblPrEx>
          <w:shd w:val="clear" w:color="auto" w:fill="auto"/>
          <w:tblLayout w:type="fixed"/>
          <w:tblCellMar>
            <w:top w:w="0" w:type="dxa"/>
            <w:left w:w="0" w:type="dxa"/>
            <w:bottom w:w="0" w:type="dxa"/>
            <w:right w:w="0"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5</w:t>
            </w:r>
          </w:p>
        </w:tc>
        <w:tc>
          <w:tcPr>
            <w:tcW w:w="3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重点污染源自动监控中心运行费</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1,125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1,125</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粤财资环</w:t>
            </w:r>
            <w:r>
              <w:rPr>
                <w:rFonts w:hint="default" w:ascii="Times New Roman" w:hAnsi="Times New Roman" w:eastAsia="楷体" w:cs="Times New Roman"/>
                <w:i w:val="0"/>
                <w:color w:val="000000"/>
                <w:kern w:val="0"/>
                <w:sz w:val="24"/>
                <w:szCs w:val="24"/>
                <w:highlight w:val="none"/>
                <w:u w:val="none"/>
                <w:lang w:val="en-US" w:eastAsia="en-US" w:bidi="ar"/>
              </w:rPr>
              <w:t>〔201</w:t>
            </w:r>
            <w:r>
              <w:rPr>
                <w:rStyle w:val="25"/>
                <w:rFonts w:hint="default" w:ascii="Times New Roman" w:hAnsi="Times New Roman" w:eastAsia="楷体" w:cs="Times New Roman"/>
                <w:sz w:val="24"/>
                <w:szCs w:val="24"/>
                <w:highlight w:val="none"/>
                <w:lang w:val="en-US" w:eastAsia="zh-CN" w:bidi="ar"/>
              </w:rPr>
              <w:t>9</w:t>
            </w:r>
            <w:r>
              <w:rPr>
                <w:rFonts w:hint="default" w:ascii="Times New Roman" w:hAnsi="Times New Roman" w:eastAsia="楷体" w:cs="Times New Roman"/>
                <w:i w:val="0"/>
                <w:color w:val="000000"/>
                <w:kern w:val="0"/>
                <w:sz w:val="24"/>
                <w:szCs w:val="24"/>
                <w:highlight w:val="none"/>
                <w:u w:val="none"/>
                <w:lang w:val="en-US" w:eastAsia="en-US" w:bidi="ar"/>
              </w:rPr>
              <w:t>〕3</w:t>
            </w:r>
            <w:r>
              <w:rPr>
                <w:rStyle w:val="25"/>
                <w:rFonts w:hint="default" w:ascii="Times New Roman" w:hAnsi="Times New Roman" w:eastAsia="楷体" w:cs="Times New Roman"/>
                <w:sz w:val="24"/>
                <w:szCs w:val="24"/>
                <w:highlight w:val="none"/>
                <w:lang w:val="en-US" w:eastAsia="zh-CN" w:bidi="ar"/>
              </w:rPr>
              <w:t>9号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因素法</w:t>
            </w:r>
          </w:p>
        </w:tc>
      </w:tr>
      <w:tr>
        <w:tblPrEx>
          <w:tblLayout w:type="fixed"/>
          <w:tblCellMar>
            <w:top w:w="0" w:type="dxa"/>
            <w:left w:w="0" w:type="dxa"/>
            <w:bottom w:w="0" w:type="dxa"/>
            <w:right w:w="0"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6</w:t>
            </w:r>
          </w:p>
        </w:tc>
        <w:tc>
          <w:tcPr>
            <w:tcW w:w="3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污染源监督性监测经费</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1,000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1,000</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粤财资环</w:t>
            </w:r>
            <w:r>
              <w:rPr>
                <w:rFonts w:hint="default" w:ascii="Times New Roman" w:hAnsi="Times New Roman" w:eastAsia="楷体" w:cs="Times New Roman"/>
                <w:i w:val="0"/>
                <w:color w:val="000000"/>
                <w:kern w:val="0"/>
                <w:sz w:val="24"/>
                <w:szCs w:val="24"/>
                <w:highlight w:val="none"/>
                <w:u w:val="none"/>
                <w:lang w:val="en-US" w:eastAsia="en-US" w:bidi="ar"/>
              </w:rPr>
              <w:t>〔201</w:t>
            </w:r>
            <w:r>
              <w:rPr>
                <w:rStyle w:val="25"/>
                <w:rFonts w:hint="default" w:ascii="Times New Roman" w:hAnsi="Times New Roman" w:eastAsia="楷体" w:cs="Times New Roman"/>
                <w:sz w:val="24"/>
                <w:szCs w:val="24"/>
                <w:highlight w:val="none"/>
                <w:lang w:val="en-US" w:eastAsia="zh-CN" w:bidi="ar"/>
              </w:rPr>
              <w:t>9</w:t>
            </w:r>
            <w:r>
              <w:rPr>
                <w:rFonts w:hint="default" w:ascii="Times New Roman" w:hAnsi="Times New Roman" w:eastAsia="楷体" w:cs="Times New Roman"/>
                <w:i w:val="0"/>
                <w:color w:val="000000"/>
                <w:kern w:val="0"/>
                <w:sz w:val="24"/>
                <w:szCs w:val="24"/>
                <w:highlight w:val="none"/>
                <w:u w:val="none"/>
                <w:lang w:val="en-US" w:eastAsia="en-US" w:bidi="ar"/>
              </w:rPr>
              <w:t>〕3</w:t>
            </w:r>
            <w:r>
              <w:rPr>
                <w:rStyle w:val="25"/>
                <w:rFonts w:hint="default" w:ascii="Times New Roman" w:hAnsi="Times New Roman" w:eastAsia="楷体" w:cs="Times New Roman"/>
                <w:sz w:val="24"/>
                <w:szCs w:val="24"/>
                <w:highlight w:val="none"/>
                <w:lang w:val="en-US" w:eastAsia="zh-CN" w:bidi="ar"/>
              </w:rPr>
              <w:t>9号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因素法</w:t>
            </w:r>
          </w:p>
        </w:tc>
      </w:tr>
      <w:tr>
        <w:tblPrEx>
          <w:tblLayout w:type="fixed"/>
          <w:tblCellMar>
            <w:top w:w="0" w:type="dxa"/>
            <w:left w:w="0" w:type="dxa"/>
            <w:bottom w:w="0" w:type="dxa"/>
            <w:right w:w="0"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7</w:t>
            </w:r>
          </w:p>
        </w:tc>
        <w:tc>
          <w:tcPr>
            <w:tcW w:w="3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全面推进固定污染源排污许可清理整顿和</w:t>
            </w:r>
            <w:r>
              <w:rPr>
                <w:rFonts w:hint="default" w:ascii="Times New Roman" w:hAnsi="Times New Roman" w:eastAsia="楷体" w:cs="Times New Roman"/>
                <w:i w:val="0"/>
                <w:color w:val="000000"/>
                <w:kern w:val="0"/>
                <w:sz w:val="24"/>
                <w:szCs w:val="24"/>
                <w:highlight w:val="none"/>
                <w:u w:val="none"/>
                <w:lang w:val="en-US" w:eastAsia="en-US" w:bidi="ar"/>
              </w:rPr>
              <w:t>2020年排污许可制工作</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1,620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1,620</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粤财资环</w:t>
            </w:r>
            <w:r>
              <w:rPr>
                <w:rFonts w:hint="default" w:ascii="Times New Roman" w:hAnsi="Times New Roman" w:eastAsia="楷体" w:cs="Times New Roman"/>
                <w:i w:val="0"/>
                <w:color w:val="000000"/>
                <w:kern w:val="0"/>
                <w:sz w:val="24"/>
                <w:szCs w:val="24"/>
                <w:highlight w:val="none"/>
                <w:u w:val="none"/>
                <w:lang w:val="en-US" w:eastAsia="en-US" w:bidi="ar"/>
              </w:rPr>
              <w:t>〔202</w:t>
            </w:r>
            <w:r>
              <w:rPr>
                <w:rStyle w:val="25"/>
                <w:rFonts w:hint="default" w:ascii="Times New Roman" w:hAnsi="Times New Roman" w:eastAsia="楷体" w:cs="Times New Roman"/>
                <w:sz w:val="24"/>
                <w:szCs w:val="24"/>
                <w:highlight w:val="none"/>
                <w:lang w:val="en-US" w:eastAsia="zh-CN" w:bidi="ar"/>
              </w:rPr>
              <w:t>0</w:t>
            </w:r>
            <w:r>
              <w:rPr>
                <w:rFonts w:hint="default" w:ascii="Times New Roman" w:hAnsi="Times New Roman" w:eastAsia="楷体" w:cs="Times New Roman"/>
                <w:i w:val="0"/>
                <w:color w:val="000000"/>
                <w:kern w:val="0"/>
                <w:sz w:val="24"/>
                <w:szCs w:val="24"/>
                <w:highlight w:val="none"/>
                <w:u w:val="none"/>
                <w:lang w:val="en-US" w:eastAsia="en-US" w:bidi="ar"/>
              </w:rPr>
              <w:t>〕6</w:t>
            </w:r>
            <w:r>
              <w:rPr>
                <w:rStyle w:val="25"/>
                <w:rFonts w:hint="default" w:ascii="Times New Roman" w:hAnsi="Times New Roman" w:eastAsia="楷体" w:cs="Times New Roman"/>
                <w:sz w:val="24"/>
                <w:szCs w:val="24"/>
                <w:highlight w:val="none"/>
                <w:lang w:val="en-US" w:eastAsia="zh-CN" w:bidi="ar"/>
              </w:rPr>
              <w:t>5号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因素法</w:t>
            </w:r>
          </w:p>
        </w:tc>
      </w:tr>
      <w:tr>
        <w:tblPrEx>
          <w:shd w:val="clear" w:color="auto" w:fill="auto"/>
          <w:tblLayout w:type="fixed"/>
          <w:tblCellMar>
            <w:top w:w="0" w:type="dxa"/>
            <w:left w:w="0" w:type="dxa"/>
            <w:bottom w:w="0" w:type="dxa"/>
            <w:right w:w="0"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8</w:t>
            </w:r>
          </w:p>
        </w:tc>
        <w:tc>
          <w:tcPr>
            <w:tcW w:w="3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地市项目库建设</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1,500</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w:t>
            </w:r>
          </w:p>
        </w:tc>
        <w:tc>
          <w:tcPr>
            <w:tcW w:w="268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粤财资环〔2020〕118号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因素法</w:t>
            </w:r>
          </w:p>
        </w:tc>
      </w:tr>
      <w:tr>
        <w:tblPrEx>
          <w:shd w:val="clear" w:color="auto" w:fill="auto"/>
          <w:tblLayout w:type="fixed"/>
          <w:tblCellMar>
            <w:top w:w="0" w:type="dxa"/>
            <w:left w:w="0" w:type="dxa"/>
            <w:bottom w:w="0" w:type="dxa"/>
            <w:right w:w="0"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9</w:t>
            </w:r>
          </w:p>
        </w:tc>
        <w:tc>
          <w:tcPr>
            <w:tcW w:w="3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大气污染物现场监测执法设备购置</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1,540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1,540</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21</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粤财资环</w:t>
            </w:r>
            <w:r>
              <w:rPr>
                <w:rFonts w:hint="default" w:ascii="Times New Roman" w:hAnsi="Times New Roman" w:eastAsia="楷体" w:cs="Times New Roman"/>
                <w:i w:val="0"/>
                <w:color w:val="000000"/>
                <w:kern w:val="0"/>
                <w:sz w:val="24"/>
                <w:szCs w:val="24"/>
                <w:highlight w:val="none"/>
                <w:u w:val="none"/>
                <w:lang w:val="en-US" w:eastAsia="en-US" w:bidi="ar"/>
              </w:rPr>
              <w:t>〔202</w:t>
            </w:r>
            <w:r>
              <w:rPr>
                <w:rStyle w:val="25"/>
                <w:rFonts w:hint="default" w:ascii="Times New Roman" w:hAnsi="Times New Roman" w:eastAsia="楷体" w:cs="Times New Roman"/>
                <w:sz w:val="24"/>
                <w:szCs w:val="24"/>
                <w:highlight w:val="none"/>
                <w:lang w:val="en-US" w:eastAsia="zh-CN" w:bidi="ar"/>
              </w:rPr>
              <w:t>0</w:t>
            </w:r>
            <w:r>
              <w:rPr>
                <w:rFonts w:hint="default" w:ascii="Times New Roman" w:hAnsi="Times New Roman" w:eastAsia="楷体" w:cs="Times New Roman"/>
                <w:i w:val="0"/>
                <w:color w:val="000000"/>
                <w:kern w:val="0"/>
                <w:sz w:val="24"/>
                <w:szCs w:val="24"/>
                <w:highlight w:val="none"/>
                <w:u w:val="none"/>
                <w:lang w:val="en-US" w:eastAsia="en-US" w:bidi="ar"/>
              </w:rPr>
              <w:t>〕6</w:t>
            </w:r>
            <w:r>
              <w:rPr>
                <w:rStyle w:val="25"/>
                <w:rFonts w:hint="default" w:ascii="Times New Roman" w:hAnsi="Times New Roman" w:eastAsia="楷体" w:cs="Times New Roman"/>
                <w:sz w:val="24"/>
                <w:szCs w:val="24"/>
                <w:highlight w:val="none"/>
                <w:lang w:val="en-US" w:eastAsia="zh-CN" w:bidi="ar"/>
              </w:rPr>
              <w:t>5号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因素法</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highlight w:val="none"/>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30"/>
          <w:szCs w:val="30"/>
          <w:highlight w:val="none"/>
        </w:rPr>
      </w:pPr>
      <w:r>
        <w:rPr>
          <w:rFonts w:hint="default" w:ascii="Times New Roman" w:hAnsi="Times New Roman" w:eastAsia="黑体" w:cs="Times New Roman"/>
          <w:sz w:val="30"/>
          <w:szCs w:val="30"/>
          <w:highlight w:val="none"/>
        </w:rPr>
        <w:t>表</w:t>
      </w:r>
      <w:r>
        <w:rPr>
          <w:rFonts w:hint="eastAsia" w:eastAsia="黑体" w:cs="Times New Roman"/>
          <w:sz w:val="30"/>
          <w:szCs w:val="30"/>
          <w:highlight w:val="none"/>
          <w:lang w:val="en-US" w:eastAsia="zh-CN"/>
        </w:rPr>
        <w:t>2</w:t>
      </w:r>
      <w:r>
        <w:rPr>
          <w:rFonts w:hint="default" w:ascii="Times New Roman" w:hAnsi="Times New Roman" w:eastAsia="黑体" w:cs="Times New Roman"/>
          <w:sz w:val="30"/>
          <w:szCs w:val="30"/>
          <w:highlight w:val="none"/>
        </w:rPr>
        <w:t xml:space="preserve">  省本级环境监管能力建设项目资金安排情况</w:t>
      </w:r>
    </w:p>
    <w:tbl>
      <w:tblPr>
        <w:tblStyle w:val="11"/>
        <w:tblW w:w="8400" w:type="dxa"/>
        <w:tblInd w:w="0" w:type="dxa"/>
        <w:shd w:val="clear" w:color="auto" w:fill="auto"/>
        <w:tblLayout w:type="fixed"/>
        <w:tblCellMar>
          <w:top w:w="0" w:type="dxa"/>
          <w:left w:w="0" w:type="dxa"/>
          <w:bottom w:w="0" w:type="dxa"/>
          <w:right w:w="0" w:type="dxa"/>
        </w:tblCellMar>
      </w:tblPr>
      <w:tblGrid>
        <w:gridCol w:w="670"/>
        <w:gridCol w:w="2390"/>
        <w:gridCol w:w="3135"/>
        <w:gridCol w:w="1125"/>
        <w:gridCol w:w="1080"/>
      </w:tblGrid>
      <w:tr>
        <w:tblPrEx>
          <w:shd w:val="clear" w:color="auto" w:fill="auto"/>
          <w:tblLayout w:type="fixed"/>
          <w:tblCellMar>
            <w:top w:w="0" w:type="dxa"/>
            <w:left w:w="0" w:type="dxa"/>
            <w:bottom w:w="0" w:type="dxa"/>
            <w:right w:w="0" w:type="dxa"/>
          </w:tblCellMar>
        </w:tblPrEx>
        <w:trPr>
          <w:trHeight w:val="84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序号</w:t>
            </w:r>
          </w:p>
        </w:tc>
        <w:tc>
          <w:tcPr>
            <w:tcW w:w="2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项目类型</w:t>
            </w: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eastAsia" w:eastAsia="楷体" w:cs="Times New Roman"/>
                <w:b/>
                <w:i w:val="0"/>
                <w:color w:val="000000"/>
                <w:kern w:val="0"/>
                <w:sz w:val="24"/>
                <w:szCs w:val="24"/>
                <w:highlight w:val="none"/>
                <w:u w:val="none"/>
                <w:lang w:val="en-US" w:eastAsia="zh-CN" w:bidi="ar"/>
              </w:rPr>
              <w:t>项目</w:t>
            </w:r>
            <w:r>
              <w:rPr>
                <w:rFonts w:hint="default" w:ascii="Times New Roman" w:hAnsi="Times New Roman" w:eastAsia="楷体" w:cs="Times New Roman"/>
                <w:b/>
                <w:i w:val="0"/>
                <w:color w:val="000000"/>
                <w:kern w:val="0"/>
                <w:sz w:val="24"/>
                <w:szCs w:val="24"/>
                <w:highlight w:val="none"/>
                <w:u w:val="none"/>
                <w:lang w:val="en-US" w:eastAsia="zh-CN" w:bidi="ar"/>
              </w:rPr>
              <w:t>单位</w:t>
            </w:r>
          </w:p>
        </w:tc>
        <w:tc>
          <w:tcPr>
            <w:tcW w:w="112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kern w:val="0"/>
                <w:sz w:val="24"/>
                <w:szCs w:val="24"/>
                <w:highlight w:val="none"/>
                <w:u w:val="none"/>
                <w:lang w:val="en-US" w:eastAsia="zh-CN" w:bidi="ar"/>
              </w:rPr>
            </w:pPr>
            <w:r>
              <w:rPr>
                <w:rFonts w:hint="default" w:ascii="Times New Roman" w:hAnsi="Times New Roman" w:eastAsia="楷体" w:cs="Times New Roman"/>
                <w:b/>
                <w:i w:val="0"/>
                <w:color w:val="000000"/>
                <w:kern w:val="0"/>
                <w:sz w:val="24"/>
                <w:szCs w:val="24"/>
                <w:highlight w:val="none"/>
                <w:u w:val="none"/>
                <w:lang w:val="en-US" w:eastAsia="zh-CN" w:bidi="ar"/>
              </w:rPr>
              <w:t>安排金额</w:t>
            </w:r>
          </w:p>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w:t>
            </w:r>
            <w:r>
              <w:rPr>
                <w:rFonts w:hint="default" w:ascii="Times New Roman" w:hAnsi="Times New Roman" w:eastAsia="楷体" w:cs="Times New Roman"/>
                <w:b/>
                <w:i w:val="0"/>
                <w:color w:val="000000"/>
                <w:kern w:val="0"/>
                <w:sz w:val="24"/>
                <w:szCs w:val="24"/>
                <w:highlight w:val="none"/>
                <w:u w:val="none"/>
                <w:lang w:val="en-US" w:eastAsia="en-US" w:bidi="ar"/>
              </w:rPr>
              <w:t>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kern w:val="0"/>
                <w:sz w:val="24"/>
                <w:szCs w:val="24"/>
                <w:highlight w:val="none"/>
                <w:u w:val="none"/>
                <w:lang w:val="en-US" w:eastAsia="zh-CN" w:bidi="ar"/>
              </w:rPr>
            </w:pPr>
            <w:r>
              <w:rPr>
                <w:rFonts w:hint="default" w:ascii="Times New Roman" w:hAnsi="Times New Roman" w:eastAsia="楷体" w:cs="Times New Roman"/>
                <w:b/>
                <w:i w:val="0"/>
                <w:color w:val="000000"/>
                <w:kern w:val="0"/>
                <w:sz w:val="24"/>
                <w:szCs w:val="24"/>
                <w:highlight w:val="none"/>
                <w:u w:val="none"/>
                <w:lang w:val="en-US" w:eastAsia="zh-CN" w:bidi="ar"/>
              </w:rPr>
              <w:t>项目数</w:t>
            </w:r>
          </w:p>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（个）</w:t>
            </w:r>
          </w:p>
        </w:tc>
      </w:tr>
      <w:tr>
        <w:tblPrEx>
          <w:shd w:val="clear" w:color="auto" w:fill="auto"/>
          <w:tblLayout w:type="fixed"/>
          <w:tblCellMar>
            <w:top w:w="0" w:type="dxa"/>
            <w:left w:w="0" w:type="dxa"/>
            <w:bottom w:w="0" w:type="dxa"/>
            <w:right w:w="0" w:type="dxa"/>
          </w:tblCellMar>
        </w:tblPrEx>
        <w:trPr>
          <w:trHeight w:val="510" w:hRule="atLeast"/>
        </w:trPr>
        <w:tc>
          <w:tcPr>
            <w:tcW w:w="61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（生态）环境保护与监管能力建设</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28186.28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99</w:t>
            </w:r>
          </w:p>
        </w:tc>
      </w:tr>
      <w:tr>
        <w:tblPrEx>
          <w:shd w:val="clear" w:color="auto" w:fill="auto"/>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w:t>
            </w:r>
          </w:p>
        </w:tc>
        <w:tc>
          <w:tcPr>
            <w:tcW w:w="2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省市生态环境监测网络建设</w:t>
            </w: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广东省环境监测中心</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11691.25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13</w:t>
            </w:r>
          </w:p>
        </w:tc>
      </w:tr>
      <w:tr>
        <w:tblPrEx>
          <w:shd w:val="clear" w:color="auto" w:fill="auto"/>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w:t>
            </w:r>
          </w:p>
        </w:tc>
        <w:tc>
          <w:tcPr>
            <w:tcW w:w="2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信息化项目预留经费</w:t>
            </w: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广东省生态环境厅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2807.48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r>
      <w:tr>
        <w:tblPrEx>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3</w:t>
            </w:r>
          </w:p>
        </w:tc>
        <w:tc>
          <w:tcPr>
            <w:tcW w:w="2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广东省环境辐射监测中心</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775.86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w:t>
            </w:r>
          </w:p>
        </w:tc>
      </w:tr>
      <w:tr>
        <w:tblPrEx>
          <w:shd w:val="clear" w:color="auto" w:fill="auto"/>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4</w:t>
            </w:r>
          </w:p>
        </w:tc>
        <w:tc>
          <w:tcPr>
            <w:tcW w:w="2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广东省固体废物和化学品环境管理中心</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435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w:t>
            </w:r>
          </w:p>
        </w:tc>
      </w:tr>
      <w:tr>
        <w:tblPrEx>
          <w:shd w:val="clear" w:color="auto" w:fill="auto"/>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5</w:t>
            </w:r>
          </w:p>
        </w:tc>
        <w:tc>
          <w:tcPr>
            <w:tcW w:w="2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广东省环境保护宣传教育中心</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w:t>
            </w:r>
          </w:p>
        </w:tc>
      </w:tr>
      <w:tr>
        <w:tblPrEx>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6</w:t>
            </w:r>
          </w:p>
        </w:tc>
        <w:tc>
          <w:tcPr>
            <w:tcW w:w="2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专题专项工作经费</w:t>
            </w: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广东省生态环境厅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7615.69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56</w:t>
            </w:r>
          </w:p>
        </w:tc>
      </w:tr>
      <w:tr>
        <w:tblPrEx>
          <w:shd w:val="clear" w:color="auto" w:fill="auto"/>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7</w:t>
            </w:r>
          </w:p>
        </w:tc>
        <w:tc>
          <w:tcPr>
            <w:tcW w:w="2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广东省环境监测中心</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1866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4</w:t>
            </w:r>
          </w:p>
        </w:tc>
      </w:tr>
      <w:tr>
        <w:tblPrEx>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c>
          <w:tcPr>
            <w:tcW w:w="2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广东省环境辐射监测中心</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303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4</w:t>
            </w:r>
          </w:p>
        </w:tc>
      </w:tr>
      <w:tr>
        <w:tblPrEx>
          <w:shd w:val="clear" w:color="auto" w:fill="auto"/>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9</w:t>
            </w:r>
          </w:p>
        </w:tc>
        <w:tc>
          <w:tcPr>
            <w:tcW w:w="2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广东省固体废物和化学品环境管理中心</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230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w:t>
            </w:r>
          </w:p>
        </w:tc>
      </w:tr>
      <w:tr>
        <w:tblPrEx>
          <w:shd w:val="clear" w:color="auto" w:fill="auto"/>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10</w:t>
            </w:r>
          </w:p>
        </w:tc>
        <w:tc>
          <w:tcPr>
            <w:tcW w:w="2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广东省环境保护宣传教育中心</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530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w:t>
            </w:r>
          </w:p>
        </w:tc>
      </w:tr>
      <w:tr>
        <w:tblPrEx>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11</w:t>
            </w:r>
          </w:p>
        </w:tc>
        <w:tc>
          <w:tcPr>
            <w:tcW w:w="2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en-US" w:bidi="ar"/>
              </w:rPr>
              <w:t>广东省环境科学研究院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670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w:t>
            </w:r>
          </w:p>
        </w:tc>
      </w:tr>
      <w:tr>
        <w:tblPrEx>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12</w:t>
            </w:r>
          </w:p>
        </w:tc>
        <w:tc>
          <w:tcPr>
            <w:tcW w:w="2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en-US" w:bidi="ar"/>
              </w:rPr>
              <w:t>中国环境监测总站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w:t>
            </w:r>
          </w:p>
        </w:tc>
      </w:tr>
      <w:tr>
        <w:tblPrEx>
          <w:shd w:val="clear" w:color="auto" w:fill="auto"/>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13</w:t>
            </w:r>
          </w:p>
        </w:tc>
        <w:tc>
          <w:tcPr>
            <w:tcW w:w="2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广东海警局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186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w:t>
            </w:r>
          </w:p>
        </w:tc>
      </w:tr>
      <w:tr>
        <w:tblPrEx>
          <w:shd w:val="clear" w:color="auto" w:fill="auto"/>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14</w:t>
            </w:r>
          </w:p>
        </w:tc>
        <w:tc>
          <w:tcPr>
            <w:tcW w:w="2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广东海事局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362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w:t>
            </w:r>
          </w:p>
        </w:tc>
      </w:tr>
      <w:tr>
        <w:tblPrEx>
          <w:tblLayout w:type="fixed"/>
          <w:tblCellMar>
            <w:top w:w="0" w:type="dxa"/>
            <w:left w:w="0" w:type="dxa"/>
            <w:bottom w:w="0" w:type="dxa"/>
            <w:right w:w="0" w:type="dxa"/>
          </w:tblCellMar>
        </w:tblPrEx>
        <w:trPr>
          <w:trHeight w:val="51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w:t>
            </w:r>
          </w:p>
        </w:tc>
        <w:tc>
          <w:tcPr>
            <w:tcW w:w="2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广东省海洋综合执法总队</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247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w:t>
            </w:r>
          </w:p>
        </w:tc>
      </w:tr>
    </w:tbl>
    <w:p>
      <w:pPr>
        <w:rPr>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30"/>
          <w:szCs w:val="30"/>
          <w:highlight w:val="none"/>
        </w:rPr>
      </w:pPr>
      <w:r>
        <w:rPr>
          <w:rFonts w:hint="default" w:ascii="Times New Roman" w:hAnsi="Times New Roman" w:eastAsia="黑体" w:cs="Times New Roman"/>
          <w:sz w:val="30"/>
          <w:szCs w:val="30"/>
          <w:highlight w:val="none"/>
        </w:rPr>
        <w:t>表</w:t>
      </w:r>
      <w:r>
        <w:rPr>
          <w:rFonts w:hint="eastAsia" w:eastAsia="黑体" w:cs="Times New Roman"/>
          <w:sz w:val="30"/>
          <w:szCs w:val="30"/>
          <w:highlight w:val="none"/>
          <w:lang w:val="en-US" w:eastAsia="zh-CN"/>
        </w:rPr>
        <w:t>3</w:t>
      </w:r>
      <w:r>
        <w:rPr>
          <w:rFonts w:hint="default" w:ascii="Times New Roman" w:hAnsi="Times New Roman" w:eastAsia="黑体" w:cs="Times New Roman"/>
          <w:sz w:val="30"/>
          <w:szCs w:val="30"/>
          <w:highlight w:val="none"/>
        </w:rPr>
        <w:t xml:space="preserve">  各地市环境监管能力建设项目资金安排情况</w:t>
      </w:r>
    </w:p>
    <w:tbl>
      <w:tblPr>
        <w:tblStyle w:val="11"/>
        <w:tblW w:w="8336" w:type="dxa"/>
        <w:tblInd w:w="0" w:type="dxa"/>
        <w:shd w:val="clear" w:color="auto" w:fill="auto"/>
        <w:tblLayout w:type="fixed"/>
        <w:tblCellMar>
          <w:top w:w="0" w:type="dxa"/>
          <w:left w:w="0" w:type="dxa"/>
          <w:bottom w:w="0" w:type="dxa"/>
          <w:right w:w="0" w:type="dxa"/>
        </w:tblCellMar>
      </w:tblPr>
      <w:tblGrid>
        <w:gridCol w:w="703"/>
        <w:gridCol w:w="3293"/>
        <w:gridCol w:w="2645"/>
        <w:gridCol w:w="1695"/>
      </w:tblGrid>
      <w:tr>
        <w:tblPrEx>
          <w:shd w:val="clear" w:color="auto" w:fill="auto"/>
          <w:tblLayout w:type="fixed"/>
          <w:tblCellMar>
            <w:top w:w="0" w:type="dxa"/>
            <w:left w:w="0" w:type="dxa"/>
            <w:bottom w:w="0" w:type="dxa"/>
            <w:right w:w="0" w:type="dxa"/>
          </w:tblCellMar>
        </w:tblPrEx>
        <w:trPr>
          <w:trHeight w:val="330" w:hRule="atLeast"/>
          <w:tblHeader/>
        </w:trPr>
        <w:tc>
          <w:tcPr>
            <w:tcW w:w="70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序号</w:t>
            </w:r>
          </w:p>
        </w:tc>
        <w:tc>
          <w:tcPr>
            <w:tcW w:w="329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地市</w:t>
            </w:r>
          </w:p>
        </w:tc>
        <w:tc>
          <w:tcPr>
            <w:tcW w:w="264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安排金额</w:t>
            </w:r>
            <w:r>
              <w:rPr>
                <w:rFonts w:hint="default" w:ascii="Times New Roman" w:hAnsi="Times New Roman" w:eastAsia="楷体" w:cs="Times New Roman"/>
                <w:b/>
                <w:i w:val="0"/>
                <w:color w:val="000000"/>
                <w:kern w:val="0"/>
                <w:sz w:val="24"/>
                <w:szCs w:val="24"/>
                <w:highlight w:val="none"/>
                <w:u w:val="none"/>
                <w:lang w:val="en-US" w:eastAsia="en-US" w:bidi="ar"/>
              </w:rPr>
              <w:t>(万元)</w:t>
            </w:r>
          </w:p>
        </w:tc>
        <w:tc>
          <w:tcPr>
            <w:tcW w:w="169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项目数（个）</w:t>
            </w:r>
          </w:p>
        </w:tc>
      </w:tr>
      <w:tr>
        <w:tblPrEx>
          <w:shd w:val="clear" w:color="auto" w:fill="auto"/>
          <w:tblLayout w:type="fixed"/>
          <w:tblCellMar>
            <w:top w:w="0" w:type="dxa"/>
            <w:left w:w="0" w:type="dxa"/>
            <w:bottom w:w="0" w:type="dxa"/>
            <w:right w:w="0" w:type="dxa"/>
          </w:tblCellMar>
        </w:tblPrEx>
        <w:trPr>
          <w:trHeight w:val="330" w:hRule="atLeast"/>
        </w:trPr>
        <w:tc>
          <w:tcPr>
            <w:tcW w:w="3996"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（生态）环境保护与监管能力建设</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26735</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i w:val="0"/>
                <w:color w:val="000000"/>
                <w:sz w:val="24"/>
                <w:szCs w:val="24"/>
                <w:highlight w:val="none"/>
                <w:u w:val="none"/>
              </w:rPr>
            </w:pPr>
            <w:r>
              <w:rPr>
                <w:rFonts w:hint="default" w:ascii="Times New Roman" w:hAnsi="Times New Roman" w:eastAsia="楷体" w:cs="Times New Roman"/>
                <w:b/>
                <w:i w:val="0"/>
                <w:color w:val="000000"/>
                <w:kern w:val="0"/>
                <w:sz w:val="24"/>
                <w:szCs w:val="24"/>
                <w:highlight w:val="none"/>
                <w:u w:val="none"/>
                <w:lang w:val="en-US" w:eastAsia="zh-CN" w:bidi="ar"/>
              </w:rPr>
              <w:t>136</w:t>
            </w:r>
          </w:p>
        </w:tc>
      </w:tr>
      <w:tr>
        <w:tblPrEx>
          <w:shd w:val="clear" w:color="auto" w:fill="auto"/>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广州市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1266</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3</w:t>
            </w:r>
          </w:p>
        </w:tc>
      </w:tr>
      <w:tr>
        <w:tblPrEx>
          <w:shd w:val="clear" w:color="auto" w:fill="auto"/>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深圳市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906</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3</w:t>
            </w:r>
          </w:p>
        </w:tc>
      </w:tr>
      <w:tr>
        <w:tblPrEx>
          <w:shd w:val="clear" w:color="auto" w:fill="auto"/>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3</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珠海市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507</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3</w:t>
            </w:r>
          </w:p>
        </w:tc>
      </w:tr>
      <w:tr>
        <w:tblPrEx>
          <w:shd w:val="clear" w:color="auto" w:fill="auto"/>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4</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汕头市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1798</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r>
      <w:tr>
        <w:tblPrEx>
          <w:shd w:val="clear" w:color="auto" w:fill="auto"/>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5</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佛山市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811</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3</w:t>
            </w:r>
          </w:p>
        </w:tc>
      </w:tr>
      <w:tr>
        <w:tblPrEx>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6</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韶关市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1863</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r>
      <w:tr>
        <w:tblPrEx>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7</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河源市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1771</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r>
      <w:tr>
        <w:tblPrEx>
          <w:tblLayout w:type="fixed"/>
          <w:tblCellMar>
            <w:top w:w="0" w:type="dxa"/>
            <w:left w:w="0" w:type="dxa"/>
            <w:bottom w:w="0" w:type="dxa"/>
            <w:right w:w="0" w:type="dxa"/>
          </w:tblCellMar>
        </w:tblPrEx>
        <w:trPr>
          <w:trHeight w:val="24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梅州市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1774</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r>
      <w:tr>
        <w:tblPrEx>
          <w:shd w:val="clear" w:color="auto" w:fill="auto"/>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9</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惠州市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1378</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r>
      <w:tr>
        <w:tblPrEx>
          <w:shd w:val="clear" w:color="auto" w:fill="auto"/>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10</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汕尾市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1256</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r>
      <w:tr>
        <w:tblPrEx>
          <w:shd w:val="clear" w:color="auto" w:fill="auto"/>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11</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东莞市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652</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3</w:t>
            </w:r>
          </w:p>
        </w:tc>
      </w:tr>
      <w:tr>
        <w:tblPrEx>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12</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中山市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405</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3</w:t>
            </w:r>
          </w:p>
        </w:tc>
      </w:tr>
      <w:tr>
        <w:tblPrEx>
          <w:shd w:val="clear" w:color="auto" w:fill="auto"/>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13</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江门市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1254</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7</w:t>
            </w:r>
          </w:p>
        </w:tc>
      </w:tr>
      <w:tr>
        <w:tblPrEx>
          <w:shd w:val="clear" w:color="auto" w:fill="auto"/>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14</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阳江市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1199</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r>
      <w:tr>
        <w:tblPrEx>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湛江市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1788</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r>
      <w:tr>
        <w:tblPrEx>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16</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茂名市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1452</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r>
      <w:tr>
        <w:tblPrEx>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17</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肇庆市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1152</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7</w:t>
            </w:r>
          </w:p>
        </w:tc>
      </w:tr>
      <w:tr>
        <w:tblPrEx>
          <w:shd w:val="clear" w:color="auto" w:fill="auto"/>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18</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清远市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1585</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r>
      <w:tr>
        <w:tblPrEx>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19</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潮州市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1177</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r>
      <w:tr>
        <w:tblPrEx>
          <w:shd w:val="clear" w:color="auto" w:fill="auto"/>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20</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揭阳市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1475</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r>
      <w:tr>
        <w:tblPrEx>
          <w:shd w:val="clear" w:color="auto" w:fill="auto"/>
          <w:tblLayout w:type="fixed"/>
          <w:tblCellMar>
            <w:top w:w="0" w:type="dxa"/>
            <w:left w:w="0" w:type="dxa"/>
            <w:bottom w:w="0" w:type="dxa"/>
            <w:right w:w="0" w:type="dxa"/>
          </w:tblCellMar>
        </w:tblPrEx>
        <w:trPr>
          <w:trHeight w:val="330" w:hRule="atLeast"/>
        </w:trPr>
        <w:tc>
          <w:tcPr>
            <w:tcW w:w="70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21</w:t>
            </w:r>
          </w:p>
        </w:tc>
        <w:tc>
          <w:tcPr>
            <w:tcW w:w="32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云浮市</w:t>
            </w:r>
          </w:p>
        </w:tc>
        <w:tc>
          <w:tcPr>
            <w:tcW w:w="26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1266</w:t>
            </w:r>
          </w:p>
        </w:tc>
        <w:tc>
          <w:tcPr>
            <w:tcW w:w="16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highlight w:val="none"/>
        </w:rPr>
      </w:pPr>
      <w:bookmarkStart w:id="3" w:name="_Toc3979"/>
      <w:r>
        <w:rPr>
          <w:rFonts w:hint="eastAsia"/>
          <w:highlight w:val="none"/>
          <w:lang w:val="en-US" w:eastAsia="zh-CN"/>
        </w:rPr>
        <w:t>（三）</w:t>
      </w:r>
      <w:r>
        <w:rPr>
          <w:highlight w:val="none"/>
        </w:rPr>
        <w:t>项目实施内容</w:t>
      </w:r>
      <w:bookmarkEnd w:id="3"/>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环境监管能力建设项目包含</w:t>
      </w:r>
      <w:r>
        <w:rPr>
          <w:rFonts w:hint="eastAsia"/>
          <w:highlight w:val="none"/>
          <w:lang w:val="en-US" w:eastAsia="zh-CN"/>
        </w:rPr>
        <w:t>1</w:t>
      </w:r>
      <w:r>
        <w:rPr>
          <w:highlight w:val="none"/>
        </w:rPr>
        <w:t>个政策任务，</w:t>
      </w:r>
      <w:r>
        <w:rPr>
          <w:rFonts w:hint="eastAsia"/>
          <w:highlight w:val="none"/>
          <w:lang w:eastAsia="zh-CN"/>
        </w:rPr>
        <w:t>即</w:t>
      </w:r>
      <w:r>
        <w:rPr>
          <w:highlight w:val="none"/>
        </w:rPr>
        <w:t>（生态）环境保护与监管能力建设。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highlight w:val="none"/>
          <w:lang w:eastAsia="zh-CN"/>
        </w:rPr>
      </w:pPr>
      <w:r>
        <w:rPr>
          <w:highlight w:val="none"/>
        </w:rPr>
        <w:t>（生态）环境保护与监管能力建设项目的主要用途包括：（1）安排</w:t>
      </w:r>
      <w:r>
        <w:rPr>
          <w:rFonts w:hint="eastAsia"/>
          <w:highlight w:val="none"/>
          <w:lang w:val="en-US" w:eastAsia="zh-CN"/>
        </w:rPr>
        <w:t>26291</w:t>
      </w:r>
      <w:r>
        <w:rPr>
          <w:highlight w:val="none"/>
        </w:rPr>
        <w:t>万元用于</w:t>
      </w:r>
      <w:r>
        <w:rPr>
          <w:rFonts w:hint="default"/>
          <w:highlight w:val="none"/>
          <w:lang w:val="en-US" w:eastAsia="zh-CN"/>
        </w:rPr>
        <w:t>省</w:t>
      </w:r>
      <w:r>
        <w:rPr>
          <w:rFonts w:hint="eastAsia"/>
          <w:highlight w:val="none"/>
          <w:lang w:val="en-US" w:eastAsia="zh-CN"/>
        </w:rPr>
        <w:t>环境监测中心</w:t>
      </w:r>
      <w:r>
        <w:rPr>
          <w:rFonts w:hint="default"/>
          <w:highlight w:val="none"/>
          <w:lang w:val="en-US" w:eastAsia="zh-CN"/>
        </w:rPr>
        <w:t>生态环境监测网络建设</w:t>
      </w:r>
      <w:r>
        <w:rPr>
          <w:rFonts w:hint="eastAsia"/>
          <w:highlight w:val="none"/>
          <w:lang w:val="en-US" w:eastAsia="zh-CN"/>
        </w:rPr>
        <w:t>和地市环境监测网络建设</w:t>
      </w:r>
      <w:r>
        <w:rPr>
          <w:highlight w:val="none"/>
        </w:rPr>
        <w:t>；（2）安排</w:t>
      </w:r>
      <w:r>
        <w:rPr>
          <w:rFonts w:hint="eastAsia"/>
          <w:highlight w:val="none"/>
          <w:lang w:val="en-US" w:eastAsia="zh-CN"/>
        </w:rPr>
        <w:t>4190</w:t>
      </w:r>
      <w:r>
        <w:rPr>
          <w:highlight w:val="none"/>
        </w:rPr>
        <w:t>万元用于</w:t>
      </w:r>
      <w:r>
        <w:rPr>
          <w:rFonts w:hint="eastAsia"/>
          <w:highlight w:val="none"/>
          <w:lang w:eastAsia="zh-CN"/>
        </w:rPr>
        <w:t>信息化项目建设</w:t>
      </w:r>
      <w:r>
        <w:rPr>
          <w:highlight w:val="none"/>
        </w:rPr>
        <w:t>；（3）安排</w:t>
      </w:r>
      <w:r>
        <w:rPr>
          <w:rFonts w:hint="eastAsia"/>
          <w:highlight w:val="none"/>
          <w:lang w:val="en-US" w:eastAsia="zh-CN"/>
        </w:rPr>
        <w:t>12305</w:t>
      </w:r>
      <w:r>
        <w:rPr>
          <w:highlight w:val="none"/>
        </w:rPr>
        <w:t>万元用于</w:t>
      </w:r>
      <w:r>
        <w:rPr>
          <w:rFonts w:hint="eastAsia"/>
          <w:highlight w:val="none"/>
          <w:lang w:eastAsia="zh-CN"/>
        </w:rPr>
        <w:t>厅机关、直属单位等</w:t>
      </w:r>
      <w:r>
        <w:rPr>
          <w:highlight w:val="none"/>
        </w:rPr>
        <w:t>开展</w:t>
      </w:r>
      <w:r>
        <w:rPr>
          <w:rFonts w:hint="eastAsia"/>
          <w:highlight w:val="none"/>
          <w:lang w:eastAsia="zh-CN"/>
        </w:rPr>
        <w:t>专题专项</w:t>
      </w:r>
      <w:r>
        <w:rPr>
          <w:highlight w:val="none"/>
        </w:rPr>
        <w:t>工作；（4）安排</w:t>
      </w:r>
      <w:r>
        <w:rPr>
          <w:rFonts w:hint="eastAsia"/>
          <w:highlight w:val="none"/>
          <w:lang w:val="en-US" w:eastAsia="zh-CN"/>
        </w:rPr>
        <w:t>5350</w:t>
      </w:r>
      <w:r>
        <w:rPr>
          <w:highlight w:val="none"/>
        </w:rPr>
        <w:t>万元用于</w:t>
      </w:r>
      <w:r>
        <w:rPr>
          <w:rFonts w:hint="eastAsia"/>
          <w:highlight w:val="none"/>
          <w:lang w:eastAsia="zh-CN"/>
        </w:rPr>
        <w:t>粤东西北</w:t>
      </w:r>
      <w:r>
        <w:rPr>
          <w:rFonts w:hint="eastAsia"/>
          <w:highlight w:val="none"/>
          <w:lang w:val="en-US" w:eastAsia="zh-CN"/>
        </w:rPr>
        <w:t>12</w:t>
      </w:r>
      <w:r>
        <w:rPr>
          <w:highlight w:val="none"/>
        </w:rPr>
        <w:t>市</w:t>
      </w:r>
      <w:r>
        <w:rPr>
          <w:rFonts w:hint="eastAsia"/>
          <w:highlight w:val="none"/>
          <w:lang w:eastAsia="zh-CN"/>
        </w:rPr>
        <w:t>环境监管能力建设和韶关、梅州、河源、惠州</w:t>
      </w:r>
      <w:r>
        <w:rPr>
          <w:rFonts w:hint="eastAsia"/>
          <w:highlight w:val="none"/>
          <w:lang w:val="en-US" w:eastAsia="zh-CN"/>
        </w:rPr>
        <w:t>4市的东江水质监管</w:t>
      </w:r>
      <w:r>
        <w:rPr>
          <w:highlight w:val="none"/>
        </w:rPr>
        <w:t>；（5）安排</w:t>
      </w:r>
      <w:r>
        <w:rPr>
          <w:rFonts w:hint="eastAsia"/>
          <w:highlight w:val="none"/>
          <w:lang w:val="en-US" w:eastAsia="zh-CN"/>
        </w:rPr>
        <w:t>1125</w:t>
      </w:r>
      <w:r>
        <w:rPr>
          <w:highlight w:val="none"/>
        </w:rPr>
        <w:t>万元用于</w:t>
      </w:r>
      <w:r>
        <w:rPr>
          <w:rFonts w:hint="eastAsia"/>
          <w:highlight w:val="none"/>
          <w:lang w:val="en-US" w:eastAsia="zh-CN"/>
        </w:rPr>
        <w:t>15个市</w:t>
      </w:r>
      <w:r>
        <w:rPr>
          <w:rFonts w:hint="default"/>
          <w:highlight w:val="none"/>
          <w:lang w:val="en-US" w:eastAsia="zh-CN"/>
        </w:rPr>
        <w:t>重点污染源自动监控中心运行费</w:t>
      </w:r>
      <w:r>
        <w:rPr>
          <w:highlight w:val="none"/>
        </w:rPr>
        <w:t>；（6）安排</w:t>
      </w:r>
      <w:r>
        <w:rPr>
          <w:rFonts w:hint="eastAsia"/>
          <w:highlight w:val="none"/>
          <w:lang w:val="en-US" w:eastAsia="zh-CN"/>
        </w:rPr>
        <w:t>1000</w:t>
      </w:r>
      <w:r>
        <w:rPr>
          <w:highlight w:val="none"/>
        </w:rPr>
        <w:t>万元用于</w:t>
      </w:r>
      <w:r>
        <w:rPr>
          <w:rFonts w:hint="default"/>
          <w:highlight w:val="none"/>
          <w:lang w:val="en-US" w:eastAsia="zh-CN"/>
        </w:rPr>
        <w:t>污染源监督性监测经费</w:t>
      </w:r>
      <w:r>
        <w:rPr>
          <w:rFonts w:hint="eastAsia"/>
          <w:highlight w:val="none"/>
          <w:lang w:eastAsia="zh-CN"/>
        </w:rPr>
        <w:t>；（</w:t>
      </w:r>
      <w:r>
        <w:rPr>
          <w:rFonts w:hint="eastAsia"/>
          <w:highlight w:val="none"/>
          <w:lang w:val="en-US" w:eastAsia="zh-CN"/>
        </w:rPr>
        <w:t>7</w:t>
      </w:r>
      <w:r>
        <w:rPr>
          <w:rFonts w:hint="eastAsia"/>
          <w:highlight w:val="none"/>
          <w:lang w:eastAsia="zh-CN"/>
        </w:rPr>
        <w:t>）</w:t>
      </w:r>
      <w:r>
        <w:rPr>
          <w:highlight w:val="none"/>
        </w:rPr>
        <w:t>安排</w:t>
      </w:r>
      <w:r>
        <w:rPr>
          <w:rFonts w:hint="eastAsia"/>
          <w:highlight w:val="none"/>
          <w:lang w:val="en-US" w:eastAsia="zh-CN"/>
        </w:rPr>
        <w:t>1620</w:t>
      </w:r>
      <w:r>
        <w:rPr>
          <w:highlight w:val="none"/>
        </w:rPr>
        <w:t>万元用于</w:t>
      </w:r>
      <w:r>
        <w:rPr>
          <w:rFonts w:hint="eastAsia"/>
          <w:highlight w:val="none"/>
          <w:lang w:val="en-US" w:eastAsia="zh-CN"/>
        </w:rPr>
        <w:t>15个市开展</w:t>
      </w:r>
      <w:r>
        <w:rPr>
          <w:rFonts w:hint="default"/>
          <w:highlight w:val="none"/>
          <w:lang w:val="en-US" w:eastAsia="zh-CN"/>
        </w:rPr>
        <w:t>全面推进固定污染源排污许可清理整顿和</w:t>
      </w:r>
      <w:r>
        <w:rPr>
          <w:rFonts w:hint="default"/>
          <w:highlight w:val="none"/>
          <w:lang w:val="en-US" w:eastAsia="en-US"/>
        </w:rPr>
        <w:t>2020年排污许可制工作</w:t>
      </w:r>
      <w:r>
        <w:rPr>
          <w:rFonts w:hint="eastAsia"/>
          <w:highlight w:val="none"/>
          <w:lang w:val="en-US" w:eastAsia="zh-CN"/>
        </w:rPr>
        <w:t>；（8）</w:t>
      </w:r>
      <w:r>
        <w:rPr>
          <w:highlight w:val="none"/>
        </w:rPr>
        <w:t>安排</w:t>
      </w:r>
      <w:r>
        <w:rPr>
          <w:rFonts w:hint="eastAsia"/>
          <w:highlight w:val="none"/>
          <w:lang w:val="en-US" w:eastAsia="zh-CN"/>
        </w:rPr>
        <w:t>1500</w:t>
      </w:r>
      <w:r>
        <w:rPr>
          <w:highlight w:val="none"/>
        </w:rPr>
        <w:t>万元用于</w:t>
      </w:r>
      <w:r>
        <w:rPr>
          <w:rFonts w:hint="eastAsia"/>
          <w:highlight w:val="none"/>
          <w:lang w:val="en-US" w:eastAsia="zh-CN"/>
        </w:rPr>
        <w:t>15个市开展</w:t>
      </w:r>
      <w:r>
        <w:rPr>
          <w:rFonts w:hint="default"/>
          <w:highlight w:val="none"/>
          <w:lang w:val="en-US" w:eastAsia="zh-CN"/>
        </w:rPr>
        <w:t>地市项目库建设</w:t>
      </w:r>
      <w:r>
        <w:rPr>
          <w:rFonts w:hint="eastAsia"/>
          <w:highlight w:val="none"/>
          <w:lang w:val="en-US" w:eastAsia="zh-CN"/>
        </w:rPr>
        <w:t>；（9）</w:t>
      </w:r>
      <w:r>
        <w:rPr>
          <w:highlight w:val="none"/>
        </w:rPr>
        <w:t>安排</w:t>
      </w:r>
      <w:r>
        <w:rPr>
          <w:rFonts w:hint="eastAsia"/>
          <w:highlight w:val="none"/>
          <w:lang w:val="en-US" w:eastAsia="zh-CN"/>
        </w:rPr>
        <w:t>1540</w:t>
      </w:r>
      <w:r>
        <w:rPr>
          <w:highlight w:val="none"/>
        </w:rPr>
        <w:t>万元用于</w:t>
      </w:r>
      <w:r>
        <w:rPr>
          <w:rFonts w:hint="eastAsia"/>
          <w:highlight w:val="none"/>
          <w:lang w:val="en-US" w:eastAsia="zh-CN"/>
        </w:rPr>
        <w:t>21个市</w:t>
      </w:r>
      <w:r>
        <w:rPr>
          <w:rFonts w:hint="default"/>
          <w:highlight w:val="none"/>
          <w:lang w:val="en-US" w:eastAsia="zh-CN"/>
        </w:rPr>
        <w:t>大气污染物现场监测执法设备购置</w:t>
      </w:r>
      <w:r>
        <w:rPr>
          <w:rFonts w:hint="eastAsia"/>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highlight w:val="none"/>
        </w:rPr>
      </w:pPr>
      <w:bookmarkStart w:id="4" w:name="_Toc24464"/>
      <w:r>
        <w:rPr>
          <w:rFonts w:hint="eastAsia"/>
          <w:highlight w:val="none"/>
          <w:lang w:val="en-US" w:eastAsia="zh-CN"/>
        </w:rPr>
        <w:t>（四）</w:t>
      </w:r>
      <w:r>
        <w:rPr>
          <w:highlight w:val="none"/>
        </w:rPr>
        <w:t>绩效目标</w:t>
      </w:r>
      <w:bookmarkEnd w:id="4"/>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highlight w:val="none"/>
          <w:lang w:eastAsia="zh-CN"/>
        </w:rPr>
      </w:pPr>
      <w:r>
        <w:rPr>
          <w:rFonts w:hint="eastAsia"/>
          <w:highlight w:val="none"/>
          <w:lang w:eastAsia="zh-CN"/>
        </w:rPr>
        <w:t>政策任务“</w:t>
      </w:r>
      <w:r>
        <w:rPr>
          <w:highlight w:val="none"/>
        </w:rPr>
        <w:t>（生态）环境保护与监管能力建设</w:t>
      </w:r>
      <w:r>
        <w:rPr>
          <w:rFonts w:hint="eastAsia"/>
          <w:highlight w:val="none"/>
          <w:lang w:eastAsia="zh-CN"/>
        </w:rPr>
        <w:t>”</w:t>
      </w:r>
      <w:r>
        <w:rPr>
          <w:highlight w:val="none"/>
        </w:rPr>
        <w:t>的绩效</w:t>
      </w:r>
      <w:r>
        <w:rPr>
          <w:rFonts w:hint="eastAsia"/>
          <w:highlight w:val="none"/>
          <w:lang w:eastAsia="zh-CN"/>
        </w:rPr>
        <w:t>总</w:t>
      </w:r>
      <w:r>
        <w:rPr>
          <w:highlight w:val="none"/>
        </w:rPr>
        <w:t>目标</w:t>
      </w:r>
      <w:r>
        <w:rPr>
          <w:rFonts w:hint="eastAsia"/>
          <w:highlight w:val="none"/>
          <w:lang w:eastAsia="zh-CN"/>
        </w:rPr>
        <w:t>为：支持生态环境监测网络建设，专题专项经费以保障专题工作任务、国家和省委省政府部署的重点工作任务、重大环保课题研究等任务的完成，提高地市项目库质量，支持地市补助项目。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highlight w:val="none"/>
          <w:lang w:eastAsia="zh-CN"/>
        </w:rPr>
      </w:pPr>
      <w:r>
        <w:rPr>
          <w:rFonts w:hint="eastAsia"/>
          <w:highlight w:val="none"/>
          <w:lang w:eastAsia="zh-CN"/>
        </w:rPr>
        <w:t>政策任务“</w:t>
      </w:r>
      <w:r>
        <w:rPr>
          <w:highlight w:val="none"/>
        </w:rPr>
        <w:t>（生态）环境保护与监管能力建设</w:t>
      </w:r>
      <w:r>
        <w:rPr>
          <w:rFonts w:hint="eastAsia"/>
          <w:highlight w:val="none"/>
          <w:lang w:eastAsia="zh-CN"/>
        </w:rPr>
        <w:t>”</w:t>
      </w:r>
      <w:r>
        <w:rPr>
          <w:highlight w:val="none"/>
        </w:rPr>
        <w:t>的绩效</w:t>
      </w:r>
      <w:r>
        <w:rPr>
          <w:rFonts w:hint="eastAsia"/>
          <w:highlight w:val="none"/>
          <w:lang w:eastAsia="zh-CN"/>
        </w:rPr>
        <w:t>分目标包括：一是</w:t>
      </w:r>
      <w:r>
        <w:rPr>
          <w:rFonts w:hint="eastAsia"/>
          <w:highlight w:val="none"/>
        </w:rPr>
        <w:t xml:space="preserve">开展生态网站点建设与运维工作。包括完成水环境质量常规监测、水站更新改造和常态化运行，开展东江流域44个点位视频监控，提升我省生态环境网络监测可视化应用水平和水质预警能力；建成覆盖全省的颗粒物组分网，实现省控空气质量评价网、颗粒物组分监测网等常态化运行；完成土壤环境质量常规监测；实现非珠三角功能区声环境监测自动化。 </w:t>
      </w:r>
      <w:r>
        <w:rPr>
          <w:rFonts w:hint="eastAsia"/>
          <w:highlight w:val="none"/>
          <w:lang w:eastAsia="zh-CN"/>
        </w:rPr>
        <w:t>二是</w:t>
      </w:r>
      <w:r>
        <w:rPr>
          <w:rFonts w:hint="eastAsia"/>
          <w:highlight w:val="none"/>
        </w:rPr>
        <w:t>建设生态网运行管理系统。包括优化完善空气质量预报预警系统功能，丰富预报产品，增强大气污染综合诊断和来源追踪等能力；推进生态环境监测一体化、业务管理集中化；构建生态环境监测数据预警分析系统。</w:t>
      </w:r>
      <w:r>
        <w:rPr>
          <w:rFonts w:hint="eastAsia"/>
          <w:highlight w:val="none"/>
          <w:lang w:eastAsia="zh-CN"/>
        </w:rPr>
        <w:t>三是</w:t>
      </w:r>
      <w:r>
        <w:rPr>
          <w:rFonts w:hint="eastAsia"/>
          <w:highlight w:val="none"/>
        </w:rPr>
        <w:t>提升全省生态环境监测能力。包括保障华南区域土壤样品制备与流转中心正常运行；继续推进广东省生态遥感中心建设；购置实验室和应急分析仪器，提升省环境监测中心和市级监测站监测能力；整合全省生态环境监测信息网络。</w:t>
      </w:r>
      <w:r>
        <w:rPr>
          <w:rFonts w:hint="eastAsia"/>
          <w:highlight w:val="none"/>
          <w:lang w:eastAsia="zh-CN"/>
        </w:rPr>
        <w:t>四是</w:t>
      </w:r>
      <w:r>
        <w:rPr>
          <w:rFonts w:hint="eastAsia"/>
          <w:highlight w:val="none"/>
        </w:rPr>
        <w:t>加强生态网项目管理；加强对地市环境监测站的培训；开展全省重点污染源专项监测。</w:t>
      </w:r>
      <w:r>
        <w:rPr>
          <w:rFonts w:hint="eastAsia"/>
          <w:highlight w:val="none"/>
          <w:lang w:eastAsia="zh-CN"/>
        </w:rPr>
        <w:t>五是</w:t>
      </w:r>
      <w:r>
        <w:rPr>
          <w:rFonts w:hint="eastAsia"/>
          <w:highlight w:val="none"/>
        </w:rPr>
        <w:t>保障“十四五”规划等国家和省委省政府部署的重点工作任务、重大环保课题研究等任务的完成</w:t>
      </w:r>
      <w:r>
        <w:rPr>
          <w:rFonts w:hint="eastAsia"/>
          <w:highlight w:val="none"/>
          <w:lang w:eastAsia="zh-CN"/>
        </w:rPr>
        <w:t>。</w:t>
      </w:r>
    </w:p>
    <w:p>
      <w:pPr>
        <w:pStyle w:val="2"/>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政策任务“（生态）环境保护与监管能力建设”的绩效指标设置如表4。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30"/>
          <w:szCs w:val="30"/>
          <w:highlight w:val="none"/>
          <w:lang w:val="en-US"/>
        </w:rPr>
      </w:pPr>
      <w:r>
        <w:rPr>
          <w:rFonts w:hint="default" w:ascii="Times New Roman" w:hAnsi="Times New Roman" w:eastAsia="黑体" w:cs="Times New Roman"/>
          <w:sz w:val="30"/>
          <w:szCs w:val="30"/>
          <w:highlight w:val="none"/>
        </w:rPr>
        <w:t>表</w:t>
      </w:r>
      <w:r>
        <w:rPr>
          <w:rFonts w:hint="eastAsia" w:eastAsia="黑体" w:cs="Times New Roman"/>
          <w:sz w:val="30"/>
          <w:szCs w:val="30"/>
          <w:highlight w:val="none"/>
          <w:lang w:val="en-US" w:eastAsia="zh-CN"/>
        </w:rPr>
        <w:t>4</w:t>
      </w:r>
      <w:r>
        <w:rPr>
          <w:rFonts w:hint="default" w:ascii="Times New Roman" w:hAnsi="Times New Roman" w:eastAsia="黑体" w:cs="Times New Roman"/>
          <w:sz w:val="30"/>
          <w:szCs w:val="30"/>
          <w:highlight w:val="none"/>
        </w:rPr>
        <w:t xml:space="preserve">  （生态）环境保护与监管能力建设</w:t>
      </w:r>
      <w:r>
        <w:rPr>
          <w:rFonts w:hint="eastAsia" w:ascii="Times New Roman" w:hAnsi="Times New Roman" w:eastAsia="黑体" w:cs="Times New Roman"/>
          <w:sz w:val="30"/>
          <w:szCs w:val="30"/>
          <w:highlight w:val="none"/>
          <w:lang w:val="en-US" w:eastAsia="zh-CN"/>
        </w:rPr>
        <w:t>项目绩效指标</w:t>
      </w:r>
      <w:r>
        <w:rPr>
          <w:rFonts w:hint="eastAsia" w:eastAsia="黑体" w:cs="Times New Roman"/>
          <w:sz w:val="30"/>
          <w:szCs w:val="30"/>
          <w:highlight w:val="none"/>
          <w:lang w:val="en-US" w:eastAsia="zh-CN"/>
        </w:rPr>
        <w:t>表</w:t>
      </w:r>
    </w:p>
    <w:tbl>
      <w:tblPr>
        <w:tblStyle w:val="11"/>
        <w:tblW w:w="8640" w:type="dxa"/>
        <w:tblInd w:w="0" w:type="dxa"/>
        <w:shd w:val="clear" w:color="auto" w:fill="auto"/>
        <w:tblLayout w:type="fixed"/>
        <w:tblCellMar>
          <w:top w:w="0" w:type="dxa"/>
          <w:left w:w="0" w:type="dxa"/>
          <w:bottom w:w="0" w:type="dxa"/>
          <w:right w:w="0" w:type="dxa"/>
        </w:tblCellMar>
      </w:tblPr>
      <w:tblGrid>
        <w:gridCol w:w="1080"/>
        <w:gridCol w:w="718"/>
        <w:gridCol w:w="2130"/>
        <w:gridCol w:w="2312"/>
        <w:gridCol w:w="2400"/>
      </w:tblGrid>
      <w:tr>
        <w:tblPrEx>
          <w:tblLayout w:type="fixed"/>
          <w:tblCellMar>
            <w:top w:w="0" w:type="dxa"/>
            <w:left w:w="0" w:type="dxa"/>
            <w:bottom w:w="0" w:type="dxa"/>
            <w:right w:w="0" w:type="dxa"/>
          </w:tblCellMar>
        </w:tblPrEx>
        <w:trPr>
          <w:trHeight w:val="270" w:hRule="atLeast"/>
        </w:trPr>
        <w:tc>
          <w:tcPr>
            <w:tcW w:w="1080" w:type="dxa"/>
            <w:vMerge w:val="restar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绩效指标</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bCs/>
                <w:i w:val="0"/>
                <w:color w:val="000000"/>
                <w:sz w:val="24"/>
                <w:szCs w:val="24"/>
                <w:highlight w:val="none"/>
                <w:u w:val="none"/>
              </w:rPr>
            </w:pPr>
            <w:r>
              <w:rPr>
                <w:rFonts w:hint="default" w:ascii="Times New Roman" w:hAnsi="Times New Roman" w:eastAsia="楷体" w:cs="Times New Roman"/>
                <w:b/>
                <w:bCs/>
                <w:i w:val="0"/>
                <w:color w:val="000000"/>
                <w:kern w:val="0"/>
                <w:sz w:val="24"/>
                <w:szCs w:val="24"/>
                <w:highlight w:val="none"/>
                <w:u w:val="none"/>
                <w:lang w:val="en-US" w:eastAsia="zh-CN" w:bidi="ar"/>
              </w:rPr>
              <w:t>一级</w:t>
            </w:r>
            <w:r>
              <w:rPr>
                <w:rFonts w:hint="default" w:ascii="Times New Roman" w:hAnsi="Times New Roman" w:eastAsia="楷体" w:cs="Times New Roman"/>
                <w:b/>
                <w:bCs/>
                <w:i w:val="0"/>
                <w:color w:val="000000"/>
                <w:kern w:val="0"/>
                <w:sz w:val="24"/>
                <w:szCs w:val="24"/>
                <w:highlight w:val="none"/>
                <w:u w:val="none"/>
                <w:lang w:val="en-US" w:eastAsia="zh-CN" w:bidi="ar"/>
              </w:rPr>
              <w:br w:type="textWrapping"/>
            </w:r>
            <w:r>
              <w:rPr>
                <w:rFonts w:hint="default" w:ascii="Times New Roman" w:hAnsi="Times New Roman" w:eastAsia="楷体" w:cs="Times New Roman"/>
                <w:b/>
                <w:bCs/>
                <w:i w:val="0"/>
                <w:color w:val="000000"/>
                <w:kern w:val="0"/>
                <w:sz w:val="24"/>
                <w:szCs w:val="24"/>
                <w:highlight w:val="none"/>
                <w:u w:val="none"/>
                <w:lang w:val="en-US" w:eastAsia="zh-CN" w:bidi="ar"/>
              </w:rPr>
              <w:t>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bCs/>
                <w:i w:val="0"/>
                <w:color w:val="000000"/>
                <w:sz w:val="24"/>
                <w:szCs w:val="24"/>
                <w:highlight w:val="none"/>
                <w:u w:val="none"/>
              </w:rPr>
            </w:pPr>
            <w:r>
              <w:rPr>
                <w:rFonts w:hint="default" w:ascii="Times New Roman" w:hAnsi="Times New Roman" w:eastAsia="楷体" w:cs="Times New Roman"/>
                <w:b/>
                <w:bCs/>
                <w:i w:val="0"/>
                <w:color w:val="000000"/>
                <w:kern w:val="0"/>
                <w:sz w:val="24"/>
                <w:szCs w:val="24"/>
                <w:highlight w:val="none"/>
                <w:u w:val="none"/>
                <w:lang w:val="en-US" w:eastAsia="zh-CN" w:bidi="ar"/>
              </w:rPr>
              <w:t>二级指标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bCs/>
                <w:i w:val="0"/>
                <w:color w:val="000000"/>
                <w:sz w:val="24"/>
                <w:szCs w:val="24"/>
                <w:highlight w:val="none"/>
                <w:u w:val="none"/>
              </w:rPr>
            </w:pPr>
            <w:r>
              <w:rPr>
                <w:rFonts w:hint="default" w:ascii="Times New Roman" w:hAnsi="Times New Roman" w:eastAsia="楷体" w:cs="Times New Roman"/>
                <w:b/>
                <w:bCs/>
                <w:i w:val="0"/>
                <w:color w:val="000000"/>
                <w:kern w:val="0"/>
                <w:sz w:val="24"/>
                <w:szCs w:val="24"/>
                <w:highlight w:val="none"/>
                <w:u w:val="none"/>
                <w:lang w:val="en-US" w:eastAsia="zh-CN" w:bidi="ar"/>
              </w:rPr>
              <w:t>三级指标</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bCs/>
                <w:i w:val="0"/>
                <w:color w:val="000000"/>
                <w:sz w:val="24"/>
                <w:szCs w:val="24"/>
                <w:highlight w:val="none"/>
                <w:u w:val="none"/>
              </w:rPr>
            </w:pPr>
            <w:r>
              <w:rPr>
                <w:rFonts w:hint="default" w:ascii="Times New Roman" w:hAnsi="Times New Roman" w:eastAsia="楷体" w:cs="Times New Roman"/>
                <w:b/>
                <w:bCs/>
                <w:i w:val="0"/>
                <w:color w:val="000000"/>
                <w:kern w:val="0"/>
                <w:sz w:val="24"/>
                <w:szCs w:val="24"/>
                <w:highlight w:val="none"/>
                <w:u w:val="none"/>
                <w:lang w:val="en-US" w:eastAsia="zh-CN" w:bidi="ar"/>
              </w:rPr>
              <w:t>实施周期三级指标目标值</w:t>
            </w:r>
          </w:p>
        </w:tc>
      </w:tr>
      <w:tr>
        <w:tblPrEx>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产出指标</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数量指标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水质周报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52期/年</w:t>
            </w:r>
          </w:p>
        </w:tc>
      </w:tr>
      <w:tr>
        <w:tblPrEx>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水质数据</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≥20万个/年</w:t>
            </w:r>
          </w:p>
        </w:tc>
      </w:tr>
      <w:tr>
        <w:tblPrEx>
          <w:shd w:val="clear" w:color="auto" w:fill="auto"/>
          <w:tblLayout w:type="fixed"/>
          <w:tblCellMar>
            <w:top w:w="0" w:type="dxa"/>
            <w:left w:w="0" w:type="dxa"/>
            <w:bottom w:w="0" w:type="dxa"/>
            <w:right w:w="0" w:type="dxa"/>
          </w:tblCellMar>
        </w:tblPrEx>
        <w:trPr>
          <w:trHeight w:val="450" w:hRule="atLeast"/>
        </w:trPr>
        <w:tc>
          <w:tcPr>
            <w:tcW w:w="108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网络连通地市数量</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21个</w:t>
            </w:r>
          </w:p>
        </w:tc>
      </w:tr>
      <w:tr>
        <w:tblPrEx>
          <w:shd w:val="clear" w:color="auto" w:fill="auto"/>
          <w:tblLayout w:type="fixed"/>
          <w:tblCellMar>
            <w:top w:w="0" w:type="dxa"/>
            <w:left w:w="0" w:type="dxa"/>
            <w:bottom w:w="0" w:type="dxa"/>
            <w:right w:w="0" w:type="dxa"/>
          </w:tblCellMar>
        </w:tblPrEx>
        <w:trPr>
          <w:trHeight w:val="450" w:hRule="atLeast"/>
        </w:trPr>
        <w:tc>
          <w:tcPr>
            <w:tcW w:w="108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3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更新改造水站数目</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6个</w:t>
            </w:r>
          </w:p>
        </w:tc>
      </w:tr>
      <w:tr>
        <w:tblPrEx>
          <w:shd w:val="clear" w:color="auto" w:fill="auto"/>
          <w:tblLayout w:type="fixed"/>
          <w:tblCellMar>
            <w:top w:w="0" w:type="dxa"/>
            <w:left w:w="0" w:type="dxa"/>
            <w:bottom w:w="0" w:type="dxa"/>
            <w:right w:w="0" w:type="dxa"/>
          </w:tblCellMar>
        </w:tblPrEx>
        <w:trPr>
          <w:trHeight w:val="675" w:hRule="atLeast"/>
        </w:trPr>
        <w:tc>
          <w:tcPr>
            <w:tcW w:w="108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生态环境领域“十四五”规划</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1份</w:t>
            </w:r>
          </w:p>
        </w:tc>
      </w:tr>
      <w:tr>
        <w:tblPrEx>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130" w:type="dxa"/>
            <w:vMerge w:val="restar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质量指标</w:t>
            </w:r>
          </w:p>
        </w:tc>
        <w:tc>
          <w:tcPr>
            <w:tcW w:w="23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仪器使用率</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100%</w:t>
            </w:r>
          </w:p>
        </w:tc>
      </w:tr>
      <w:tr>
        <w:tblPrEx>
          <w:shd w:val="clear" w:color="auto" w:fill="auto"/>
          <w:tblLayout w:type="fixed"/>
          <w:tblCellMar>
            <w:top w:w="0" w:type="dxa"/>
            <w:left w:w="0" w:type="dxa"/>
            <w:bottom w:w="0" w:type="dxa"/>
            <w:right w:w="0" w:type="dxa"/>
          </w:tblCellMar>
        </w:tblPrEx>
        <w:trPr>
          <w:trHeight w:val="450" w:hRule="atLeast"/>
        </w:trPr>
        <w:tc>
          <w:tcPr>
            <w:tcW w:w="108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130" w:type="dxa"/>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31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项目验收合格率</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100%</w:t>
            </w:r>
          </w:p>
        </w:tc>
      </w:tr>
      <w:tr>
        <w:tblPrEx>
          <w:shd w:val="clear" w:color="auto" w:fill="auto"/>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时效指标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工作完成时间</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按计划完成</w:t>
            </w:r>
          </w:p>
        </w:tc>
      </w:tr>
      <w:tr>
        <w:tblPrEx>
          <w:shd w:val="clear" w:color="auto" w:fill="auto"/>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18"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1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成本指标</w:t>
            </w:r>
          </w:p>
        </w:tc>
        <w:tc>
          <w:tcPr>
            <w:tcW w:w="23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资金投入</w:t>
            </w:r>
          </w:p>
        </w:tc>
        <w:tc>
          <w:tcPr>
            <w:tcW w:w="24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不超出预算</w:t>
            </w:r>
          </w:p>
        </w:tc>
      </w:tr>
      <w:tr>
        <w:tblPrEx>
          <w:tblLayout w:type="fixed"/>
          <w:tblCellMar>
            <w:top w:w="0" w:type="dxa"/>
            <w:left w:w="0" w:type="dxa"/>
            <w:bottom w:w="0" w:type="dxa"/>
            <w:right w:w="0"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1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效益指标</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社会效益指标</w:t>
            </w:r>
          </w:p>
        </w:tc>
        <w:tc>
          <w:tcPr>
            <w:tcW w:w="23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应急监测工作响应率</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100%</w:t>
            </w:r>
          </w:p>
        </w:tc>
      </w:tr>
      <w:tr>
        <w:tblPrEx>
          <w:shd w:val="clear" w:color="auto" w:fill="auto"/>
          <w:tblLayout w:type="fixed"/>
          <w:tblCellMar>
            <w:top w:w="0" w:type="dxa"/>
            <w:left w:w="0" w:type="dxa"/>
            <w:bottom w:w="0" w:type="dxa"/>
            <w:right w:w="0" w:type="dxa"/>
          </w:tblCellMar>
        </w:tblPrEx>
        <w:trPr>
          <w:trHeight w:val="270" w:hRule="atLeast"/>
        </w:trPr>
        <w:tc>
          <w:tcPr>
            <w:tcW w:w="1080" w:type="dxa"/>
            <w:vMerge w:val="continue"/>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18"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130" w:type="dxa"/>
            <w:tcBorders>
              <w:top w:val="single" w:color="auto"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环境效益指标</w:t>
            </w:r>
          </w:p>
        </w:tc>
        <w:tc>
          <w:tcPr>
            <w:tcW w:w="23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地市环境监管能力</w:t>
            </w:r>
          </w:p>
        </w:tc>
        <w:tc>
          <w:tcPr>
            <w:tcW w:w="24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有效提升</w:t>
            </w:r>
          </w:p>
        </w:tc>
      </w:tr>
      <w:tr>
        <w:tblPrEx>
          <w:shd w:val="clear" w:color="auto" w:fill="auto"/>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可持续影响指标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监测数据的有效性</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长期</w:t>
            </w:r>
          </w:p>
        </w:tc>
      </w:tr>
      <w:tr>
        <w:tblPrEx>
          <w:shd w:val="clear" w:color="auto" w:fill="auto"/>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服务对象满意度指标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服务对象满意度</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≥85%</w:t>
            </w:r>
          </w:p>
        </w:tc>
      </w:tr>
    </w:tbl>
    <w:p>
      <w:pPr>
        <w:pStyle w:val="2"/>
        <w:rPr>
          <w:rFonts w:hint="eastAsia"/>
          <w:highlight w:val="none"/>
          <w:lang w:eastAsia="zh-CN"/>
        </w:rPr>
      </w:pPr>
    </w:p>
    <w:p>
      <w:pPr>
        <w:pStyle w:val="2"/>
        <w:rPr>
          <w:rFonts w:hint="eastAsia"/>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0"/>
        <w:rPr>
          <w:rFonts w:hint="eastAsia" w:ascii="黑体" w:hAnsi="黑体" w:eastAsia="黑体" w:cs="黑体"/>
          <w:highlight w:val="none"/>
        </w:rPr>
      </w:pPr>
      <w:bookmarkStart w:id="5" w:name="_Toc1464"/>
      <w:r>
        <w:rPr>
          <w:rFonts w:hint="eastAsia" w:ascii="黑体" w:hAnsi="黑体" w:eastAsia="黑体" w:cs="黑体"/>
          <w:highlight w:val="none"/>
        </w:rPr>
        <w:t>二、自评情况</w:t>
      </w:r>
      <w:bookmarkEnd w:id="5"/>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rFonts w:hint="eastAsia"/>
          <w:highlight w:val="none"/>
        </w:rPr>
        <w:t>根据</w:t>
      </w:r>
      <w:r>
        <w:rPr>
          <w:highlight w:val="none"/>
        </w:rPr>
        <w:t>《广东省财政厅关于开展202</w:t>
      </w:r>
      <w:r>
        <w:rPr>
          <w:rFonts w:hint="eastAsia"/>
          <w:highlight w:val="none"/>
          <w:lang w:val="en-US" w:eastAsia="zh-CN"/>
        </w:rPr>
        <w:t>1</w:t>
      </w:r>
      <w:r>
        <w:rPr>
          <w:highlight w:val="none"/>
        </w:rPr>
        <w:t>年省级财政资金绩效自评工作的通知》</w:t>
      </w:r>
      <w:r>
        <w:rPr>
          <w:rFonts w:hint="eastAsia"/>
          <w:highlight w:val="none"/>
        </w:rPr>
        <w:t>评价体系和标准，</w:t>
      </w:r>
      <w:r>
        <w:rPr>
          <w:highlight w:val="none"/>
        </w:rPr>
        <w:t>（生态）环境保护与监管能力建设</w:t>
      </w:r>
      <w:r>
        <w:rPr>
          <w:rFonts w:hint="eastAsia"/>
          <w:highlight w:val="none"/>
        </w:rPr>
        <w:t>的自评情况如下：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highlight w:val="none"/>
        </w:rPr>
      </w:pPr>
      <w:bookmarkStart w:id="6" w:name="_Toc15111"/>
      <w:r>
        <w:rPr>
          <w:rFonts w:hint="eastAsia"/>
          <w:highlight w:val="none"/>
          <w:lang w:eastAsia="zh-CN"/>
        </w:rPr>
        <w:t>（一）</w:t>
      </w:r>
      <w:r>
        <w:rPr>
          <w:highlight w:val="none"/>
        </w:rPr>
        <w:t>自评分数</w:t>
      </w:r>
      <w:bookmarkEnd w:id="6"/>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根据项目绩效自评指标评分表、佐证材料等得分依据，自评得分9</w:t>
      </w:r>
      <w:r>
        <w:rPr>
          <w:rFonts w:hint="eastAsia"/>
          <w:highlight w:val="none"/>
          <w:lang w:val="en-US" w:eastAsia="zh-CN"/>
        </w:rPr>
        <w:t>2.66</w:t>
      </w:r>
      <w:r>
        <w:rPr>
          <w:highlight w:val="none"/>
        </w:rPr>
        <w:t>分，具体为：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2"/>
        <w:rPr>
          <w:highlight w:val="none"/>
        </w:rPr>
      </w:pPr>
      <w:bookmarkStart w:id="7" w:name="_Toc9330"/>
      <w:r>
        <w:rPr>
          <w:highlight w:val="none"/>
        </w:rPr>
        <w:t>投入</w:t>
      </w:r>
      <w:bookmarkEnd w:id="7"/>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eastAsia="仿宋_GB2312"/>
          <w:highlight w:val="none"/>
          <w:lang w:val="en-US" w:eastAsia="zh-CN"/>
        </w:rPr>
      </w:pPr>
      <w:r>
        <w:rPr>
          <w:highlight w:val="none"/>
        </w:rPr>
        <w:t>本一级指标分值20分，自评得分</w:t>
      </w:r>
      <w:r>
        <w:rPr>
          <w:rFonts w:hint="eastAsia"/>
          <w:highlight w:val="none"/>
          <w:lang w:val="en-US" w:eastAsia="zh-CN"/>
        </w:rPr>
        <w:t>20</w:t>
      </w:r>
      <w:r>
        <w:rPr>
          <w:highlight w:val="none"/>
        </w:rPr>
        <w:t>分。</w:t>
      </w:r>
      <w:r>
        <w:rPr>
          <w:rFonts w:hint="eastAsia"/>
          <w:highlight w:val="none"/>
          <w:lang w:eastAsia="zh-CN"/>
        </w:rPr>
        <w:t>其中，项目立项自评得分</w:t>
      </w:r>
      <w:r>
        <w:rPr>
          <w:rFonts w:hint="eastAsia"/>
          <w:highlight w:val="none"/>
          <w:lang w:val="en-US" w:eastAsia="zh-CN"/>
        </w:rPr>
        <w:t>12分，资金落实自评得分8分。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highlight w:val="none"/>
        </w:rPr>
        <w:t>项目立项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①论证决策</w:t>
      </w:r>
      <w:r>
        <w:rPr>
          <w:rFonts w:hint="eastAsia"/>
          <w:highlight w:val="none"/>
          <w:lang w:eastAsia="zh-CN"/>
        </w:rPr>
        <w:t>（分值</w:t>
      </w:r>
      <w:r>
        <w:rPr>
          <w:rFonts w:hint="eastAsia"/>
          <w:highlight w:val="none"/>
          <w:lang w:val="en-US" w:eastAsia="zh-CN"/>
        </w:rPr>
        <w:t>4分</w:t>
      </w:r>
      <w:r>
        <w:rPr>
          <w:rFonts w:hint="eastAsia"/>
          <w:highlight w:val="none"/>
          <w:lang w:eastAsia="zh-CN"/>
        </w:rPr>
        <w:t>）</w:t>
      </w:r>
      <w:r>
        <w:rPr>
          <w:highlight w:val="none"/>
        </w:rPr>
        <w:t>：自评得分4分。为贯彻落实《广东省打好污染防治攻坚战三年行动计划（2018-2020年）》（粤办发〔2018〕29号）、《广东省水污染防治行动计划实施方案》(粤府〔2015〕131号)、《广东省土壤污染防治行动计划实施方案》(粤府〔2016〕145号)、《广东省固体废物污染防治三年行动计划（2018年－2020年）》（粤环发〔2018〕5号）、《广东省生态环境监测网络建设实施方案》（粤府办〔2017〕19号）等文件要求，提升我省环境监管能力水平，设立了20</w:t>
      </w:r>
      <w:r>
        <w:rPr>
          <w:rFonts w:hint="eastAsia"/>
          <w:highlight w:val="none"/>
          <w:lang w:val="en-US" w:eastAsia="zh-CN"/>
        </w:rPr>
        <w:t>20</w:t>
      </w:r>
      <w:r>
        <w:rPr>
          <w:highlight w:val="none"/>
        </w:rPr>
        <w:t>年打好污染防治攻坚战-环境监管能力建设专项资金。项目设立符合有关规定，资金分配按照集体审议程序进行，经省生态环境厅、省财政厅研究协商，并按程序联合报省领导审批，决策程序规范合理。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②目标设置</w:t>
      </w:r>
      <w:r>
        <w:rPr>
          <w:rFonts w:hint="eastAsia"/>
          <w:highlight w:val="none"/>
          <w:lang w:eastAsia="zh-CN"/>
        </w:rPr>
        <w:t>（分值</w:t>
      </w:r>
      <w:r>
        <w:rPr>
          <w:rFonts w:hint="eastAsia"/>
          <w:highlight w:val="none"/>
          <w:lang w:val="en-US" w:eastAsia="zh-CN"/>
        </w:rPr>
        <w:t>6分</w:t>
      </w:r>
      <w:r>
        <w:rPr>
          <w:rFonts w:hint="eastAsia"/>
          <w:highlight w:val="none"/>
          <w:lang w:eastAsia="zh-CN"/>
        </w:rPr>
        <w:t>）</w:t>
      </w:r>
      <w:r>
        <w:rPr>
          <w:highlight w:val="none"/>
        </w:rPr>
        <w:t>：自评得分</w:t>
      </w:r>
      <w:r>
        <w:rPr>
          <w:rFonts w:hint="eastAsia"/>
          <w:highlight w:val="none"/>
          <w:lang w:val="en-US" w:eastAsia="zh-CN"/>
        </w:rPr>
        <w:t>6</w:t>
      </w:r>
      <w:r>
        <w:rPr>
          <w:highlight w:val="none"/>
        </w:rPr>
        <w:t>分。目标设置清晰，资金绩效目标与支出内容相关，合乎客观实际，绩效目标设置有数据支撑、有可衡量的产出和效果指标，具有可衡量性。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rFonts w:hint="default"/>
          <w:highlight w:val="none"/>
        </w:rPr>
        <w:t>③</w:t>
      </w:r>
      <w:r>
        <w:rPr>
          <w:highlight w:val="none"/>
        </w:rPr>
        <w:t>保障措施</w:t>
      </w:r>
      <w:r>
        <w:rPr>
          <w:rFonts w:hint="eastAsia"/>
          <w:highlight w:val="none"/>
          <w:lang w:eastAsia="zh-CN"/>
        </w:rPr>
        <w:t>（分值</w:t>
      </w:r>
      <w:r>
        <w:rPr>
          <w:rFonts w:hint="eastAsia"/>
          <w:highlight w:val="none"/>
          <w:lang w:val="en-US" w:eastAsia="zh-CN"/>
        </w:rPr>
        <w:t>2分</w:t>
      </w:r>
      <w:r>
        <w:rPr>
          <w:rFonts w:hint="eastAsia"/>
          <w:highlight w:val="none"/>
          <w:lang w:eastAsia="zh-CN"/>
        </w:rPr>
        <w:t>）</w:t>
      </w:r>
      <w:r>
        <w:rPr>
          <w:highlight w:val="none"/>
        </w:rPr>
        <w:t>：自评得分2分。项目实施的保障制度健全，补助项目具备实施条件，工作进度计划安排合理、完善。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rFonts w:hint="eastAsia"/>
          <w:highlight w:val="none"/>
          <w:lang w:eastAsia="zh-CN"/>
        </w:rPr>
        <w:t>（</w:t>
      </w:r>
      <w:r>
        <w:rPr>
          <w:rFonts w:hint="eastAsia"/>
          <w:highlight w:val="none"/>
          <w:lang w:val="en-US" w:eastAsia="zh-CN"/>
        </w:rPr>
        <w:t>2</w:t>
      </w:r>
      <w:r>
        <w:rPr>
          <w:rFonts w:hint="eastAsia"/>
          <w:highlight w:val="none"/>
          <w:lang w:eastAsia="zh-CN"/>
        </w:rPr>
        <w:t>）</w:t>
      </w:r>
      <w:r>
        <w:rPr>
          <w:highlight w:val="none"/>
        </w:rPr>
        <w:t>资金落实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①资金到位</w:t>
      </w:r>
      <w:r>
        <w:rPr>
          <w:rFonts w:hint="eastAsia"/>
          <w:highlight w:val="none"/>
          <w:lang w:eastAsia="zh-CN"/>
        </w:rPr>
        <w:t>（分值</w:t>
      </w:r>
      <w:r>
        <w:rPr>
          <w:rFonts w:hint="eastAsia"/>
          <w:highlight w:val="none"/>
          <w:lang w:val="en-US" w:eastAsia="zh-CN"/>
        </w:rPr>
        <w:t>5分</w:t>
      </w:r>
      <w:r>
        <w:rPr>
          <w:rFonts w:hint="eastAsia"/>
          <w:highlight w:val="none"/>
          <w:lang w:eastAsia="zh-CN"/>
        </w:rPr>
        <w:t>）</w:t>
      </w:r>
      <w:r>
        <w:rPr>
          <w:highlight w:val="none"/>
        </w:rPr>
        <w:t>：自评得分5分。根据</w:t>
      </w:r>
      <w:r>
        <w:rPr>
          <w:rFonts w:hint="eastAsia"/>
          <w:highlight w:val="none"/>
          <w:lang w:eastAsia="zh-CN"/>
        </w:rPr>
        <w:t>《关于提前下达2020年省生态环境厅打好污染防治攻坚战资金的通知》（粤财资环〔2019〕39号）、《</w:t>
      </w:r>
      <w:r>
        <w:rPr>
          <w:rFonts w:hint="eastAsia"/>
          <w:highlight w:val="none"/>
        </w:rPr>
        <w:t>广东省财政厅关于批复2020年省级部门预算的通知</w:t>
      </w:r>
      <w:r>
        <w:rPr>
          <w:rFonts w:hint="eastAsia"/>
          <w:highlight w:val="none"/>
          <w:lang w:eastAsia="zh-CN"/>
        </w:rPr>
        <w:t>》（</w:t>
      </w:r>
      <w:r>
        <w:rPr>
          <w:rFonts w:hint="eastAsia"/>
          <w:highlight w:val="none"/>
        </w:rPr>
        <w:t>粤财预〔2020〕5号</w:t>
      </w:r>
      <w:r>
        <w:rPr>
          <w:rFonts w:hint="eastAsia"/>
          <w:highlight w:val="none"/>
          <w:lang w:eastAsia="zh-CN"/>
        </w:rPr>
        <w:t>）、《广东省财政厅关于下达省生态环境厅2020年打好污染防治攻坚战资金（第二批）的通知》（粤财资环〔2020〕15号）、《广东省财政厅关于下达省生态环境厅2020年打好污染防治攻坚战专项资金（第三批）的通知》（粤财资环〔2020〕47号）、《广东省财政厅关于下达2020年大气污染防控精准攻坚咨询及跟踪服务资金的通知》（粤财资环〔2020〕53号） 、《广东省财政厅关于调整省生态环境厅2020年部分预算资金的通知（2020年中预算调整）》（粤财资环〔2020〕65号）</w:t>
      </w:r>
      <w:r>
        <w:rPr>
          <w:highlight w:val="none"/>
        </w:rPr>
        <w:t>等文件，本项目资金应到位</w:t>
      </w:r>
      <w:r>
        <w:rPr>
          <w:rFonts w:hint="eastAsia"/>
          <w:highlight w:val="none"/>
          <w:lang w:val="en-US" w:eastAsia="zh-CN"/>
        </w:rPr>
        <w:t>54921.28</w:t>
      </w:r>
      <w:r>
        <w:rPr>
          <w:highlight w:val="none"/>
        </w:rPr>
        <w:t>万元，实际下达</w:t>
      </w:r>
      <w:r>
        <w:rPr>
          <w:rFonts w:hint="eastAsia"/>
          <w:highlight w:val="none"/>
          <w:lang w:val="en-US" w:eastAsia="zh-CN"/>
        </w:rPr>
        <w:t>54921.28</w:t>
      </w:r>
      <w:r>
        <w:rPr>
          <w:highlight w:val="none"/>
        </w:rPr>
        <w:t>万元，资金到位率100%，且资金及时到位，未出现资金晚下达影响项目进度的现象。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②资金分配</w:t>
      </w:r>
      <w:r>
        <w:rPr>
          <w:rFonts w:hint="eastAsia"/>
          <w:highlight w:val="none"/>
          <w:lang w:eastAsia="zh-CN"/>
        </w:rPr>
        <w:t>（分值</w:t>
      </w:r>
      <w:r>
        <w:rPr>
          <w:rFonts w:hint="eastAsia"/>
          <w:highlight w:val="none"/>
          <w:lang w:val="en-US" w:eastAsia="zh-CN"/>
        </w:rPr>
        <w:t>3分</w:t>
      </w:r>
      <w:r>
        <w:rPr>
          <w:rFonts w:hint="eastAsia"/>
          <w:highlight w:val="none"/>
          <w:lang w:eastAsia="zh-CN"/>
        </w:rPr>
        <w:t>）</w:t>
      </w:r>
      <w:r>
        <w:rPr>
          <w:highlight w:val="none"/>
        </w:rPr>
        <w:t>：自评得分</w:t>
      </w:r>
      <w:r>
        <w:rPr>
          <w:rFonts w:hint="eastAsia"/>
          <w:highlight w:val="none"/>
          <w:lang w:val="en-US" w:eastAsia="zh-CN"/>
        </w:rPr>
        <w:t>3</w:t>
      </w:r>
      <w:r>
        <w:rPr>
          <w:highlight w:val="none"/>
        </w:rPr>
        <w:t>分。资金分配总体合理，有助于实现资金的绩效目标。</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2"/>
        <w:rPr>
          <w:highlight w:val="none"/>
        </w:rPr>
      </w:pPr>
      <w:bookmarkStart w:id="8" w:name="_Toc2589"/>
      <w:r>
        <w:rPr>
          <w:highlight w:val="none"/>
        </w:rPr>
        <w:t>过程</w:t>
      </w:r>
      <w:bookmarkEnd w:id="8"/>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本一级指标分值20分，自评得分1</w:t>
      </w:r>
      <w:r>
        <w:rPr>
          <w:rFonts w:hint="eastAsia"/>
          <w:highlight w:val="none"/>
          <w:lang w:val="en-US" w:eastAsia="zh-CN"/>
        </w:rPr>
        <w:t>9.16</w:t>
      </w:r>
      <w:r>
        <w:rPr>
          <w:highlight w:val="none"/>
        </w:rPr>
        <w:t>分，其中，资金管理自评得分</w:t>
      </w:r>
      <w:r>
        <w:rPr>
          <w:rFonts w:hint="eastAsia"/>
          <w:highlight w:val="none"/>
          <w:lang w:val="en-US" w:eastAsia="zh-CN"/>
        </w:rPr>
        <w:t>11.16</w:t>
      </w:r>
      <w:r>
        <w:rPr>
          <w:highlight w:val="none"/>
        </w:rPr>
        <w:t>分，事项管理自评得分8分。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highlight w:val="none"/>
        </w:rPr>
        <w:t>资金管理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①资金支付</w:t>
      </w:r>
      <w:r>
        <w:rPr>
          <w:rFonts w:hint="eastAsia"/>
          <w:highlight w:val="none"/>
          <w:lang w:eastAsia="zh-CN"/>
        </w:rPr>
        <w:t>（分值</w:t>
      </w:r>
      <w:r>
        <w:rPr>
          <w:rFonts w:hint="eastAsia"/>
          <w:highlight w:val="none"/>
          <w:lang w:val="en-US" w:eastAsia="zh-CN"/>
        </w:rPr>
        <w:t>6分</w:t>
      </w:r>
      <w:r>
        <w:rPr>
          <w:rFonts w:hint="eastAsia"/>
          <w:highlight w:val="none"/>
          <w:lang w:eastAsia="zh-CN"/>
        </w:rPr>
        <w:t>）</w:t>
      </w:r>
      <w:r>
        <w:rPr>
          <w:highlight w:val="none"/>
        </w:rPr>
        <w:t>：自评得分</w:t>
      </w:r>
      <w:r>
        <w:rPr>
          <w:rFonts w:hint="eastAsia"/>
          <w:highlight w:val="none"/>
          <w:lang w:val="en-US" w:eastAsia="zh-CN"/>
        </w:rPr>
        <w:t>5.16</w:t>
      </w:r>
      <w:r>
        <w:rPr>
          <w:highlight w:val="none"/>
        </w:rPr>
        <w:t>分。本指标权重6分，截</w:t>
      </w:r>
      <w:r>
        <w:rPr>
          <w:rFonts w:hint="eastAsia"/>
          <w:highlight w:val="none"/>
          <w:lang w:eastAsia="zh-CN"/>
        </w:rPr>
        <w:t>至</w:t>
      </w:r>
      <w:r>
        <w:rPr>
          <w:highlight w:val="none"/>
        </w:rPr>
        <w:t>评价日，支出额度</w:t>
      </w:r>
      <w:r>
        <w:rPr>
          <w:rFonts w:hint="eastAsia"/>
          <w:highlight w:val="none"/>
          <w:lang w:val="en-US" w:eastAsia="zh-CN"/>
        </w:rPr>
        <w:t>47242</w:t>
      </w:r>
      <w:r>
        <w:rPr>
          <w:highlight w:val="none"/>
        </w:rPr>
        <w:t>万元，预算额度</w:t>
      </w:r>
      <w:r>
        <w:rPr>
          <w:rFonts w:hint="eastAsia"/>
          <w:highlight w:val="none"/>
          <w:lang w:val="en-US" w:eastAsia="zh-CN"/>
        </w:rPr>
        <w:t>54921</w:t>
      </w:r>
      <w:r>
        <w:rPr>
          <w:highlight w:val="none"/>
        </w:rPr>
        <w:t>万元，支出率为</w:t>
      </w:r>
      <w:r>
        <w:rPr>
          <w:rFonts w:hint="eastAsia"/>
          <w:highlight w:val="none"/>
          <w:lang w:val="en-US" w:eastAsia="zh-CN"/>
        </w:rPr>
        <w:t>86.02</w:t>
      </w:r>
      <w:r>
        <w:rPr>
          <w:highlight w:val="none"/>
        </w:rPr>
        <w:t>%，依据计算公式，本指标得</w:t>
      </w:r>
      <w:r>
        <w:rPr>
          <w:rFonts w:hint="eastAsia"/>
          <w:highlight w:val="none"/>
          <w:lang w:val="en-US" w:eastAsia="zh-CN"/>
        </w:rPr>
        <w:t>5.16</w:t>
      </w:r>
      <w:r>
        <w:rPr>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②支出规范性</w:t>
      </w:r>
      <w:r>
        <w:rPr>
          <w:rFonts w:hint="eastAsia"/>
          <w:highlight w:val="none"/>
          <w:lang w:eastAsia="zh-CN"/>
        </w:rPr>
        <w:t>（分值</w:t>
      </w:r>
      <w:r>
        <w:rPr>
          <w:rFonts w:hint="eastAsia"/>
          <w:highlight w:val="none"/>
          <w:lang w:val="en-US" w:eastAsia="zh-CN"/>
        </w:rPr>
        <w:t>6分</w:t>
      </w:r>
      <w:r>
        <w:rPr>
          <w:rFonts w:hint="eastAsia"/>
          <w:highlight w:val="none"/>
          <w:lang w:eastAsia="zh-CN"/>
        </w:rPr>
        <w:t>）</w:t>
      </w:r>
      <w:r>
        <w:rPr>
          <w:highlight w:val="none"/>
        </w:rPr>
        <w:t>：自评得分6分。项目资金支出均严格执行国家和省环保专项资金管理的有关规定，且按事项完成进度支付资金；资金管理、费用标准、支付符合有关制度规定，未发现截留、挤占、挪用资金的情况；会计核算实行专账管理，支出凭证符合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rFonts w:hint="eastAsia"/>
          <w:highlight w:val="none"/>
          <w:lang w:eastAsia="zh-CN"/>
        </w:rPr>
        <w:t>（</w:t>
      </w:r>
      <w:r>
        <w:rPr>
          <w:rFonts w:hint="eastAsia"/>
          <w:highlight w:val="none"/>
          <w:lang w:val="en-US" w:eastAsia="zh-CN"/>
        </w:rPr>
        <w:t>2</w:t>
      </w:r>
      <w:r>
        <w:rPr>
          <w:rFonts w:hint="eastAsia"/>
          <w:highlight w:val="none"/>
          <w:lang w:eastAsia="zh-CN"/>
        </w:rPr>
        <w:t>）</w:t>
      </w:r>
      <w:r>
        <w:rPr>
          <w:highlight w:val="none"/>
        </w:rPr>
        <w:t>事项管理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①实施程序</w:t>
      </w:r>
      <w:r>
        <w:rPr>
          <w:rFonts w:hint="eastAsia"/>
          <w:highlight w:val="none"/>
          <w:lang w:eastAsia="zh-CN"/>
        </w:rPr>
        <w:t>（分值</w:t>
      </w:r>
      <w:r>
        <w:rPr>
          <w:rFonts w:hint="eastAsia"/>
          <w:highlight w:val="none"/>
          <w:lang w:val="en-US" w:eastAsia="zh-CN"/>
        </w:rPr>
        <w:t>4分</w:t>
      </w:r>
      <w:r>
        <w:rPr>
          <w:rFonts w:hint="eastAsia"/>
          <w:highlight w:val="none"/>
          <w:lang w:eastAsia="zh-CN"/>
        </w:rPr>
        <w:t>）</w:t>
      </w:r>
      <w:r>
        <w:rPr>
          <w:highlight w:val="none"/>
        </w:rPr>
        <w:t>：自评得分4分。项目严格执行各项规章管理制度，项目实施程序规范。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②管理情况</w:t>
      </w:r>
      <w:r>
        <w:rPr>
          <w:rFonts w:hint="eastAsia"/>
          <w:highlight w:val="none"/>
          <w:lang w:eastAsia="zh-CN"/>
        </w:rPr>
        <w:t>（分值</w:t>
      </w:r>
      <w:r>
        <w:rPr>
          <w:rFonts w:hint="eastAsia"/>
          <w:highlight w:val="none"/>
          <w:lang w:val="en-US" w:eastAsia="zh-CN"/>
        </w:rPr>
        <w:t>4分</w:t>
      </w:r>
      <w:r>
        <w:rPr>
          <w:rFonts w:hint="eastAsia"/>
          <w:highlight w:val="none"/>
          <w:lang w:eastAsia="zh-CN"/>
        </w:rPr>
        <w:t>）</w:t>
      </w:r>
      <w:r>
        <w:rPr>
          <w:highlight w:val="none"/>
        </w:rPr>
        <w:t>：自评得分4分。一是印发《广东省省级生态环境专项资金管理细则》等管理文件，建立了有效资金管理与使用机制，各用款单位严格执行资金管理文件。二是建立对专项资金预算执行过程执行“调度、督导、通报、考核、约谈”的监管机制，每月调度各市资金使用和项目实施情况，对资金量大、支出进度滞后的地市重点督导帮扶，每季度将有关情况通报各市政府，同时将资金使用情况纳入生态环境保护责任考核，对于项目实施进展严重滞后或存在问题的项目，由本市生态环境部门提请市政府约谈项目承担单位。</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2"/>
        <w:rPr>
          <w:highlight w:val="none"/>
        </w:rPr>
      </w:pPr>
      <w:bookmarkStart w:id="9" w:name="_Toc31113"/>
      <w:r>
        <w:rPr>
          <w:highlight w:val="none"/>
        </w:rPr>
        <w:t>产出</w:t>
      </w:r>
      <w:bookmarkEnd w:id="9"/>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本一级指标分值30分，自评得分2</w:t>
      </w:r>
      <w:r>
        <w:rPr>
          <w:rFonts w:hint="eastAsia"/>
          <w:highlight w:val="none"/>
          <w:lang w:val="en-US" w:eastAsia="zh-CN"/>
        </w:rPr>
        <w:t>6.5</w:t>
      </w:r>
      <w:r>
        <w:rPr>
          <w:highlight w:val="none"/>
        </w:rPr>
        <w:t>分，其中，经济性自评得分5分，效率性自评得分2</w:t>
      </w:r>
      <w:r>
        <w:rPr>
          <w:rFonts w:hint="eastAsia"/>
          <w:highlight w:val="none"/>
          <w:lang w:val="en-US" w:eastAsia="zh-CN"/>
        </w:rPr>
        <w:t>1.5</w:t>
      </w:r>
      <w:r>
        <w:rPr>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highlight w:val="none"/>
        </w:rPr>
        <w:t>经济性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①预算控制</w:t>
      </w:r>
      <w:r>
        <w:rPr>
          <w:rFonts w:hint="eastAsia"/>
          <w:highlight w:val="none"/>
          <w:lang w:eastAsia="zh-CN"/>
        </w:rPr>
        <w:t>（分值</w:t>
      </w:r>
      <w:r>
        <w:rPr>
          <w:rFonts w:hint="eastAsia"/>
          <w:highlight w:val="none"/>
          <w:lang w:val="en-US" w:eastAsia="zh-CN"/>
        </w:rPr>
        <w:t>3分</w:t>
      </w:r>
      <w:r>
        <w:rPr>
          <w:rFonts w:hint="eastAsia"/>
          <w:highlight w:val="none"/>
          <w:lang w:eastAsia="zh-CN"/>
        </w:rPr>
        <w:t>）</w:t>
      </w:r>
      <w:r>
        <w:rPr>
          <w:highlight w:val="none"/>
        </w:rPr>
        <w:t>：自评得分3分。项目实际支出额度</w:t>
      </w:r>
      <w:r>
        <w:rPr>
          <w:rFonts w:hint="eastAsia"/>
          <w:highlight w:val="none"/>
          <w:lang w:val="en-US" w:eastAsia="zh-CN"/>
        </w:rPr>
        <w:t>47242</w:t>
      </w:r>
      <w:r>
        <w:rPr>
          <w:highlight w:val="none"/>
        </w:rPr>
        <w:t>万元，项目预算额度</w:t>
      </w:r>
      <w:r>
        <w:rPr>
          <w:rFonts w:hint="eastAsia"/>
          <w:highlight w:val="none"/>
          <w:lang w:val="en-US" w:eastAsia="zh-CN"/>
        </w:rPr>
        <w:t>54921.28</w:t>
      </w:r>
      <w:r>
        <w:rPr>
          <w:highlight w:val="none"/>
        </w:rPr>
        <w:t>万元，项目实际支出未超预算计划。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②成本控制</w:t>
      </w:r>
      <w:r>
        <w:rPr>
          <w:rFonts w:hint="eastAsia"/>
          <w:highlight w:val="none"/>
          <w:lang w:eastAsia="zh-CN"/>
        </w:rPr>
        <w:t>（分值</w:t>
      </w:r>
      <w:r>
        <w:rPr>
          <w:rFonts w:hint="eastAsia"/>
          <w:highlight w:val="none"/>
          <w:lang w:val="en-US" w:eastAsia="zh-CN"/>
        </w:rPr>
        <w:t>2分</w:t>
      </w:r>
      <w:r>
        <w:rPr>
          <w:rFonts w:hint="eastAsia"/>
          <w:highlight w:val="none"/>
          <w:lang w:eastAsia="zh-CN"/>
        </w:rPr>
        <w:t>）</w:t>
      </w:r>
      <w:r>
        <w:rPr>
          <w:highlight w:val="none"/>
        </w:rPr>
        <w:t>：自评得分2分。项目实施未超预算，实施成本属于合理范围。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rFonts w:hint="eastAsia"/>
          <w:highlight w:val="none"/>
          <w:lang w:eastAsia="zh-CN"/>
        </w:rPr>
        <w:t>（</w:t>
      </w:r>
      <w:r>
        <w:rPr>
          <w:rFonts w:hint="eastAsia"/>
          <w:highlight w:val="none"/>
          <w:lang w:val="en-US" w:eastAsia="zh-CN"/>
        </w:rPr>
        <w:t>2</w:t>
      </w:r>
      <w:r>
        <w:rPr>
          <w:rFonts w:hint="eastAsia"/>
          <w:highlight w:val="none"/>
          <w:lang w:eastAsia="zh-CN"/>
        </w:rPr>
        <w:t>）</w:t>
      </w:r>
      <w:r>
        <w:rPr>
          <w:highlight w:val="none"/>
        </w:rPr>
        <w:t>效率性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①完成进度</w:t>
      </w:r>
      <w:r>
        <w:rPr>
          <w:rFonts w:hint="eastAsia"/>
          <w:highlight w:val="none"/>
          <w:lang w:eastAsia="zh-CN"/>
        </w:rPr>
        <w:t>（分值</w:t>
      </w:r>
      <w:r>
        <w:rPr>
          <w:rFonts w:hint="eastAsia"/>
          <w:highlight w:val="none"/>
          <w:lang w:val="en-US" w:eastAsia="zh-CN"/>
        </w:rPr>
        <w:t>10分</w:t>
      </w:r>
      <w:r>
        <w:rPr>
          <w:rFonts w:hint="eastAsia"/>
          <w:highlight w:val="none"/>
          <w:lang w:eastAsia="zh-CN"/>
        </w:rPr>
        <w:t>）</w:t>
      </w:r>
      <w:r>
        <w:rPr>
          <w:highlight w:val="none"/>
        </w:rPr>
        <w:t>：自评得分</w:t>
      </w:r>
      <w:r>
        <w:rPr>
          <w:rFonts w:hint="eastAsia"/>
          <w:highlight w:val="none"/>
          <w:lang w:val="en-US" w:eastAsia="zh-CN"/>
        </w:rPr>
        <w:t>7</w:t>
      </w:r>
      <w:r>
        <w:rPr>
          <w:highlight w:val="none"/>
        </w:rPr>
        <w:t>分。总体上各项目基本按计划进度完成。但部分项目的实施进度稍滞后，主要原因有：一是资金下达至评价基准日期限较短，如</w:t>
      </w:r>
      <w:r>
        <w:rPr>
          <w:rFonts w:hint="eastAsia"/>
          <w:highlight w:val="none"/>
          <w:lang w:eastAsia="zh-CN"/>
        </w:rPr>
        <w:t>部分</w:t>
      </w:r>
      <w:r>
        <w:rPr>
          <w:highlight w:val="none"/>
        </w:rPr>
        <w:t>信息化项目资金于20</w:t>
      </w:r>
      <w:r>
        <w:rPr>
          <w:rFonts w:hint="eastAsia"/>
          <w:highlight w:val="none"/>
          <w:lang w:val="en-US" w:eastAsia="zh-CN"/>
        </w:rPr>
        <w:t>20</w:t>
      </w:r>
      <w:r>
        <w:rPr>
          <w:highlight w:val="none"/>
        </w:rPr>
        <w:t>年</w:t>
      </w:r>
      <w:r>
        <w:rPr>
          <w:rFonts w:hint="eastAsia"/>
          <w:highlight w:val="none"/>
          <w:lang w:val="en-US" w:eastAsia="zh-CN"/>
        </w:rPr>
        <w:t>11-</w:t>
      </w:r>
      <w:r>
        <w:rPr>
          <w:highlight w:val="none"/>
        </w:rPr>
        <w:t>12月下达，</w:t>
      </w:r>
      <w:r>
        <w:rPr>
          <w:rFonts w:hint="eastAsia"/>
          <w:highlight w:val="none"/>
          <w:lang w:eastAsia="zh-CN"/>
        </w:rPr>
        <w:t>市级项目库建设</w:t>
      </w:r>
      <w:r>
        <w:rPr>
          <w:highlight w:val="none"/>
        </w:rPr>
        <w:t>经费于20</w:t>
      </w:r>
      <w:r>
        <w:rPr>
          <w:rFonts w:hint="eastAsia"/>
          <w:highlight w:val="none"/>
          <w:lang w:val="en-US" w:eastAsia="zh-CN"/>
        </w:rPr>
        <w:t>20</w:t>
      </w:r>
      <w:r>
        <w:rPr>
          <w:highlight w:val="none"/>
        </w:rPr>
        <w:t>年1</w:t>
      </w:r>
      <w:r>
        <w:rPr>
          <w:rFonts w:hint="eastAsia"/>
          <w:highlight w:val="none"/>
          <w:lang w:val="en-US" w:eastAsia="zh-CN"/>
        </w:rPr>
        <w:t>2</w:t>
      </w:r>
      <w:r>
        <w:rPr>
          <w:highlight w:val="none"/>
        </w:rPr>
        <w:t>月下达。二是</w:t>
      </w:r>
      <w:r>
        <w:rPr>
          <w:rFonts w:hint="eastAsia"/>
          <w:highlight w:val="none"/>
        </w:rPr>
        <w:t>受项目实施环境、项目调整</w:t>
      </w:r>
      <w:r>
        <w:rPr>
          <w:rFonts w:hint="eastAsia"/>
          <w:highlight w:val="none"/>
          <w:lang w:eastAsia="zh-CN"/>
        </w:rPr>
        <w:t>、</w:t>
      </w:r>
      <w:r>
        <w:rPr>
          <w:rFonts w:hint="eastAsia"/>
          <w:highlight w:val="none"/>
        </w:rPr>
        <w:t>疫情等因素影响，</w:t>
      </w:r>
      <w:r>
        <w:rPr>
          <w:rFonts w:hint="eastAsia"/>
          <w:highlight w:val="none"/>
          <w:lang w:eastAsia="zh-CN"/>
        </w:rPr>
        <w:t>导致</w:t>
      </w:r>
      <w:r>
        <w:rPr>
          <w:rFonts w:hint="eastAsia"/>
          <w:highlight w:val="none"/>
        </w:rPr>
        <w:t>个别项目进度滞后</w:t>
      </w:r>
      <w:r>
        <w:rPr>
          <w:highlight w:val="none"/>
        </w:rPr>
        <w:t>。因此，本指标扣</w:t>
      </w:r>
      <w:r>
        <w:rPr>
          <w:rFonts w:hint="eastAsia"/>
          <w:highlight w:val="none"/>
          <w:lang w:val="en-US" w:eastAsia="zh-CN"/>
        </w:rPr>
        <w:t>3</w:t>
      </w:r>
      <w:r>
        <w:rPr>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eastAsia="仿宋_GB2312"/>
          <w:highlight w:val="none"/>
          <w:lang w:val="en-US" w:eastAsia="zh-CN"/>
        </w:rPr>
      </w:pPr>
      <w:r>
        <w:rPr>
          <w:highlight w:val="none"/>
        </w:rPr>
        <w:t>②完成质量</w:t>
      </w:r>
      <w:r>
        <w:rPr>
          <w:rFonts w:hint="eastAsia"/>
          <w:highlight w:val="none"/>
          <w:lang w:eastAsia="zh-CN"/>
        </w:rPr>
        <w:t>（分值</w:t>
      </w:r>
      <w:r>
        <w:rPr>
          <w:rFonts w:hint="eastAsia"/>
          <w:highlight w:val="none"/>
          <w:lang w:val="en-US" w:eastAsia="zh-CN"/>
        </w:rPr>
        <w:t>15分</w:t>
      </w:r>
      <w:r>
        <w:rPr>
          <w:rFonts w:hint="eastAsia"/>
          <w:highlight w:val="none"/>
          <w:lang w:eastAsia="zh-CN"/>
        </w:rPr>
        <w:t>）</w:t>
      </w:r>
      <w:r>
        <w:rPr>
          <w:highlight w:val="none"/>
        </w:rPr>
        <w:t>：自评得分</w:t>
      </w:r>
      <w:r>
        <w:rPr>
          <w:rFonts w:hint="eastAsia"/>
          <w:highlight w:val="none"/>
          <w:lang w:val="en-US" w:eastAsia="zh-CN"/>
        </w:rPr>
        <w:t>14.5</w:t>
      </w:r>
      <w:r>
        <w:rPr>
          <w:highlight w:val="none"/>
        </w:rPr>
        <w:t>分。项目总体进展情况良好，已完成的项目建设内容质量</w:t>
      </w:r>
      <w:r>
        <w:rPr>
          <w:rFonts w:hint="eastAsia"/>
          <w:highlight w:val="none"/>
          <w:lang w:eastAsia="zh-CN"/>
        </w:rPr>
        <w:t>基本</w:t>
      </w:r>
      <w:r>
        <w:rPr>
          <w:highlight w:val="none"/>
        </w:rPr>
        <w:t>达到预期目标。</w:t>
      </w:r>
      <w:r>
        <w:rPr>
          <w:rFonts w:hint="eastAsia"/>
          <w:highlight w:val="none"/>
          <w:lang w:eastAsia="zh-CN"/>
        </w:rPr>
        <w:t>其中，仪器使用方面，由于空气走航监测车因未取得车牌暂未投入使用，扣分</w:t>
      </w:r>
      <w:r>
        <w:rPr>
          <w:rFonts w:hint="eastAsia"/>
          <w:highlight w:val="none"/>
          <w:lang w:val="en-US" w:eastAsia="zh-CN"/>
        </w:rPr>
        <w:t>0.5分。</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2"/>
        <w:rPr>
          <w:highlight w:val="none"/>
        </w:rPr>
      </w:pPr>
      <w:bookmarkStart w:id="10" w:name="_Toc30573"/>
      <w:r>
        <w:rPr>
          <w:highlight w:val="none"/>
        </w:rPr>
        <w:t>效益</w:t>
      </w:r>
      <w:bookmarkEnd w:id="1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本一级指标分值30分，自评得分27分，其中，效果性自评得分22分，公平性自评得分5分。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highlight w:val="none"/>
        </w:rPr>
        <w:t>效果性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①社会生态效益</w:t>
      </w:r>
      <w:r>
        <w:rPr>
          <w:rFonts w:hint="eastAsia"/>
          <w:highlight w:val="none"/>
          <w:lang w:eastAsia="zh-CN"/>
        </w:rPr>
        <w:t>（分值</w:t>
      </w:r>
      <w:r>
        <w:rPr>
          <w:rFonts w:hint="eastAsia"/>
          <w:highlight w:val="none"/>
          <w:lang w:val="en-US" w:eastAsia="zh-CN"/>
        </w:rPr>
        <w:t>20分</w:t>
      </w:r>
      <w:r>
        <w:rPr>
          <w:rFonts w:hint="eastAsia"/>
          <w:highlight w:val="none"/>
          <w:lang w:eastAsia="zh-CN"/>
        </w:rPr>
        <w:t>）</w:t>
      </w:r>
      <w:r>
        <w:rPr>
          <w:highlight w:val="none"/>
        </w:rPr>
        <w:t>：自评得分17分。</w:t>
      </w:r>
      <w:r>
        <w:rPr>
          <w:rFonts w:hint="eastAsia"/>
          <w:highlight w:val="none"/>
          <w:lang w:eastAsia="zh-CN"/>
        </w:rPr>
        <w:t>环境监管能力建设</w:t>
      </w:r>
      <w:r>
        <w:rPr>
          <w:highlight w:val="none"/>
        </w:rPr>
        <w:t>项目的实施</w:t>
      </w:r>
      <w:r>
        <w:rPr>
          <w:rFonts w:hint="eastAsia"/>
          <w:highlight w:val="none"/>
          <w:lang w:eastAsia="zh-CN"/>
        </w:rPr>
        <w:t>，</w:t>
      </w:r>
      <w:r>
        <w:rPr>
          <w:rFonts w:hint="eastAsia" w:ascii="Times New Roman" w:hAnsi="Times New Roman" w:cs="Times New Roman"/>
          <w:highlight w:val="none"/>
          <w:lang w:eastAsia="zh-CN"/>
        </w:rPr>
        <w:t>基本建成了全要素生态环境质量监测网络，保障了</w:t>
      </w:r>
      <w:r>
        <w:rPr>
          <w:rFonts w:hint="eastAsia"/>
          <w:highlight w:val="none"/>
        </w:rPr>
        <w:t>“十四五”规划等国家和省委省政府部署的重点工作任务、重大环保课题研究等任务的完成</w:t>
      </w:r>
      <w:r>
        <w:rPr>
          <w:rFonts w:hint="eastAsia" w:ascii="Times New Roman" w:hAnsi="Times New Roman" w:cs="Times New Roman"/>
          <w:highlight w:val="none"/>
          <w:lang w:eastAsia="zh-CN"/>
        </w:rPr>
        <w:t>，提升了地方环境监管能力建设水平，生态环境网络信息化水平，为我省打好污染防治攻坚战提供有力保障。</w:t>
      </w:r>
      <w:r>
        <w:rPr>
          <w:highlight w:val="none"/>
        </w:rPr>
        <w:t>本资金项目具有较高的社会生态效益，但由于部分项目资金下达至评价基准日期限较短</w:t>
      </w:r>
      <w:r>
        <w:rPr>
          <w:rFonts w:hint="eastAsia"/>
          <w:highlight w:val="none"/>
          <w:lang w:eastAsia="zh-CN"/>
        </w:rPr>
        <w:t>及个别项目进度滞后，</w:t>
      </w:r>
      <w:r>
        <w:rPr>
          <w:highlight w:val="none"/>
        </w:rPr>
        <w:t>导致现阶段项目实施效果小于预期效果，此处扣3分。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②可持续发展</w:t>
      </w:r>
      <w:r>
        <w:rPr>
          <w:rFonts w:hint="eastAsia"/>
          <w:highlight w:val="none"/>
          <w:lang w:eastAsia="zh-CN"/>
        </w:rPr>
        <w:t>（分值</w:t>
      </w:r>
      <w:r>
        <w:rPr>
          <w:rFonts w:hint="eastAsia"/>
          <w:highlight w:val="none"/>
          <w:lang w:val="en-US" w:eastAsia="zh-CN"/>
        </w:rPr>
        <w:t>5分</w:t>
      </w:r>
      <w:r>
        <w:rPr>
          <w:rFonts w:hint="eastAsia"/>
          <w:highlight w:val="none"/>
          <w:lang w:eastAsia="zh-CN"/>
        </w:rPr>
        <w:t>）</w:t>
      </w:r>
      <w:r>
        <w:rPr>
          <w:highlight w:val="none"/>
        </w:rPr>
        <w:t>：自评得分5分。建成的信息系统可持续稳定运行，监测数据有效可用，具有良好</w:t>
      </w:r>
      <w:r>
        <w:rPr>
          <w:rFonts w:hint="eastAsia"/>
          <w:highlight w:val="none"/>
        </w:rPr>
        <w:t>的</w:t>
      </w:r>
      <w:r>
        <w:rPr>
          <w:highlight w:val="none"/>
        </w:rPr>
        <w:t>可持续发展效益。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rFonts w:hint="eastAsia"/>
          <w:highlight w:val="none"/>
          <w:lang w:eastAsia="zh-CN"/>
        </w:rPr>
        <w:t>（</w:t>
      </w:r>
      <w:r>
        <w:rPr>
          <w:rFonts w:hint="eastAsia"/>
          <w:highlight w:val="none"/>
          <w:lang w:val="en-US" w:eastAsia="zh-CN"/>
        </w:rPr>
        <w:t>2</w:t>
      </w:r>
      <w:r>
        <w:rPr>
          <w:rFonts w:hint="eastAsia"/>
          <w:highlight w:val="none"/>
          <w:lang w:eastAsia="zh-CN"/>
        </w:rPr>
        <w:t>）</w:t>
      </w:r>
      <w:r>
        <w:rPr>
          <w:highlight w:val="none"/>
        </w:rPr>
        <w:t>公平性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①满意度</w:t>
      </w:r>
      <w:r>
        <w:rPr>
          <w:rFonts w:hint="eastAsia"/>
          <w:highlight w:val="none"/>
          <w:lang w:eastAsia="zh-CN"/>
        </w:rPr>
        <w:t>（分值</w:t>
      </w:r>
      <w:r>
        <w:rPr>
          <w:rFonts w:hint="eastAsia"/>
          <w:highlight w:val="none"/>
          <w:lang w:val="en-US" w:eastAsia="zh-CN"/>
        </w:rPr>
        <w:t>5分</w:t>
      </w:r>
      <w:r>
        <w:rPr>
          <w:rFonts w:hint="eastAsia"/>
          <w:highlight w:val="none"/>
          <w:lang w:eastAsia="zh-CN"/>
        </w:rPr>
        <w:t>）</w:t>
      </w:r>
      <w:r>
        <w:rPr>
          <w:highlight w:val="none"/>
        </w:rPr>
        <w:t>：自评得分5分。项目的实施保障了</w:t>
      </w:r>
      <w:r>
        <w:rPr>
          <w:rFonts w:hint="eastAsia"/>
          <w:highlight w:val="none"/>
        </w:rPr>
        <w:t>专题工作任务、国家和省委省政府部署的重点工作任务、重大环保课题研究等任务的完成</w:t>
      </w:r>
      <w:r>
        <w:rPr>
          <w:highlight w:val="none"/>
        </w:rPr>
        <w:t>，提升了地方环境监管能力建设水平及生态环境监测网络信息化水平，为我省打好污染防治攻坚战提供有力保障，符合</w:t>
      </w:r>
      <w:r>
        <w:rPr>
          <w:rFonts w:hint="eastAsia"/>
          <w:highlight w:val="none"/>
          <w:lang w:eastAsia="zh-CN"/>
        </w:rPr>
        <w:t>公众</w:t>
      </w:r>
      <w:r>
        <w:rPr>
          <w:highlight w:val="none"/>
        </w:rPr>
        <w:t>环境利益，未出现纠纷、信访、上访甚至违法犯罪等情况，服务对象满意度高。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highlight w:val="none"/>
        </w:rPr>
      </w:pPr>
      <w:bookmarkStart w:id="11" w:name="_Toc20723"/>
      <w:r>
        <w:rPr>
          <w:rFonts w:hint="eastAsia"/>
          <w:highlight w:val="none"/>
          <w:lang w:val="en-US" w:eastAsia="zh-CN"/>
        </w:rPr>
        <w:t>（二）</w:t>
      </w:r>
      <w:r>
        <w:rPr>
          <w:highlight w:val="none"/>
        </w:rPr>
        <w:t>专项资金使用绩效</w:t>
      </w:r>
      <w:bookmarkEnd w:id="1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2"/>
        <w:rPr>
          <w:highlight w:val="none"/>
        </w:rPr>
      </w:pPr>
      <w:r>
        <w:rPr>
          <w:highlight w:val="none"/>
        </w:rPr>
        <w:t xml:space="preserve"> </w:t>
      </w:r>
      <w:bookmarkStart w:id="12" w:name="_Toc25532"/>
      <w:r>
        <w:rPr>
          <w:rFonts w:hint="eastAsia"/>
          <w:highlight w:val="none"/>
          <w:lang w:val="en-US" w:eastAsia="zh-CN"/>
        </w:rPr>
        <w:t xml:space="preserve">1. </w:t>
      </w:r>
      <w:r>
        <w:rPr>
          <w:highlight w:val="none"/>
        </w:rPr>
        <w:t>专项资金支出情况</w:t>
      </w:r>
      <w:bookmarkEnd w:id="12"/>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eastAsia="仿宋_GB2312"/>
          <w:highlight w:val="none"/>
          <w:lang w:val="en-US" w:eastAsia="zh-CN"/>
        </w:rPr>
      </w:pPr>
      <w:r>
        <w:rPr>
          <w:highlight w:val="none"/>
        </w:rPr>
        <w:t>省财政下达我厅20</w:t>
      </w:r>
      <w:r>
        <w:rPr>
          <w:rFonts w:hint="eastAsia"/>
          <w:highlight w:val="none"/>
          <w:lang w:val="en-US" w:eastAsia="zh-CN"/>
        </w:rPr>
        <w:t>20</w:t>
      </w:r>
      <w:r>
        <w:rPr>
          <w:highlight w:val="none"/>
        </w:rPr>
        <w:t>年环境监管能力建设专项资金共</w:t>
      </w:r>
      <w:r>
        <w:rPr>
          <w:rFonts w:hint="eastAsia"/>
          <w:highlight w:val="none"/>
          <w:lang w:val="en-US" w:eastAsia="zh-CN"/>
        </w:rPr>
        <w:t>54921.28</w:t>
      </w:r>
      <w:r>
        <w:rPr>
          <w:highlight w:val="none"/>
        </w:rPr>
        <w:t>万元，截</w:t>
      </w:r>
      <w:r>
        <w:rPr>
          <w:rFonts w:hint="eastAsia"/>
          <w:highlight w:val="none"/>
          <w:lang w:eastAsia="zh-CN"/>
        </w:rPr>
        <w:t>至</w:t>
      </w:r>
      <w:r>
        <w:rPr>
          <w:highlight w:val="none"/>
        </w:rPr>
        <w:t>评价日，支出</w:t>
      </w:r>
      <w:r>
        <w:rPr>
          <w:rFonts w:hint="eastAsia"/>
          <w:highlight w:val="none"/>
          <w:lang w:val="en-US" w:eastAsia="zh-CN"/>
        </w:rPr>
        <w:t>47241.08</w:t>
      </w:r>
      <w:r>
        <w:rPr>
          <w:highlight w:val="none"/>
        </w:rPr>
        <w:t>万元，支出率为</w:t>
      </w:r>
      <w:r>
        <w:rPr>
          <w:rFonts w:hint="eastAsia"/>
          <w:highlight w:val="none"/>
          <w:lang w:val="en-US" w:eastAsia="zh-CN"/>
        </w:rPr>
        <w:t>86.02</w:t>
      </w:r>
      <w:r>
        <w:rPr>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800" w:leftChars="0" w:right="0" w:rightChars="0" w:firstLine="0" w:firstLineChars="0"/>
        <w:jc w:val="both"/>
        <w:textAlignment w:val="auto"/>
        <w:outlineLvl w:val="2"/>
        <w:rPr>
          <w:highlight w:val="none"/>
        </w:rPr>
      </w:pPr>
      <w:bookmarkStart w:id="13" w:name="_Toc17023"/>
      <w:r>
        <w:rPr>
          <w:highlight w:val="none"/>
        </w:rPr>
        <w:t>专项资金完成绩效目标情况</w:t>
      </w:r>
      <w:bookmarkEnd w:id="13"/>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eastAsia="仿宋_GB2312"/>
          <w:highlight w:val="none"/>
          <w:lang w:val="en-US" w:eastAsia="zh-CN"/>
        </w:rPr>
      </w:pPr>
      <w:r>
        <w:rPr>
          <w:highlight w:val="none"/>
        </w:rPr>
        <w:t>20</w:t>
      </w:r>
      <w:r>
        <w:rPr>
          <w:rFonts w:hint="eastAsia"/>
          <w:highlight w:val="none"/>
          <w:lang w:val="en-US" w:eastAsia="zh-CN"/>
        </w:rPr>
        <w:t>20</w:t>
      </w:r>
      <w:r>
        <w:rPr>
          <w:highlight w:val="none"/>
        </w:rPr>
        <w:t>年环境监管能力建设专项资金支持项目实施成效显著，实际绩效基本符合预期绩效。</w:t>
      </w:r>
      <w:r>
        <w:rPr>
          <w:rFonts w:hint="eastAsia"/>
          <w:highlight w:val="none"/>
          <w:lang w:eastAsia="zh-CN"/>
        </w:rPr>
        <w:t>通过</w:t>
      </w:r>
      <w:r>
        <w:rPr>
          <w:highlight w:val="none"/>
        </w:rPr>
        <w:t>项目的实施，</w:t>
      </w:r>
      <w:r>
        <w:rPr>
          <w:rFonts w:hint="eastAsia"/>
          <w:highlight w:val="none"/>
          <w:lang w:eastAsia="zh-CN"/>
        </w:rPr>
        <w:t>有效</w:t>
      </w:r>
      <w:r>
        <w:rPr>
          <w:rFonts w:hint="eastAsia"/>
          <w:highlight w:val="none"/>
        </w:rPr>
        <w:t>支持</w:t>
      </w:r>
      <w:r>
        <w:rPr>
          <w:rFonts w:hint="eastAsia"/>
          <w:highlight w:val="none"/>
          <w:lang w:eastAsia="zh-CN"/>
        </w:rPr>
        <w:t>了全省</w:t>
      </w:r>
      <w:r>
        <w:rPr>
          <w:rFonts w:hint="eastAsia"/>
          <w:highlight w:val="none"/>
        </w:rPr>
        <w:t>生态环境监测网络建设，保障</w:t>
      </w:r>
      <w:r>
        <w:rPr>
          <w:rFonts w:hint="eastAsia"/>
          <w:highlight w:val="none"/>
          <w:lang w:eastAsia="zh-CN"/>
        </w:rPr>
        <w:t>了</w:t>
      </w:r>
      <w:r>
        <w:rPr>
          <w:rFonts w:hint="eastAsia"/>
          <w:highlight w:val="none"/>
        </w:rPr>
        <w:t>专题专项经费以专题工作任务、国家和省委省政府部署的重点工作任务、重大环保课题研究等任务的完成，提高地市项目库质量，支持地市补助项目。</w:t>
      </w:r>
      <w:r>
        <w:rPr>
          <w:rFonts w:hint="eastAsia"/>
          <w:highlight w:val="none"/>
          <w:lang w:val="en-US" w:eastAsia="zh-CN"/>
        </w:rPr>
        <w:t>各绩效目标具体完成情况见表5。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30"/>
          <w:szCs w:val="30"/>
          <w:highlight w:val="none"/>
          <w:lang w:val="en-US"/>
        </w:rPr>
      </w:pPr>
      <w:r>
        <w:rPr>
          <w:rFonts w:hint="default" w:ascii="Times New Roman" w:hAnsi="Times New Roman" w:eastAsia="黑体" w:cs="Times New Roman"/>
          <w:sz w:val="30"/>
          <w:szCs w:val="30"/>
          <w:highlight w:val="none"/>
        </w:rPr>
        <w:t>表</w:t>
      </w:r>
      <w:r>
        <w:rPr>
          <w:rFonts w:hint="eastAsia" w:eastAsia="黑体" w:cs="Times New Roman"/>
          <w:sz w:val="30"/>
          <w:szCs w:val="30"/>
          <w:highlight w:val="none"/>
          <w:lang w:val="en-US" w:eastAsia="zh-CN"/>
        </w:rPr>
        <w:t>5</w:t>
      </w:r>
      <w:r>
        <w:rPr>
          <w:rFonts w:hint="default" w:ascii="Times New Roman" w:hAnsi="Times New Roman" w:eastAsia="黑体" w:cs="Times New Roman"/>
          <w:sz w:val="30"/>
          <w:szCs w:val="30"/>
          <w:highlight w:val="none"/>
        </w:rPr>
        <w:t xml:space="preserve">  （生态）环境保护与监管能力建设</w:t>
      </w:r>
      <w:r>
        <w:rPr>
          <w:rFonts w:hint="eastAsia" w:ascii="Times New Roman" w:hAnsi="Times New Roman" w:eastAsia="黑体" w:cs="Times New Roman"/>
          <w:sz w:val="30"/>
          <w:szCs w:val="30"/>
          <w:highlight w:val="none"/>
          <w:lang w:val="en-US" w:eastAsia="zh-CN"/>
        </w:rPr>
        <w:t>项目绩效</w:t>
      </w:r>
      <w:r>
        <w:rPr>
          <w:rFonts w:hint="eastAsia" w:eastAsia="黑体" w:cs="Times New Roman"/>
          <w:sz w:val="30"/>
          <w:szCs w:val="30"/>
          <w:highlight w:val="none"/>
          <w:lang w:val="en-US" w:eastAsia="zh-CN"/>
        </w:rPr>
        <w:t>目标完成情况</w:t>
      </w:r>
    </w:p>
    <w:tbl>
      <w:tblPr>
        <w:tblStyle w:val="11"/>
        <w:tblW w:w="8336" w:type="dxa"/>
        <w:tblInd w:w="0" w:type="dxa"/>
        <w:shd w:val="clear" w:color="auto" w:fill="auto"/>
        <w:tblLayout w:type="fixed"/>
        <w:tblCellMar>
          <w:top w:w="0" w:type="dxa"/>
          <w:left w:w="0" w:type="dxa"/>
          <w:bottom w:w="0" w:type="dxa"/>
          <w:right w:w="0" w:type="dxa"/>
        </w:tblCellMar>
      </w:tblPr>
      <w:tblGrid>
        <w:gridCol w:w="744"/>
        <w:gridCol w:w="702"/>
        <w:gridCol w:w="1415"/>
        <w:gridCol w:w="1374"/>
        <w:gridCol w:w="2048"/>
        <w:gridCol w:w="2053"/>
      </w:tblGrid>
      <w:tr>
        <w:tblPrEx>
          <w:tblLayout w:type="fixed"/>
          <w:tblCellMar>
            <w:top w:w="0" w:type="dxa"/>
            <w:left w:w="0" w:type="dxa"/>
            <w:bottom w:w="0" w:type="dxa"/>
            <w:right w:w="0" w:type="dxa"/>
          </w:tblCellMar>
        </w:tblPrEx>
        <w:trPr>
          <w:trHeight w:val="270" w:hRule="atLeast"/>
        </w:trPr>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绩效指标</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bCs/>
                <w:i w:val="0"/>
                <w:color w:val="000000"/>
                <w:sz w:val="24"/>
                <w:szCs w:val="24"/>
                <w:highlight w:val="none"/>
                <w:u w:val="none"/>
              </w:rPr>
            </w:pPr>
            <w:r>
              <w:rPr>
                <w:rFonts w:hint="default" w:ascii="Times New Roman" w:hAnsi="Times New Roman" w:eastAsia="楷体" w:cs="Times New Roman"/>
                <w:b/>
                <w:bCs/>
                <w:i w:val="0"/>
                <w:color w:val="000000"/>
                <w:kern w:val="0"/>
                <w:sz w:val="24"/>
                <w:szCs w:val="24"/>
                <w:highlight w:val="none"/>
                <w:u w:val="none"/>
                <w:lang w:val="en-US" w:eastAsia="zh-CN" w:bidi="ar"/>
              </w:rPr>
              <w:t>一级</w:t>
            </w:r>
            <w:r>
              <w:rPr>
                <w:rFonts w:hint="default" w:ascii="Times New Roman" w:hAnsi="Times New Roman" w:eastAsia="楷体" w:cs="Times New Roman"/>
                <w:b/>
                <w:bCs/>
                <w:i w:val="0"/>
                <w:color w:val="000000"/>
                <w:kern w:val="0"/>
                <w:sz w:val="24"/>
                <w:szCs w:val="24"/>
                <w:highlight w:val="none"/>
                <w:u w:val="none"/>
                <w:lang w:val="en-US" w:eastAsia="zh-CN" w:bidi="ar"/>
              </w:rPr>
              <w:br w:type="textWrapping"/>
            </w:r>
            <w:r>
              <w:rPr>
                <w:rFonts w:hint="default" w:ascii="Times New Roman" w:hAnsi="Times New Roman" w:eastAsia="楷体" w:cs="Times New Roman"/>
                <w:b/>
                <w:bCs/>
                <w:i w:val="0"/>
                <w:color w:val="000000"/>
                <w:kern w:val="0"/>
                <w:sz w:val="24"/>
                <w:szCs w:val="24"/>
                <w:highlight w:val="none"/>
                <w:u w:val="none"/>
                <w:lang w:val="en-US" w:eastAsia="zh-CN" w:bidi="ar"/>
              </w:rPr>
              <w:t>指标</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bCs/>
                <w:i w:val="0"/>
                <w:color w:val="000000"/>
                <w:sz w:val="24"/>
                <w:szCs w:val="24"/>
                <w:highlight w:val="none"/>
                <w:u w:val="none"/>
              </w:rPr>
            </w:pPr>
            <w:r>
              <w:rPr>
                <w:rFonts w:hint="default" w:ascii="Times New Roman" w:hAnsi="Times New Roman" w:eastAsia="楷体" w:cs="Times New Roman"/>
                <w:b/>
                <w:bCs/>
                <w:i w:val="0"/>
                <w:color w:val="000000"/>
                <w:kern w:val="0"/>
                <w:sz w:val="24"/>
                <w:szCs w:val="24"/>
                <w:highlight w:val="none"/>
                <w:u w:val="none"/>
                <w:lang w:val="en-US" w:eastAsia="zh-CN" w:bidi="ar"/>
              </w:rPr>
              <w:t>二级指标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bCs/>
                <w:i w:val="0"/>
                <w:color w:val="000000"/>
                <w:sz w:val="24"/>
                <w:szCs w:val="24"/>
                <w:highlight w:val="none"/>
                <w:u w:val="none"/>
              </w:rPr>
            </w:pPr>
            <w:r>
              <w:rPr>
                <w:rFonts w:hint="default" w:ascii="Times New Roman" w:hAnsi="Times New Roman" w:eastAsia="楷体" w:cs="Times New Roman"/>
                <w:b/>
                <w:bCs/>
                <w:i w:val="0"/>
                <w:color w:val="000000"/>
                <w:kern w:val="0"/>
                <w:sz w:val="24"/>
                <w:szCs w:val="24"/>
                <w:highlight w:val="none"/>
                <w:u w:val="none"/>
                <w:lang w:val="en-US" w:eastAsia="zh-CN" w:bidi="ar"/>
              </w:rPr>
              <w:t>三级指标</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bCs/>
                <w:i w:val="0"/>
                <w:color w:val="000000"/>
                <w:sz w:val="24"/>
                <w:szCs w:val="24"/>
                <w:highlight w:val="none"/>
                <w:u w:val="none"/>
              </w:rPr>
            </w:pPr>
            <w:r>
              <w:rPr>
                <w:rFonts w:hint="default" w:ascii="Times New Roman" w:hAnsi="Times New Roman" w:eastAsia="楷体" w:cs="Times New Roman"/>
                <w:b/>
                <w:bCs/>
                <w:i w:val="0"/>
                <w:color w:val="000000"/>
                <w:kern w:val="0"/>
                <w:sz w:val="24"/>
                <w:szCs w:val="24"/>
                <w:highlight w:val="none"/>
                <w:u w:val="none"/>
                <w:lang w:val="en-US" w:eastAsia="zh-CN" w:bidi="ar"/>
              </w:rPr>
              <w:t>实施周期三级指标目标值</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b/>
                <w:bCs/>
                <w:i w:val="0"/>
                <w:color w:val="000000"/>
                <w:sz w:val="24"/>
                <w:szCs w:val="24"/>
                <w:highlight w:val="none"/>
                <w:u w:val="none"/>
              </w:rPr>
            </w:pPr>
            <w:r>
              <w:rPr>
                <w:rFonts w:hint="default" w:ascii="Times New Roman" w:hAnsi="Times New Roman" w:eastAsia="楷体" w:cs="Times New Roman"/>
                <w:b/>
                <w:bCs/>
                <w:i w:val="0"/>
                <w:color w:val="000000"/>
                <w:kern w:val="0"/>
                <w:sz w:val="24"/>
                <w:szCs w:val="24"/>
                <w:highlight w:val="none"/>
                <w:u w:val="none"/>
                <w:lang w:val="en-US" w:eastAsia="zh-CN" w:bidi="ar"/>
              </w:rPr>
              <w:t>指标完成情况</w:t>
            </w:r>
          </w:p>
        </w:tc>
      </w:tr>
      <w:tr>
        <w:tblPrEx>
          <w:shd w:val="clear" w:color="auto" w:fill="auto"/>
          <w:tblLayout w:type="fixed"/>
          <w:tblCellMar>
            <w:top w:w="0" w:type="dxa"/>
            <w:left w:w="0" w:type="dxa"/>
            <w:bottom w:w="0" w:type="dxa"/>
            <w:right w:w="0" w:type="dxa"/>
          </w:tblCellMar>
        </w:tblPrEx>
        <w:trPr>
          <w:trHeight w:val="505"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产出指标</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数量指标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水质周报</w:t>
            </w:r>
          </w:p>
        </w:tc>
        <w:tc>
          <w:tcPr>
            <w:tcW w:w="2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52期/年</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 w:cs="Times New Roman"/>
                <w:i w:val="0"/>
                <w:color w:val="000000"/>
                <w:sz w:val="24"/>
                <w:szCs w:val="24"/>
                <w:highlight w:val="none"/>
                <w:u w:val="none"/>
                <w:lang w:eastAsia="zh-CN"/>
              </w:rPr>
            </w:pPr>
            <w:r>
              <w:rPr>
                <w:rFonts w:hint="default" w:ascii="Times New Roman" w:hAnsi="Times New Roman" w:eastAsia="楷体" w:cs="Times New Roman"/>
                <w:i w:val="0"/>
                <w:color w:val="000000"/>
                <w:kern w:val="0"/>
                <w:sz w:val="24"/>
                <w:szCs w:val="24"/>
                <w:highlight w:val="none"/>
                <w:u w:val="none"/>
                <w:lang w:val="en-US" w:eastAsia="zh-CN" w:bidi="ar"/>
              </w:rPr>
              <w:t>52期</w:t>
            </w:r>
            <w:r>
              <w:rPr>
                <w:rFonts w:hint="default" w:ascii="Times New Roman" w:hAnsi="Times New Roman" w:eastAsia="楷体" w:cs="Times New Roman"/>
                <w:i w:val="0"/>
                <w:color w:val="000000"/>
                <w:kern w:val="0"/>
                <w:sz w:val="24"/>
                <w:szCs w:val="24"/>
                <w:highlight w:val="none"/>
                <w:u w:val="none"/>
                <w:lang w:val="en-US" w:eastAsia="en-US" w:bidi="ar"/>
              </w:rPr>
              <w:t>/年</w:t>
            </w:r>
            <w:r>
              <w:rPr>
                <w:rFonts w:hint="eastAsia" w:eastAsia="楷体" w:cs="Times New Roman"/>
                <w:i w:val="0"/>
                <w:color w:val="000000"/>
                <w:kern w:val="0"/>
                <w:sz w:val="24"/>
                <w:szCs w:val="24"/>
                <w:highlight w:val="none"/>
                <w:u w:val="none"/>
                <w:lang w:val="en-US" w:eastAsia="zh-CN" w:bidi="ar"/>
              </w:rPr>
              <w:t>，100%完成</w:t>
            </w:r>
          </w:p>
        </w:tc>
      </w:tr>
      <w:tr>
        <w:tblPrEx>
          <w:shd w:val="clear" w:color="auto" w:fill="auto"/>
          <w:tblLayout w:type="fixed"/>
          <w:tblCellMar>
            <w:top w:w="0" w:type="dxa"/>
            <w:left w:w="0" w:type="dxa"/>
            <w:bottom w:w="0" w:type="dxa"/>
            <w:right w:w="0" w:type="dxa"/>
          </w:tblCellMar>
        </w:tblPrEx>
        <w:trPr>
          <w:trHeight w:val="467"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水质数据</w:t>
            </w:r>
          </w:p>
        </w:tc>
        <w:tc>
          <w:tcPr>
            <w:tcW w:w="2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≥20万个/年</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≥20万个</w:t>
            </w:r>
            <w:r>
              <w:rPr>
                <w:rFonts w:hint="default" w:ascii="Times New Roman" w:hAnsi="Times New Roman" w:eastAsia="楷体" w:cs="Times New Roman"/>
                <w:i w:val="0"/>
                <w:color w:val="000000"/>
                <w:kern w:val="0"/>
                <w:sz w:val="24"/>
                <w:szCs w:val="24"/>
                <w:highlight w:val="none"/>
                <w:u w:val="none"/>
                <w:lang w:val="en-US" w:eastAsia="en-US" w:bidi="ar"/>
              </w:rPr>
              <w:t>/年</w:t>
            </w:r>
            <w:r>
              <w:rPr>
                <w:rFonts w:hint="eastAsia" w:eastAsia="楷体" w:cs="Times New Roman"/>
                <w:i w:val="0"/>
                <w:color w:val="000000"/>
                <w:kern w:val="0"/>
                <w:sz w:val="24"/>
                <w:szCs w:val="24"/>
                <w:highlight w:val="none"/>
                <w:u w:val="none"/>
                <w:lang w:val="en-US" w:eastAsia="zh-CN" w:bidi="ar"/>
              </w:rPr>
              <w:t>，100%完成</w:t>
            </w:r>
          </w:p>
        </w:tc>
      </w:tr>
      <w:tr>
        <w:tblPrEx>
          <w:shd w:val="clear" w:color="auto" w:fill="auto"/>
          <w:tblLayout w:type="fixed"/>
          <w:tblCellMar>
            <w:top w:w="0" w:type="dxa"/>
            <w:left w:w="0" w:type="dxa"/>
            <w:bottom w:w="0" w:type="dxa"/>
            <w:right w:w="0" w:type="dxa"/>
          </w:tblCellMar>
        </w:tblPrEx>
        <w:trPr>
          <w:trHeight w:val="270"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网络连通地市数量</w:t>
            </w:r>
          </w:p>
        </w:tc>
        <w:tc>
          <w:tcPr>
            <w:tcW w:w="2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21个</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21</w:t>
            </w:r>
            <w:r>
              <w:rPr>
                <w:rFonts w:hint="default" w:ascii="Times New Roman" w:hAnsi="Times New Roman" w:eastAsia="楷体" w:cs="Times New Roman"/>
                <w:i w:val="0"/>
                <w:color w:val="000000"/>
                <w:kern w:val="0"/>
                <w:sz w:val="24"/>
                <w:szCs w:val="24"/>
                <w:highlight w:val="none"/>
                <w:u w:val="none"/>
                <w:lang w:val="en-US" w:eastAsia="en-US" w:bidi="ar"/>
              </w:rPr>
              <w:t>个</w:t>
            </w:r>
            <w:r>
              <w:rPr>
                <w:rFonts w:hint="eastAsia" w:eastAsia="楷体" w:cs="Times New Roman"/>
                <w:i w:val="0"/>
                <w:color w:val="000000"/>
                <w:kern w:val="0"/>
                <w:sz w:val="24"/>
                <w:szCs w:val="24"/>
                <w:highlight w:val="none"/>
                <w:u w:val="none"/>
                <w:lang w:val="en-US" w:eastAsia="zh-CN" w:bidi="ar"/>
              </w:rPr>
              <w:t>，100%完成</w:t>
            </w:r>
          </w:p>
        </w:tc>
      </w:tr>
      <w:tr>
        <w:tblPrEx>
          <w:shd w:val="clear" w:color="auto" w:fill="auto"/>
          <w:tblLayout w:type="fixed"/>
          <w:tblCellMar>
            <w:top w:w="0" w:type="dxa"/>
            <w:left w:w="0" w:type="dxa"/>
            <w:bottom w:w="0" w:type="dxa"/>
            <w:right w:w="0" w:type="dxa"/>
          </w:tblCellMar>
        </w:tblPrEx>
        <w:trPr>
          <w:trHeight w:val="270"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37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更新改造水站数目</w:t>
            </w:r>
          </w:p>
        </w:tc>
        <w:tc>
          <w:tcPr>
            <w:tcW w:w="2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6个</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 w:cs="Times New Roman"/>
                <w:i w:val="0"/>
                <w:color w:val="000000"/>
                <w:sz w:val="24"/>
                <w:szCs w:val="24"/>
                <w:highlight w:val="none"/>
                <w:u w:val="none"/>
                <w:lang w:eastAsia="zh-CN"/>
              </w:rPr>
            </w:pPr>
            <w:r>
              <w:rPr>
                <w:rFonts w:hint="default" w:ascii="Times New Roman" w:hAnsi="Times New Roman" w:eastAsia="楷体" w:cs="Times New Roman"/>
                <w:i w:val="0"/>
                <w:color w:val="000000"/>
                <w:kern w:val="0"/>
                <w:sz w:val="24"/>
                <w:szCs w:val="24"/>
                <w:highlight w:val="none"/>
                <w:u w:val="none"/>
                <w:lang w:val="en-US" w:eastAsia="zh-CN" w:bidi="ar"/>
              </w:rPr>
              <w:t>6</w:t>
            </w:r>
            <w:r>
              <w:rPr>
                <w:rFonts w:hint="default" w:ascii="Times New Roman" w:hAnsi="Times New Roman" w:eastAsia="楷体" w:cs="Times New Roman"/>
                <w:i w:val="0"/>
                <w:color w:val="000000"/>
                <w:kern w:val="0"/>
                <w:sz w:val="24"/>
                <w:szCs w:val="24"/>
                <w:highlight w:val="none"/>
                <w:u w:val="none"/>
                <w:lang w:val="en-US" w:eastAsia="en-US" w:bidi="ar"/>
              </w:rPr>
              <w:t>个</w:t>
            </w:r>
            <w:r>
              <w:rPr>
                <w:rFonts w:hint="eastAsia" w:eastAsia="楷体" w:cs="Times New Roman"/>
                <w:i w:val="0"/>
                <w:color w:val="000000"/>
                <w:kern w:val="0"/>
                <w:sz w:val="24"/>
                <w:szCs w:val="24"/>
                <w:highlight w:val="none"/>
                <w:u w:val="none"/>
                <w:lang w:val="en-US" w:eastAsia="zh-CN" w:bidi="ar"/>
              </w:rPr>
              <w:t>，100%完成</w:t>
            </w:r>
          </w:p>
        </w:tc>
      </w:tr>
      <w:tr>
        <w:tblPrEx>
          <w:shd w:val="clear" w:color="auto" w:fill="auto"/>
          <w:tblLayout w:type="fixed"/>
          <w:tblCellMar>
            <w:top w:w="0" w:type="dxa"/>
            <w:left w:w="0" w:type="dxa"/>
            <w:bottom w:w="0" w:type="dxa"/>
            <w:right w:w="0" w:type="dxa"/>
          </w:tblCellMar>
        </w:tblPrEx>
        <w:trPr>
          <w:trHeight w:val="450"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生态环境领域“十四五”规划</w:t>
            </w:r>
          </w:p>
        </w:tc>
        <w:tc>
          <w:tcPr>
            <w:tcW w:w="2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1份</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w:t>
            </w:r>
            <w:r>
              <w:rPr>
                <w:rFonts w:hint="default" w:ascii="Times New Roman" w:hAnsi="Times New Roman" w:eastAsia="楷体" w:cs="Times New Roman"/>
                <w:i w:val="0"/>
                <w:color w:val="000000"/>
                <w:kern w:val="0"/>
                <w:sz w:val="24"/>
                <w:szCs w:val="24"/>
                <w:highlight w:val="none"/>
                <w:u w:val="none"/>
                <w:lang w:val="en-US" w:eastAsia="en-US" w:bidi="ar"/>
              </w:rPr>
              <w:t>份</w:t>
            </w:r>
            <w:r>
              <w:rPr>
                <w:rFonts w:hint="eastAsia" w:eastAsia="楷体" w:cs="Times New Roman"/>
                <w:i w:val="0"/>
                <w:color w:val="000000"/>
                <w:kern w:val="0"/>
                <w:sz w:val="24"/>
                <w:szCs w:val="24"/>
                <w:highlight w:val="none"/>
                <w:u w:val="none"/>
                <w:lang w:val="en-US" w:eastAsia="zh-CN" w:bidi="ar"/>
              </w:rPr>
              <w:t>，100%完成</w:t>
            </w:r>
          </w:p>
        </w:tc>
      </w:tr>
      <w:tr>
        <w:tblPrEx>
          <w:shd w:val="clear" w:color="auto" w:fill="auto"/>
          <w:tblLayout w:type="fixed"/>
          <w:tblCellMar>
            <w:top w:w="0" w:type="dxa"/>
            <w:left w:w="0" w:type="dxa"/>
            <w:bottom w:w="0" w:type="dxa"/>
            <w:right w:w="0" w:type="dxa"/>
          </w:tblCellMar>
        </w:tblPrEx>
        <w:trPr>
          <w:trHeight w:val="450"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415" w:type="dxa"/>
            <w:vMerge w:val="restar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质量指标</w:t>
            </w:r>
          </w:p>
        </w:tc>
        <w:tc>
          <w:tcPr>
            <w:tcW w:w="137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仪器使用率</w:t>
            </w:r>
          </w:p>
        </w:tc>
        <w:tc>
          <w:tcPr>
            <w:tcW w:w="2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基本投入使用，个别暂无使用，如空气走航监测车因未取得车牌未投入使用。</w:t>
            </w:r>
            <w:r>
              <w:rPr>
                <w:rFonts w:hint="eastAsia" w:eastAsia="楷体" w:cs="Times New Roman"/>
                <w:i w:val="0"/>
                <w:color w:val="000000"/>
                <w:kern w:val="0"/>
                <w:sz w:val="24"/>
                <w:szCs w:val="24"/>
                <w:highlight w:val="none"/>
                <w:u w:val="none"/>
                <w:lang w:val="en-US" w:eastAsia="zh-CN" w:bidi="ar"/>
              </w:rPr>
              <w:t>100%完成</w:t>
            </w:r>
          </w:p>
        </w:tc>
      </w:tr>
      <w:tr>
        <w:tblPrEx>
          <w:shd w:val="clear" w:color="auto" w:fill="auto"/>
          <w:tblLayout w:type="fixed"/>
          <w:tblCellMar>
            <w:top w:w="0" w:type="dxa"/>
            <w:left w:w="0" w:type="dxa"/>
            <w:bottom w:w="0" w:type="dxa"/>
            <w:right w:w="0" w:type="dxa"/>
          </w:tblCellMar>
        </w:tblPrEx>
        <w:trPr>
          <w:trHeight w:val="270"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415" w:type="dxa"/>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37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项目验收合格率</w:t>
            </w:r>
          </w:p>
        </w:tc>
        <w:tc>
          <w:tcPr>
            <w:tcW w:w="2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100%</w:t>
            </w:r>
            <w:r>
              <w:rPr>
                <w:rFonts w:hint="eastAsia" w:eastAsia="楷体" w:cs="Times New Roman"/>
                <w:i w:val="0"/>
                <w:color w:val="000000"/>
                <w:kern w:val="0"/>
                <w:sz w:val="24"/>
                <w:szCs w:val="24"/>
                <w:highlight w:val="none"/>
                <w:u w:val="none"/>
                <w:lang w:val="en-US" w:eastAsia="zh-CN" w:bidi="ar"/>
              </w:rPr>
              <w:t>，100%完成</w:t>
            </w:r>
          </w:p>
        </w:tc>
      </w:tr>
      <w:tr>
        <w:tblPrEx>
          <w:shd w:val="clear" w:color="auto" w:fill="auto"/>
          <w:tblLayout w:type="fixed"/>
          <w:tblCellMar>
            <w:top w:w="0" w:type="dxa"/>
            <w:left w:w="0" w:type="dxa"/>
            <w:bottom w:w="0" w:type="dxa"/>
            <w:right w:w="0" w:type="dxa"/>
          </w:tblCellMar>
        </w:tblPrEx>
        <w:trPr>
          <w:trHeight w:val="270"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时效指标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工作完成时间</w:t>
            </w:r>
          </w:p>
        </w:tc>
        <w:tc>
          <w:tcPr>
            <w:tcW w:w="2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按计划完成</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基本按项目计划完成</w:t>
            </w:r>
            <w:r>
              <w:rPr>
                <w:rFonts w:hint="eastAsia" w:eastAsia="楷体" w:cs="Times New Roman"/>
                <w:i w:val="0"/>
                <w:color w:val="000000"/>
                <w:kern w:val="0"/>
                <w:sz w:val="24"/>
                <w:szCs w:val="24"/>
                <w:highlight w:val="none"/>
                <w:u w:val="none"/>
                <w:lang w:val="en-US" w:eastAsia="zh-CN" w:bidi="ar"/>
              </w:rPr>
              <w:t>，100%完成</w:t>
            </w:r>
          </w:p>
        </w:tc>
      </w:tr>
      <w:tr>
        <w:tblPrEx>
          <w:shd w:val="clear" w:color="auto" w:fill="auto"/>
          <w:tblLayout w:type="fixed"/>
          <w:tblCellMar>
            <w:top w:w="0" w:type="dxa"/>
            <w:left w:w="0" w:type="dxa"/>
            <w:bottom w:w="0" w:type="dxa"/>
            <w:right w:w="0" w:type="dxa"/>
          </w:tblCellMar>
        </w:tblPrEx>
        <w:trPr>
          <w:trHeight w:val="524"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成本指标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资金投入</w:t>
            </w:r>
          </w:p>
        </w:tc>
        <w:tc>
          <w:tcPr>
            <w:tcW w:w="2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不超出预算</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实际支出未超预算</w:t>
            </w:r>
            <w:r>
              <w:rPr>
                <w:rFonts w:hint="eastAsia" w:eastAsia="楷体" w:cs="Times New Roman"/>
                <w:i w:val="0"/>
                <w:color w:val="000000"/>
                <w:kern w:val="0"/>
                <w:sz w:val="24"/>
                <w:szCs w:val="24"/>
                <w:highlight w:val="none"/>
                <w:u w:val="none"/>
                <w:lang w:val="en-US" w:eastAsia="zh-CN" w:bidi="ar"/>
              </w:rPr>
              <w:t>，100%实现目标</w:t>
            </w:r>
          </w:p>
        </w:tc>
      </w:tr>
      <w:tr>
        <w:tblPrEx>
          <w:shd w:val="clear" w:color="auto" w:fill="auto"/>
          <w:tblLayout w:type="fixed"/>
          <w:tblCellMar>
            <w:top w:w="0" w:type="dxa"/>
            <w:left w:w="0" w:type="dxa"/>
            <w:bottom w:w="0" w:type="dxa"/>
            <w:right w:w="0" w:type="dxa"/>
          </w:tblCellMar>
        </w:tblPrEx>
        <w:trPr>
          <w:trHeight w:val="270"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效益指标</w:t>
            </w:r>
          </w:p>
        </w:tc>
        <w:tc>
          <w:tcPr>
            <w:tcW w:w="14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社会效益指标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应急监测工作响应率</w:t>
            </w:r>
          </w:p>
        </w:tc>
        <w:tc>
          <w:tcPr>
            <w:tcW w:w="2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100%</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100%</w:t>
            </w:r>
            <w:r>
              <w:rPr>
                <w:rFonts w:hint="eastAsia" w:eastAsia="楷体" w:cs="Times New Roman"/>
                <w:i w:val="0"/>
                <w:color w:val="000000"/>
                <w:kern w:val="0"/>
                <w:sz w:val="24"/>
                <w:szCs w:val="24"/>
                <w:highlight w:val="none"/>
                <w:u w:val="none"/>
                <w:lang w:val="en-US" w:eastAsia="zh-CN" w:bidi="ar"/>
              </w:rPr>
              <w:t>，100%完成</w:t>
            </w:r>
          </w:p>
        </w:tc>
      </w:tr>
      <w:tr>
        <w:tblPrEx>
          <w:shd w:val="clear" w:color="auto" w:fill="auto"/>
          <w:tblLayout w:type="fixed"/>
          <w:tblCellMar>
            <w:top w:w="0" w:type="dxa"/>
            <w:left w:w="0" w:type="dxa"/>
            <w:bottom w:w="0" w:type="dxa"/>
            <w:right w:w="0" w:type="dxa"/>
          </w:tblCellMar>
        </w:tblPrEx>
        <w:trPr>
          <w:trHeight w:val="270"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4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环境效益指标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地市环境监管能力</w:t>
            </w:r>
          </w:p>
        </w:tc>
        <w:tc>
          <w:tcPr>
            <w:tcW w:w="2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有效提升</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 w:cs="Times New Roman"/>
                <w:i w:val="0"/>
                <w:color w:val="000000"/>
                <w:sz w:val="24"/>
                <w:szCs w:val="24"/>
                <w:highlight w:val="none"/>
                <w:u w:val="none"/>
                <w:lang w:eastAsia="zh-CN"/>
              </w:rPr>
            </w:pPr>
            <w:r>
              <w:rPr>
                <w:rFonts w:hint="default" w:ascii="Times New Roman" w:hAnsi="Times New Roman" w:eastAsia="楷体" w:cs="Times New Roman"/>
                <w:i w:val="0"/>
                <w:color w:val="000000"/>
                <w:kern w:val="0"/>
                <w:sz w:val="24"/>
                <w:szCs w:val="24"/>
                <w:highlight w:val="none"/>
                <w:u w:val="none"/>
                <w:lang w:val="en-US" w:eastAsia="en-US" w:bidi="ar"/>
              </w:rPr>
              <w:t>有效提升</w:t>
            </w:r>
            <w:r>
              <w:rPr>
                <w:rFonts w:hint="eastAsia" w:eastAsia="楷体" w:cs="Times New Roman"/>
                <w:i w:val="0"/>
                <w:color w:val="000000"/>
                <w:kern w:val="0"/>
                <w:sz w:val="24"/>
                <w:szCs w:val="24"/>
                <w:highlight w:val="none"/>
                <w:u w:val="none"/>
                <w:lang w:val="en-US" w:eastAsia="zh-CN" w:bidi="ar"/>
              </w:rPr>
              <w:t>，100%完成</w:t>
            </w:r>
          </w:p>
        </w:tc>
      </w:tr>
      <w:tr>
        <w:tblPrEx>
          <w:shd w:val="clear" w:color="auto" w:fill="auto"/>
          <w:tblLayout w:type="fixed"/>
          <w:tblCellMar>
            <w:top w:w="0" w:type="dxa"/>
            <w:left w:w="0" w:type="dxa"/>
            <w:bottom w:w="0" w:type="dxa"/>
            <w:right w:w="0" w:type="dxa"/>
          </w:tblCellMar>
        </w:tblPrEx>
        <w:trPr>
          <w:trHeight w:val="270"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可持续影响指标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监测数据的有效性</w:t>
            </w:r>
          </w:p>
        </w:tc>
        <w:tc>
          <w:tcPr>
            <w:tcW w:w="2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长期</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 w:cs="Times New Roman"/>
                <w:i w:val="0"/>
                <w:color w:val="000000"/>
                <w:sz w:val="24"/>
                <w:szCs w:val="24"/>
                <w:highlight w:val="none"/>
                <w:u w:val="none"/>
                <w:lang w:eastAsia="zh-CN"/>
              </w:rPr>
            </w:pPr>
            <w:r>
              <w:rPr>
                <w:rFonts w:hint="default" w:ascii="Times New Roman" w:hAnsi="Times New Roman" w:eastAsia="楷体" w:cs="Times New Roman"/>
                <w:i w:val="0"/>
                <w:color w:val="000000"/>
                <w:kern w:val="0"/>
                <w:sz w:val="24"/>
                <w:szCs w:val="24"/>
                <w:highlight w:val="none"/>
                <w:u w:val="none"/>
                <w:lang w:val="en-US" w:eastAsia="en-US" w:bidi="ar"/>
              </w:rPr>
              <w:t>数据有效</w:t>
            </w:r>
            <w:r>
              <w:rPr>
                <w:rFonts w:hint="eastAsia" w:eastAsia="楷体" w:cs="Times New Roman"/>
                <w:i w:val="0"/>
                <w:color w:val="000000"/>
                <w:kern w:val="0"/>
                <w:sz w:val="24"/>
                <w:szCs w:val="24"/>
                <w:highlight w:val="none"/>
                <w:u w:val="none"/>
                <w:lang w:val="en-US" w:eastAsia="zh-CN" w:bidi="ar"/>
              </w:rPr>
              <w:t>，100%实现目标</w:t>
            </w:r>
          </w:p>
        </w:tc>
      </w:tr>
      <w:tr>
        <w:tblPrEx>
          <w:shd w:val="clear" w:color="auto" w:fill="auto"/>
          <w:tblLayout w:type="fixed"/>
          <w:tblCellMar>
            <w:top w:w="0" w:type="dxa"/>
            <w:left w:w="0" w:type="dxa"/>
            <w:bottom w:w="0" w:type="dxa"/>
            <w:right w:w="0" w:type="dxa"/>
          </w:tblCellMar>
        </w:tblPrEx>
        <w:trPr>
          <w:trHeight w:val="270"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楷体" w:cs="Times New Roman"/>
                <w:i w:val="0"/>
                <w:color w:val="000000"/>
                <w:sz w:val="24"/>
                <w:szCs w:val="24"/>
                <w:highlight w:val="none"/>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服务对象满意度指标</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服务对象满意度</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≥85%</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highlight w:val="none"/>
                <w:u w:val="none"/>
              </w:rPr>
            </w:pPr>
            <w:r>
              <w:rPr>
                <w:rFonts w:hint="default" w:ascii="Times New Roman" w:hAnsi="Times New Roman" w:eastAsia="楷体" w:cs="Times New Roman"/>
                <w:i w:val="0"/>
                <w:color w:val="000000"/>
                <w:kern w:val="0"/>
                <w:sz w:val="24"/>
                <w:szCs w:val="24"/>
                <w:highlight w:val="none"/>
                <w:u w:val="none"/>
                <w:lang w:val="en-US" w:eastAsia="zh-CN" w:bidi="ar"/>
              </w:rPr>
              <w:t>≥85%</w:t>
            </w:r>
            <w:r>
              <w:rPr>
                <w:rFonts w:hint="eastAsia" w:eastAsia="楷体" w:cs="Times New Roman"/>
                <w:i w:val="0"/>
                <w:color w:val="000000"/>
                <w:kern w:val="0"/>
                <w:sz w:val="24"/>
                <w:szCs w:val="24"/>
                <w:highlight w:val="none"/>
                <w:u w:val="none"/>
                <w:lang w:val="en-US" w:eastAsia="zh-CN" w:bidi="ar"/>
              </w:rPr>
              <w:t>，100%完成</w:t>
            </w:r>
          </w:p>
        </w:tc>
      </w:tr>
    </w:tbl>
    <w:p>
      <w:pPr>
        <w:pStyle w:val="2"/>
        <w:rPr>
          <w:rFonts w:hint="eastAsia"/>
          <w:highlight w:val="none"/>
        </w:rPr>
      </w:pPr>
    </w:p>
    <w:p>
      <w:pPr>
        <w:pStyle w:val="2"/>
        <w:rPr>
          <w:rFonts w:hint="eastAsia"/>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800" w:leftChars="0" w:right="0" w:rightChars="0" w:firstLine="0" w:firstLineChars="0"/>
        <w:jc w:val="both"/>
        <w:textAlignment w:val="auto"/>
        <w:outlineLvl w:val="2"/>
        <w:rPr>
          <w:highlight w:val="none"/>
        </w:rPr>
      </w:pPr>
      <w:bookmarkStart w:id="14" w:name="_Toc16720"/>
      <w:r>
        <w:rPr>
          <w:highlight w:val="none"/>
        </w:rPr>
        <w:t>专项资金分用途使用绩效</w:t>
      </w:r>
      <w:bookmarkEnd w:id="14"/>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）生态环境保护与监管能力建设-省市生态环境监测网络建设经费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2020年生态环境监测网络建设经费共计26,291.25万元，其中，补助省生态环境监测中心11,691.25万元、地市14,600万元。</w:t>
      </w:r>
      <w:r>
        <w:rPr>
          <w:rFonts w:hint="eastAsia"/>
          <w:color w:val="000000" w:themeColor="text1"/>
          <w:highlight w:val="none"/>
          <w:lang w:eastAsia="zh-CN"/>
          <w14:textFill>
            <w14:solidFill>
              <w14:schemeClr w14:val="tx1"/>
            </w14:solidFill>
          </w14:textFill>
        </w:rPr>
        <w:t>省生态环境监测中心</w:t>
      </w:r>
      <w:r>
        <w:rPr>
          <w:rFonts w:hint="eastAsia"/>
          <w:color w:val="000000" w:themeColor="text1"/>
          <w:highlight w:val="none"/>
          <w:lang w:val="en-US" w:eastAsia="zh-CN"/>
          <w14:textFill>
            <w14:solidFill>
              <w14:schemeClr w14:val="tx1"/>
            </w14:solidFill>
          </w14:textFill>
        </w:rPr>
        <w:t>11691.25万元主要用于“</w:t>
      </w:r>
      <w:r>
        <w:rPr>
          <w:rFonts w:hint="eastAsia"/>
          <w:color w:val="000000" w:themeColor="text1"/>
          <w:highlight w:val="none"/>
          <w:lang w:eastAsia="zh-CN"/>
          <w14:textFill>
            <w14:solidFill>
              <w14:schemeClr w14:val="tx1"/>
            </w14:solidFill>
          </w14:textFill>
        </w:rPr>
        <w:t>2020年全省环境监测人员培训、2020年广东省水质预警监测网络升级改造、东江流域智慧生态视频监控服务、2020年大气和水环境监测网络业务运转、颗粒物组分网建设（三期）、2020年区域空气质量预报预测业务续建、城市功能区声环境自动监测网络建设（二期）、广东省生态遥感监测中心（三期）建设、广东省环境监测中心监测仪器设备购置、全省生态环境监测网络互联互通标准化整合、广东省重点污染源专项监测、2020年广东省生态环境监测网络项目咨询设计及辅助管理、2020年华南区域土壤样品制备与流转中心运行</w:t>
      </w:r>
      <w:r>
        <w:rPr>
          <w:rFonts w:hint="eastAsia"/>
          <w:color w:val="000000" w:themeColor="text1"/>
          <w:highlight w:val="none"/>
          <w:lang w:val="en-US" w:eastAsia="zh-CN"/>
          <w14:textFill>
            <w14:solidFill>
              <w14:schemeClr w14:val="tx1"/>
            </w14:solidFill>
          </w14:textFill>
        </w:rPr>
        <w:t>”，共计13个项目。地市14,600万元主要用于补助21地市开展2020年生态环境常规监测业务及地市环境监测站仪器设备购置。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项目均按计划有序推进，成效较为显著，实现了预期目标: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一是水环境监测方面。基本完成6个超龄服役水站的升级改造，保障了全省水站正常运行和广东省地表水自动监测站及预警监控平台的日常维护，实现了对省控、国控水站实施统一数据审核、对省控水站统一运维，提升了数据审核流程和质量。通过采购服务方式完成了44个视频监控点位建设，以及对新建点位和已建的28个视频监控点位的3年运维服务。结合7*24h在线监控、AR增强现实技术、360全景视频、高空瞭望及预警报警，实现东江、韩江流域重点区域全要素、全天候、全方位视频监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二是大气环境监测方面。2020年新增3个颗粒物站点监测设备，初步构建了覆盖全省的大气颗粒物组分监测网；保障了全省大气自动监测站正常运行，为空气质量分析旬报、空气质量会商等方面提供了技术支撑。优化完善了空气质量预报预警系统功能，丰富预报产品，形成2020年广东省大气排放源清单，拓展未来30-40天数值预报功能技术，增强了大气污染综合诊断和来源追踪等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三是土壤环境监测方面。通过租赁广州市天河区龙洞中创孵化楼A4栋101号作为华南区域土壤样品制备与流转中心场地，加强了省级网土壤环境监测省级质控，提高了土壤无机样品制备与流转工作水平，保障了2020年省级网土壤样品制备与流转及质控样发放工作顺利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四是生态方面。基本完成卫星遥感数据及专题产品管理运营服务、自然保护区遥感监管业务服务、生态遥感野外核查业务服务、生态环境地面监测服务。在2018-2020年项目建设基础上，初步实现全省11类卫星遥感数据实时采集，初步具备6大类遥感业务数据管理能力、全省遥感应用服务及可视化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五是声环境监测方面。建成覆盖全省的城市功能区声环境自动监测网络，成为国内首个完全按照最新国标HJ906和HJ907相关技术要求建设的功能区声环境自动监测网络，实现了视频、录音与噪声测量的完美结合，在进行噪声测量的同时可采集现场的图像和声音，形象展示现场情况。</w:t>
      </w:r>
    </w:p>
    <w:p>
      <w:pPr>
        <w:pStyle w:val="2"/>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六是网络建设方面。基本完成全省21个地市通过环保专网接入实现互联互通调试；完成5个区域中心、16 个地市环境监测站网络升级改造；会议系统联通性达到98%。</w:t>
      </w:r>
    </w:p>
    <w:p>
      <w:pPr>
        <w:pStyle w:val="2"/>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七是圆满完成生态环境常规监测业务。各地市2020年度圆满完成国家和省要求的水、大气、土壤等方向生态环境常规监测业务。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八是仪器设备购置方面。通过财政资金的补助，省生态环境监测中心、各地市环境监测站结合实际购置了红外测油仪、全自动紫外测油仪、分光光度计、气相色谱质谱仪、全自动液液震荡萃取仪等一批仪器设备，极大地提高了监测效率和能力，提升了深入打好污染防治攻坚战技术支撑能力。</w:t>
      </w:r>
    </w:p>
    <w:p>
      <w:pPr>
        <w:pStyle w:val="2"/>
        <w:numPr>
          <w:ilvl w:val="0"/>
          <w:numId w:val="3"/>
        </w:numP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生态环境保护与监管能力建设-信息化项目预留经费</w:t>
      </w:r>
    </w:p>
    <w:p>
      <w:pPr>
        <w:pStyle w:val="2"/>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2020年信息化项目经费4,190.34万元主要用于支持“省生态环境厅2020年网络安全服务项目、省生态环境厅2020年信息化咨询服务项目、省生态环境厅2020年政务信息系统运行维护项目、省环境辐射监测中心2020年信息系统运维服务项目、省生态环境厅政务信息系统运营服务（2020年）项目、“三线一单”数据管理及应用平台（一期）项目、国垂环评系统与基层政务信息对接服务（2020年）项目、省生态环境厅公众网站及政务服务能力提升开发服务（2020年）项目、省生态环境厅环境监察与审计管理平台项目、辐射环境与应急监测系统（2020年）项目、生态环境宣传教育融媒化信息服务项目、固体废物环境监管能力建设（二期）项目”，共计12个项目，项目均有序推进，基本实现了预期目标。</w:t>
      </w:r>
    </w:p>
    <w:p>
      <w:pPr>
        <w:pStyle w:val="2"/>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通过项目的实施，一是有效保障了我厅信息网络安全、政务信息系统正常运行，提升了辅助决策能力、公共服务能力建设需求；二是通过开发“三线一单”数据管理及应用平台、环境监察与审计管理平台、辐射环境与应急监测系统、固体废物环境监管能力建设（二期）等业务支撑系统，显著提升了省生态环境厅生态环境治理体系和治理能力现代化能力。</w:t>
      </w:r>
    </w:p>
    <w:p>
      <w:pPr>
        <w:pStyle w:val="2"/>
        <w:numPr>
          <w:ilvl w:val="0"/>
          <w:numId w:val="4"/>
        </w:numP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生态环境保护与监管能力建设-专题专项工作经费</w:t>
      </w:r>
    </w:p>
    <w:p>
      <w:pPr>
        <w:keepNext w:val="0"/>
        <w:keepLines w:val="0"/>
        <w:pageBreakBefore w:val="0"/>
        <w:widowControl w:val="0"/>
        <w:kinsoku/>
        <w:wordWrap/>
        <w:overflowPunct/>
        <w:topLinePunct w:val="0"/>
        <w:autoSpaceDE w:val="0"/>
        <w:autoSpaceDN w:val="0"/>
        <w:bidi w:val="0"/>
        <w:adjustRightInd/>
        <w:snapToGrid/>
        <w:spacing w:before="0" w:after="0"/>
        <w:ind w:firstLine="640" w:firstLineChars="200"/>
        <w:jc w:val="both"/>
        <w:textAlignment w:val="auto"/>
        <w:rPr>
          <w:rFonts w:hint="eastAsia" w:ascii="Times New Roman" w:hAnsi="Times New Roman"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2020年</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专题专项工作经费</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12304.69万元主要用于开展与省生态环境部门履职关系紧密、围绕2020年度重点工作任务的决策咨询类、环境辅助和技术性等工作，强化生态环境技术支撑，推进生态环境治理体系和治理能力的现代化。</w:t>
      </w:r>
    </w:p>
    <w:p>
      <w:pPr>
        <w:keepNext w:val="0"/>
        <w:keepLines w:val="0"/>
        <w:pageBreakBefore w:val="0"/>
        <w:widowControl w:val="0"/>
        <w:kinsoku/>
        <w:wordWrap/>
        <w:overflowPunct/>
        <w:topLinePunct w:val="0"/>
        <w:autoSpaceDE w:val="0"/>
        <w:autoSpaceDN w:val="0"/>
        <w:bidi w:val="0"/>
        <w:adjustRightInd/>
        <w:snapToGrid/>
        <w:spacing w:before="0" w:after="0"/>
        <w:ind w:firstLine="640" w:firstLineChars="200"/>
        <w:jc w:val="both"/>
        <w:textAlignment w:val="auto"/>
        <w:rPr>
          <w:rFonts w:hint="eastAsia" w:ascii="Times New Roman" w:hAnsi="Times New Roman"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重点支持开展了大气污染防控精准攻坚咨询及第三方跟踪服务项目、广东省入河（海）排污口排查整治专项行动、重点国考断面现场检查与分析研判、广东省环境监测中心油品质量硫含量快速检测仪购置、广东省重点污染源监测与评估项目、2020年打赢蓝天保卫战环境管理决策科技支撑项目、广东省“六类”地下水监测井现状调查评估、广东省柴油货车污染治理攻坚战技术支撑、广东省生态状况变化（2015-2020年）遥感调查评估、大型纪录片《蓝天之下——习近平生态文明思想在广东的实践》、2020年广东省第二次全国污染源普查项目、基于第二次全国污染源普查的“一源一策”深度开发利用项目、广东省“十四五”生态环境保护规划编制及“十三五”环境保护规划终期评估、广东省生态环境形势跟踪研判及政策支撑分析、广东省居民环境与健康素养监测、宣传及科普项目、广东省生态环境损害赔偿制度改革成效评估、劣V类国考断面达标评估(二期)、广东省污染防治攻坚硬任务现场督导服务工作（二期）、广东省水功能区划与水环境功能区划整合优化项目（二期）等74个项目。</w:t>
      </w:r>
    </w:p>
    <w:p>
      <w:pPr>
        <w:keepNext w:val="0"/>
        <w:keepLines w:val="0"/>
        <w:pageBreakBefore w:val="0"/>
        <w:widowControl w:val="0"/>
        <w:kinsoku/>
        <w:wordWrap/>
        <w:overflowPunct/>
        <w:topLinePunct w:val="0"/>
        <w:autoSpaceDE w:val="0"/>
        <w:autoSpaceDN w:val="0"/>
        <w:bidi w:val="0"/>
        <w:adjustRightInd/>
        <w:snapToGrid/>
        <w:spacing w:before="0" w:after="0"/>
        <w:ind w:firstLine="640" w:firstLineChars="200"/>
        <w:jc w:val="both"/>
        <w:textAlignment w:val="auto"/>
        <w:rPr>
          <w:rFonts w:hint="eastAsia" w:ascii="Times New Roman" w:hAnsi="Times New Roman"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截至评价基准日，补助项目均高质量高标准地有序推进，产出成果共88份，应用效果符合预期，项目绩效目标基本实现，个别项目超额完成目标。通过财政资金的支持，圆满完成了国家和省委省政府部署的重点工作任务，省生态环境厅生态环境治理体系和治理能力现代化水平得到进一步提升，专题专项工作支撑我省</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生态环境保护</w:t>
      </w:r>
      <w:r>
        <w:rPr>
          <w:rFonts w:hint="eastAsia" w:ascii="Times New Roman" w:hAnsi="Times New Roman" w:cs="Times New Roman"/>
          <w:color w:val="000000" w:themeColor="text1"/>
          <w:sz w:val="32"/>
          <w:szCs w:val="32"/>
          <w:highlight w:val="none"/>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基础</w:t>
      </w:r>
      <w:r>
        <w:rPr>
          <w:rFonts w:hint="eastAsia" w:ascii="Times New Roman" w:hAnsi="Times New Roman" w:cs="Times New Roman"/>
          <w:color w:val="000000" w:themeColor="text1"/>
          <w:sz w:val="32"/>
          <w:szCs w:val="32"/>
          <w:highlight w:val="none"/>
          <w:lang w:eastAsia="zh-CN"/>
          <w14:textFill>
            <w14:solidFill>
              <w14:schemeClr w14:val="tx1"/>
            </w14:solidFill>
          </w14:textFill>
        </w:rPr>
        <w:t>作用得到进一步显现，为十四五继续推进全省生态环境保护工作打下了良好的基础。</w:t>
      </w:r>
    </w:p>
    <w:p>
      <w:pPr>
        <w:pStyle w:val="2"/>
        <w:numPr>
          <w:ilvl w:val="0"/>
          <w:numId w:val="4"/>
        </w:numPr>
        <w:ind w:left="0" w:leftChars="0" w:firstLine="640" w:firstLineChars="200"/>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生态环境保护与监管能力建设-地市环境监管能力建设</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2020年地市环境监管能力建设经费5350万元共支持汕头市、韶关市、河源市、梅州市、惠州市、汕尾市、阳江市、湛江市、茂名市、清远市、潮州市、揭阳市、云浮市共计13市开展环境监管能力建设，资金主要用于地市及各区县生态环境部门环境监管执法能力建设、环境应急监测能力建设、宣教及信息化能力建设、环境监察标准化建设、放射源在线监控系统建设、新增国控站点站房规范化建设、东江水质监管等方面。</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通过项目的实施，基层生态环境部门加强了宣教阵地建设，进一步推动了</w:t>
      </w:r>
      <w:r>
        <w:rPr>
          <w:rFonts w:ascii="Times New Roman" w:hAnsi="Times New Roman" w:eastAsia="仿宋_GB2312" w:cs="Times New Roman"/>
          <w:color w:val="000000" w:themeColor="text1"/>
          <w:sz w:val="32"/>
          <w:szCs w:val="32"/>
          <w:highlight w:val="none"/>
          <w14:textFill>
            <w14:solidFill>
              <w14:schemeClr w14:val="tx1"/>
            </w14:solidFill>
          </w14:textFill>
        </w:rPr>
        <w:t>构建立体高效的宣教动员体系</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建设；配备了调查取证、移动执法、数据分析等装备，</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完善了监测执法和应急装备，提升了执法现场快速检测和精准识别溯源能力，推进了</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执法能力标准化建设，</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提高了监管执法的针对性、科学性、时效性，环境监管能力建设得到有效提升，实现了预期目标。</w:t>
      </w:r>
    </w:p>
    <w:p>
      <w:pPr>
        <w:pStyle w:val="2"/>
        <w:numPr>
          <w:ilvl w:val="0"/>
          <w:numId w:val="5"/>
        </w:numP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生态环境保护与监管能力建设-重点污染源自动监控中心运行费</w:t>
      </w:r>
    </w:p>
    <w:p>
      <w:pPr>
        <w:pStyle w:val="2"/>
        <w:numPr>
          <w:ilvl w:val="0"/>
          <w:numId w:val="0"/>
        </w:numPr>
        <w:ind w:firstLine="640" w:firstLineChars="200"/>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2020年重点污染源自动监控中心运行费1125万元共补助了汕头、韶关、河源等15市用于运行、维护重点污染源自动监控系统，保障自动监控设施正常运行，提升自动监控监管水平。通过项目的实施，2020年完成重点污染源自动监控任务总数50.28万条，处理数量39.94万，年均传输有效率达到90%以上。在专项资金经费的支持下，重点污染源自动监控系统得到有效运行维护，保障了自动监控设施正常运行，提升了自动监控监管水平，圆满完成预期目标。</w:t>
      </w:r>
    </w:p>
    <w:p>
      <w:pPr>
        <w:pStyle w:val="2"/>
        <w:numPr>
          <w:ilvl w:val="0"/>
          <w:numId w:val="6"/>
        </w:numP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生态环境保护与监管能力建设-污染源监督性监测经费</w:t>
      </w:r>
    </w:p>
    <w:p>
      <w:pPr>
        <w:pStyle w:val="2"/>
        <w:numPr>
          <w:ilvl w:val="0"/>
          <w:numId w:val="0"/>
        </w:numPr>
        <w:ind w:firstLine="640" w:firstLineChars="200"/>
        <w:rPr>
          <w:rFonts w:hint="eastAsia" w:ascii="Times New Roman" w:hAnsi="Times New Roman" w:eastAsia="仿宋_GB2312" w:cs="Times New Roman"/>
          <w:color w:val="FF0000"/>
          <w:kern w:val="2"/>
          <w:sz w:val="32"/>
          <w:szCs w:val="32"/>
          <w:highlight w:val="none"/>
          <w:lang w:val="en-US" w:eastAsia="zh-CN" w:bidi="ar-SA"/>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2020年污染源监督性监测经费1000万元共补助了汕头、韶关、河源等15市开展辖区内污染源监督性监测工作，成效显著，圆满完成预期目标。一是15市按照执行的排放标准、环评及批复和排污许可证等要求，对辖区内重点排污单位进行至少1次的监督性监测，并在全国污染源监测信息管理与共享平台的公开端—重点排污单位监测信息公开平台等网站公开。二是按照“每省份自行监测评估排污单位数量不少于10%，抽测废气和废水排污单位数量各不少于100家”和“时间随机、对象随机”的原则开展相关工作，帮扶指导对象覆盖了我省21个市。</w:t>
      </w:r>
    </w:p>
    <w:p>
      <w:pPr>
        <w:pStyle w:val="2"/>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（7）生态环境保护与监管能力建设-“全面推进固定污染源排污许可清理整顿和2020年排污许可制工作”经费</w:t>
      </w:r>
    </w:p>
    <w:p>
      <w:pPr>
        <w:pStyle w:val="2"/>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2020年，我省紧紧围绕排污许可全覆盖工作目标，全力加快推进固定污染源排污许可清理整顿和2020年发证登记工作。“全面推进固定污染源排污许可清理整顿和2020年排污许可制工作”经费1620万元共补助了汕头、韶关、河源等15市开展相关工作。</w:t>
      </w:r>
    </w:p>
    <w:p>
      <w:pPr>
        <w:pStyle w:val="2"/>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通过项目的实施，圆满完成了预期目标。一是实现了全省固定污染源排污许可全覆盖。截至2020年9月底，汕头、韶关、河源、梅州、惠州、汕尾、江门、阳江、湛江、茂名、肇庆、清远、潮州、揭阳、云浮均按照国家要求完成排污许可全覆盖有关工作，各地市发证率和登记率均为100%。二是建立固定污染源排污许可清理整顿全覆盖包保机制，强化政策解读、多平台加强宣传，组织专家团队“一市一策”帮扶。截至2020年11月30日，在完成对69万余家固定污染源摸排工作的基础上，2020年全省共核发排污许可证约2.3万个，下达排污限期整改通知书2900余份，完成40万余家企业排污登记，对25万余家企业进行特殊情形分类标记。三是有序组织开展全覆盖“回头看”。自2020年10月起，采取省级重点抽查与地市全面自查相结合的方式，加快推动固定污染源排污许可全覆盖“回头看”。对底单完整性、分类准确性及发证登记合规性情况进行全面检查复核，并推动相关地市落实整改。截至11月30日，全省“回头看”纠正问题51619个，新增发证登记排污单位1.22万家，新增标记类排污单位0.03万家。</w:t>
      </w:r>
    </w:p>
    <w:p>
      <w:pPr>
        <w:pStyle w:val="2"/>
        <w:numPr>
          <w:ilvl w:val="0"/>
          <w:numId w:val="0"/>
        </w:numPr>
        <w:ind w:firstLine="640" w:firstLineChars="200"/>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（8）生态环境保护与监管能力建设-地市项目库建设经费</w:t>
      </w:r>
    </w:p>
    <w:p>
      <w:pPr>
        <w:pStyle w:val="2"/>
        <w:numPr>
          <w:ilvl w:val="0"/>
          <w:numId w:val="0"/>
        </w:numPr>
        <w:ind w:firstLine="640" w:firstLineChars="200"/>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项目库是链接财政资金与部门业务的重要载体，</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项目库建设是资金管理工作的关键环节，项目储备质量是影响资金支出和使用</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绩效</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的重要因素</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按照省级预算编制执行监督管理改革要求，未纳入项目库的项目原则上不得安排资金。为进一步加强市级项目库建设，强化项目储备，推动地市围绕污染防治攻坚战组织策划一批项目成熟度高、实施效果好的项目。2020年地市项目库建设经费1000万元共支持粤东西北12市及江门、惠州、肇庆市共计15市开展市级项目库建设前期工作，成效较为显著。截至评价日，获得专项资金支持的15个市市级项目库项目储备总数约1414个，总投资约623亿元，较上一年度市级项目库储备数约增加600个（不含安排资金自动调整出库的项目），总投资约增加200亿元，项目储备数量和质量均显著提高，项目库建设取得积极成效，为深入打好污染防治攻坚战奠定了坚实的基础，实现了预期目标。</w:t>
      </w:r>
    </w:p>
    <w:p>
      <w:pPr>
        <w:pStyle w:val="2"/>
        <w:numPr>
          <w:ilvl w:val="0"/>
          <w:numId w:val="7"/>
        </w:numP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生态环境保护与监管能力建设-大气污染物现场监测执法设备购置经费</w:t>
      </w:r>
    </w:p>
    <w:p>
      <w:pPr>
        <w:pStyle w:val="2"/>
        <w:numPr>
          <w:ilvl w:val="0"/>
          <w:numId w:val="0"/>
        </w:numPr>
        <w:ind w:firstLine="640" w:firstLineChars="200"/>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2020年大气污染物现场监测执法设备购置经费1540万元专项用于全省21市购置大气污染物现场监测执法设备，共购置VOC（PID）便携式手持监测设备、VOC（FID）便携式手持监测设备、移动源监测设备（包括不透光烟度计、OBD诊断仪、便携式车用尿素浓度计、便携式林格曼黑度检测仪）一批，其中，VOC（PID）便携式手持监测设备购置数量依据各地市大气污染物现场监测执法设备现状及工作任务等进行配备，VOC（FID）便携式手持监测设备各地市购置1台，移动源监测设备粤东西北地市及惠州、江门、肇庆市共15市各配置1套，通过项目的实施，有效提升了各地市VOC监测能力，为深入打好污染防治攻坚战和挥发性有机物治理提供了的基础保障和数据支撑，圆满完成预期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1"/>
        <w:rPr>
          <w:highlight w:val="none"/>
        </w:rPr>
      </w:pPr>
      <w:bookmarkStart w:id="15" w:name="_Toc4676"/>
      <w:r>
        <w:rPr>
          <w:rFonts w:hint="eastAsia"/>
          <w:highlight w:val="none"/>
          <w:lang w:val="en-US" w:eastAsia="zh-CN"/>
        </w:rPr>
        <w:t>（三）</w:t>
      </w:r>
      <w:r>
        <w:rPr>
          <w:highlight w:val="none"/>
        </w:rPr>
        <w:t>专项资金使用绩效存在的问题</w:t>
      </w:r>
      <w:bookmarkEnd w:id="15"/>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一是部分资金下达至评价基准日期限较短。项目的前期设计、招投标等工作环节较多，耗时较长，项目实施需要一定的周期，截至评价基准日，部分项目仍在实施中，资金的效益尚未充分显现。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二是</w:t>
      </w:r>
      <w:r>
        <w:rPr>
          <w:rFonts w:hint="eastAsia"/>
          <w:highlight w:val="none"/>
        </w:rPr>
        <w:t>个别项目实施进度滞后。受项目实施环境、项目调整</w:t>
      </w:r>
      <w:r>
        <w:rPr>
          <w:rFonts w:hint="eastAsia"/>
          <w:highlight w:val="none"/>
          <w:lang w:eastAsia="zh-CN"/>
        </w:rPr>
        <w:t>、</w:t>
      </w:r>
      <w:r>
        <w:rPr>
          <w:rFonts w:hint="eastAsia"/>
          <w:highlight w:val="none"/>
        </w:rPr>
        <w:t>疫情等因素影响，个别项目进度滞后，导致</w:t>
      </w:r>
      <w:r>
        <w:rPr>
          <w:rFonts w:hint="eastAsia"/>
          <w:highlight w:val="none"/>
          <w:lang w:eastAsia="zh-CN"/>
        </w:rPr>
        <w:t>项目</w:t>
      </w:r>
      <w:r>
        <w:rPr>
          <w:rFonts w:hint="eastAsia"/>
          <w:highlight w:val="none"/>
        </w:rPr>
        <w:t>绩效暂时无法实现。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0"/>
        <w:rPr>
          <w:rFonts w:hint="eastAsia" w:ascii="黑体" w:hAnsi="黑体" w:eastAsia="黑体" w:cs="黑体"/>
          <w:b w:val="0"/>
          <w:bCs w:val="0"/>
          <w:highlight w:val="none"/>
        </w:rPr>
      </w:pPr>
      <w:bookmarkStart w:id="16" w:name="_Toc6943"/>
      <w:r>
        <w:rPr>
          <w:rFonts w:hint="eastAsia" w:ascii="黑体" w:hAnsi="黑体" w:eastAsia="黑体" w:cs="黑体"/>
          <w:b w:val="0"/>
          <w:bCs w:val="0"/>
          <w:highlight w:val="none"/>
        </w:rPr>
        <w:t>三、改进意见</w:t>
      </w:r>
      <w:bookmarkEnd w:id="16"/>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一是是科学制定绩效评价标准。生态环境保护项目实施需要一定的周期，项目实施一年或不足一年就进行绩效评价，难以真实、准确地反映出项目绩效情况，建议下半年下达的资金可考虑顺延一年再开展绩效评价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highlight w:val="none"/>
        </w:rPr>
      </w:pPr>
      <w:r>
        <w:rPr>
          <w:highlight w:val="none"/>
        </w:rPr>
        <w:t>二是</w:t>
      </w:r>
      <w:r>
        <w:rPr>
          <w:rFonts w:hint="eastAsia"/>
          <w:highlight w:val="none"/>
        </w:rPr>
        <w:t>加快推进滞后项目的实施。建立项目监管台账，按清单定期跟进并督促进度滞后项目的实施，提高资金使用绩效。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仿宋_GB2312"/>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pStyle w:val="4"/>
                      <w:rPr>
                        <w:rFonts w:hint="eastAsia" w:eastAsia="仿宋_GB2312"/>
                        <w:sz w:val="1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79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仿宋_GB2312"/>
                              <w:sz w:val="18"/>
                              <w:lang w:eastAsia="zh-CN"/>
                            </w:rPr>
                          </w:pPr>
                          <w:r>
                            <w:rPr>
                              <w:rStyle w:val="10"/>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1</w:t>
                          </w:r>
                          <w:r>
                            <w:rPr>
                              <w:rFonts w:hint="eastAsia" w:ascii="宋体" w:hAnsi="宋体" w:eastAsia="宋体" w:cs="宋体"/>
                              <w:sz w:val="28"/>
                              <w:szCs w:val="28"/>
                            </w:rPr>
                            <w:fldChar w:fldCharType="end"/>
                          </w:r>
                          <w:r>
                            <w:rPr>
                              <w:rStyle w:val="10"/>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79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MSVG3AQAAVQMAAA4AAABkcnMvZTJvRG9jLnhtbK1TzY7TMBC+&#10;I/EOlu802WoX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uMxJUbcBAABVAwAADgAAAAAAAAABACAAAAAiAQAAZHJzL2Uyb0RvYy54bWxQSwUGAAAAAAYA&#10;BgBZAQAASwUAAAAA&#10;">
              <v:fill on="f" focussize="0,0"/>
              <v:stroke on="f" weight="1.25pt"/>
              <v:imagedata o:title=""/>
              <o:lock v:ext="edit" aspectratio="f"/>
              <v:textbox inset="0mm,0mm,0mm,0mm" style="mso-fit-shape-to-text:t;">
                <w:txbxContent>
                  <w:p>
                    <w:pPr>
                      <w:pStyle w:val="4"/>
                      <w:rPr>
                        <w:rFonts w:hint="eastAsia" w:eastAsia="仿宋_GB2312"/>
                        <w:sz w:val="18"/>
                        <w:lang w:eastAsia="zh-CN"/>
                      </w:rPr>
                    </w:pPr>
                    <w:r>
                      <w:rPr>
                        <w:rStyle w:val="10"/>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1</w:t>
                    </w:r>
                    <w:r>
                      <w:rPr>
                        <w:rFonts w:hint="eastAsia" w:ascii="宋体" w:hAnsi="宋体" w:eastAsia="宋体" w:cs="宋体"/>
                        <w:sz w:val="28"/>
                        <w:szCs w:val="28"/>
                      </w:rPr>
                      <w:fldChar w:fldCharType="end"/>
                    </w:r>
                    <w:r>
                      <w:rPr>
                        <w:rStyle w:val="10"/>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78151"/>
    <w:multiLevelType w:val="singleLevel"/>
    <w:tmpl w:val="88078151"/>
    <w:lvl w:ilvl="0" w:tentative="0">
      <w:start w:val="6"/>
      <w:numFmt w:val="decimal"/>
      <w:suff w:val="nothing"/>
      <w:lvlText w:val="（%1）"/>
      <w:lvlJc w:val="left"/>
    </w:lvl>
  </w:abstractNum>
  <w:abstractNum w:abstractNumId="1">
    <w:nsid w:val="AE1EA845"/>
    <w:multiLevelType w:val="singleLevel"/>
    <w:tmpl w:val="AE1EA845"/>
    <w:lvl w:ilvl="0" w:tentative="0">
      <w:start w:val="2"/>
      <w:numFmt w:val="decimal"/>
      <w:suff w:val="nothing"/>
      <w:lvlText w:val="（%1）"/>
      <w:lvlJc w:val="left"/>
    </w:lvl>
  </w:abstractNum>
  <w:abstractNum w:abstractNumId="2">
    <w:nsid w:val="CF109DC9"/>
    <w:multiLevelType w:val="singleLevel"/>
    <w:tmpl w:val="CF109DC9"/>
    <w:lvl w:ilvl="0" w:tentative="0">
      <w:start w:val="2"/>
      <w:numFmt w:val="decimal"/>
      <w:suff w:val="space"/>
      <w:lvlText w:val="%1."/>
      <w:lvlJc w:val="left"/>
      <w:pPr>
        <w:ind w:left="800" w:leftChars="0" w:firstLine="0" w:firstLineChars="0"/>
      </w:pPr>
    </w:lvl>
  </w:abstractNum>
  <w:abstractNum w:abstractNumId="3">
    <w:nsid w:val="02549CA8"/>
    <w:multiLevelType w:val="singleLevel"/>
    <w:tmpl w:val="02549CA8"/>
    <w:lvl w:ilvl="0" w:tentative="0">
      <w:start w:val="1"/>
      <w:numFmt w:val="decimal"/>
      <w:suff w:val="space"/>
      <w:lvlText w:val="%1."/>
      <w:lvlJc w:val="left"/>
    </w:lvl>
  </w:abstractNum>
  <w:abstractNum w:abstractNumId="4">
    <w:nsid w:val="64441588"/>
    <w:multiLevelType w:val="singleLevel"/>
    <w:tmpl w:val="64441588"/>
    <w:lvl w:ilvl="0" w:tentative="0">
      <w:start w:val="9"/>
      <w:numFmt w:val="decimal"/>
      <w:suff w:val="nothing"/>
      <w:lvlText w:val="（%1）"/>
      <w:lvlJc w:val="left"/>
    </w:lvl>
  </w:abstractNum>
  <w:abstractNum w:abstractNumId="5">
    <w:nsid w:val="6FF6FE87"/>
    <w:multiLevelType w:val="singleLevel"/>
    <w:tmpl w:val="6FF6FE87"/>
    <w:lvl w:ilvl="0" w:tentative="0">
      <w:start w:val="5"/>
      <w:numFmt w:val="decimal"/>
      <w:suff w:val="nothing"/>
      <w:lvlText w:val="（%1）"/>
      <w:lvlJc w:val="left"/>
    </w:lvl>
  </w:abstractNum>
  <w:abstractNum w:abstractNumId="6">
    <w:nsid w:val="7B373B92"/>
    <w:multiLevelType w:val="singleLevel"/>
    <w:tmpl w:val="7B373B92"/>
    <w:lvl w:ilvl="0" w:tentative="0">
      <w:start w:val="3"/>
      <w:numFmt w:val="decimal"/>
      <w:suff w:val="nothing"/>
      <w:lvlText w:val="（%1）"/>
      <w:lvlJc w:val="left"/>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86AB9"/>
    <w:rsid w:val="02A431DF"/>
    <w:rsid w:val="03242C2A"/>
    <w:rsid w:val="03427DCB"/>
    <w:rsid w:val="04111A3B"/>
    <w:rsid w:val="04204473"/>
    <w:rsid w:val="08856888"/>
    <w:rsid w:val="09D9711D"/>
    <w:rsid w:val="0A1A778E"/>
    <w:rsid w:val="0B30556A"/>
    <w:rsid w:val="0B7D0E35"/>
    <w:rsid w:val="0D1874FE"/>
    <w:rsid w:val="0E5B6CD7"/>
    <w:rsid w:val="10224873"/>
    <w:rsid w:val="102718FB"/>
    <w:rsid w:val="10906218"/>
    <w:rsid w:val="11E11491"/>
    <w:rsid w:val="12146895"/>
    <w:rsid w:val="148152FA"/>
    <w:rsid w:val="17331636"/>
    <w:rsid w:val="17782CEF"/>
    <w:rsid w:val="177F4170"/>
    <w:rsid w:val="17877AFB"/>
    <w:rsid w:val="18235F7E"/>
    <w:rsid w:val="1A072415"/>
    <w:rsid w:val="1A73555E"/>
    <w:rsid w:val="1C450714"/>
    <w:rsid w:val="1DB2284A"/>
    <w:rsid w:val="1DBC4C34"/>
    <w:rsid w:val="1E747FE3"/>
    <w:rsid w:val="1F1650E8"/>
    <w:rsid w:val="1F1814D8"/>
    <w:rsid w:val="1F7805AE"/>
    <w:rsid w:val="206C1CAD"/>
    <w:rsid w:val="217D34E3"/>
    <w:rsid w:val="219A682A"/>
    <w:rsid w:val="220138BB"/>
    <w:rsid w:val="22765806"/>
    <w:rsid w:val="24C86AB9"/>
    <w:rsid w:val="25154B3D"/>
    <w:rsid w:val="25566D5E"/>
    <w:rsid w:val="26580153"/>
    <w:rsid w:val="26921981"/>
    <w:rsid w:val="2AD40BCC"/>
    <w:rsid w:val="2ADB08BE"/>
    <w:rsid w:val="2AEC069A"/>
    <w:rsid w:val="2BAD0398"/>
    <w:rsid w:val="2EA871A1"/>
    <w:rsid w:val="2EC853AF"/>
    <w:rsid w:val="2F3D16A7"/>
    <w:rsid w:val="2FBF5E7D"/>
    <w:rsid w:val="2FFB32DA"/>
    <w:rsid w:val="314422AF"/>
    <w:rsid w:val="314D160A"/>
    <w:rsid w:val="34EF16E8"/>
    <w:rsid w:val="36824844"/>
    <w:rsid w:val="3695351F"/>
    <w:rsid w:val="3739418C"/>
    <w:rsid w:val="39E86F51"/>
    <w:rsid w:val="39F9063C"/>
    <w:rsid w:val="3AD05EF7"/>
    <w:rsid w:val="3B4403EE"/>
    <w:rsid w:val="3C176925"/>
    <w:rsid w:val="3E140C55"/>
    <w:rsid w:val="3FC75FF9"/>
    <w:rsid w:val="43EB7831"/>
    <w:rsid w:val="4446791F"/>
    <w:rsid w:val="453C1C0D"/>
    <w:rsid w:val="458F1F82"/>
    <w:rsid w:val="465765C7"/>
    <w:rsid w:val="47FD7A00"/>
    <w:rsid w:val="4DAA138F"/>
    <w:rsid w:val="4DCD4F4C"/>
    <w:rsid w:val="4E304255"/>
    <w:rsid w:val="4EA2092E"/>
    <w:rsid w:val="53115F98"/>
    <w:rsid w:val="5416450A"/>
    <w:rsid w:val="54320455"/>
    <w:rsid w:val="549B731D"/>
    <w:rsid w:val="5554634A"/>
    <w:rsid w:val="557E3C20"/>
    <w:rsid w:val="56520AE6"/>
    <w:rsid w:val="585C13F1"/>
    <w:rsid w:val="5B3D0C46"/>
    <w:rsid w:val="5FFA4358"/>
    <w:rsid w:val="6072623A"/>
    <w:rsid w:val="60D35755"/>
    <w:rsid w:val="61E80007"/>
    <w:rsid w:val="624E436E"/>
    <w:rsid w:val="62EC6CAE"/>
    <w:rsid w:val="63104C12"/>
    <w:rsid w:val="63DC41EF"/>
    <w:rsid w:val="65566979"/>
    <w:rsid w:val="65DF63D9"/>
    <w:rsid w:val="68CB0E70"/>
    <w:rsid w:val="68DB0F6F"/>
    <w:rsid w:val="691365D9"/>
    <w:rsid w:val="69586115"/>
    <w:rsid w:val="69BE62DC"/>
    <w:rsid w:val="69DC5530"/>
    <w:rsid w:val="6B503F31"/>
    <w:rsid w:val="6C91449E"/>
    <w:rsid w:val="6D165C87"/>
    <w:rsid w:val="6D7C2F97"/>
    <w:rsid w:val="6E7531B8"/>
    <w:rsid w:val="721B1DFD"/>
    <w:rsid w:val="73F43CFE"/>
    <w:rsid w:val="75B21911"/>
    <w:rsid w:val="75C2385E"/>
    <w:rsid w:val="776E2E43"/>
    <w:rsid w:val="785E5B8A"/>
    <w:rsid w:val="798D24B0"/>
    <w:rsid w:val="7AB53A77"/>
    <w:rsid w:val="7E255D3C"/>
    <w:rsid w:val="7E5323DB"/>
    <w:rsid w:val="7E7D4DE3"/>
    <w:rsid w:val="7F527A2E"/>
    <w:rsid w:val="7FB46C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link w:val="9"/>
    <w:semiHidden/>
    <w:qFormat/>
    <w:uiPriority w:val="0"/>
    <w:rPr>
      <w:rFonts w:ascii="Verdana" w:hAnsi="Verdana" w:cs="Times New Roman"/>
      <w:kern w:val="0"/>
      <w:sz w:val="20"/>
      <w:szCs w:val="20"/>
      <w:lang w:eastAsia="en-US"/>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Calibri" w:hAnsi="Calibri" w:eastAsia="宋体" w:cs="宋体"/>
      <w:kern w:val="2"/>
      <w:sz w:val="24"/>
      <w:szCs w:val="22"/>
      <w:lang w:val="en-US" w:eastAsia="zh-CN" w:bidi="ar-SA"/>
    </w:rPr>
  </w:style>
  <w:style w:type="paragraph" w:styleId="3">
    <w:name w:val="toc 3"/>
    <w:basedOn w:val="1"/>
    <w:next w:val="1"/>
    <w:qFormat/>
    <w:uiPriority w:val="0"/>
    <w:pPr>
      <w:ind w:left="840" w:leftChars="400"/>
    </w:pPr>
    <w:rPr>
      <w:rFonts w:ascii="Times New Roman" w:hAnsi="Times New Roman" w:cs="Times New Roman"/>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rPr>
      <w:rFonts w:ascii="Times New Roman" w:hAnsi="Times New Roman" w:cs="Times New Roman"/>
      <w:sz w:val="30"/>
    </w:rPr>
  </w:style>
  <w:style w:type="paragraph" w:styleId="7">
    <w:name w:val="toc 2"/>
    <w:basedOn w:val="1"/>
    <w:next w:val="1"/>
    <w:qFormat/>
    <w:uiPriority w:val="0"/>
    <w:pPr>
      <w:ind w:left="420" w:leftChars="200"/>
    </w:pPr>
    <w:rPr>
      <w:rFonts w:ascii="Times New Roman" w:hAnsi="Times New Roman" w:cs="Times New Roman"/>
      <w:sz w:val="30"/>
    </w:rPr>
  </w:style>
  <w:style w:type="paragraph" w:customStyle="1" w:styleId="9">
    <w:name w:val=" Char Char"/>
    <w:basedOn w:val="1"/>
    <w:link w:val="8"/>
    <w:qFormat/>
    <w:uiPriority w:val="0"/>
    <w:pPr>
      <w:widowControl/>
      <w:adjustRightInd w:val="0"/>
      <w:spacing w:after="160" w:line="240" w:lineRule="exact"/>
      <w:jc w:val="left"/>
    </w:pPr>
    <w:rPr>
      <w:rFonts w:ascii="Verdana" w:hAnsi="Verdana" w:cs="Times New Roman"/>
      <w:kern w:val="0"/>
      <w:sz w:val="20"/>
      <w:szCs w:val="20"/>
      <w:lang w:eastAsia="en-US"/>
    </w:rPr>
  </w:style>
  <w:style w:type="character" w:styleId="10">
    <w:name w:val="page number"/>
    <w:basedOn w:val="8"/>
    <w:qFormat/>
    <w:uiPriority w:val="0"/>
  </w:style>
  <w:style w:type="character" w:customStyle="1" w:styleId="12">
    <w:name w:val="font11"/>
    <w:qFormat/>
    <w:uiPriority w:val="0"/>
    <w:rPr>
      <w:rFonts w:ascii="仿宋_GB2312" w:hAnsi="Verdana" w:eastAsia="仿宋_GB2312" w:cs="仿宋_GB2312"/>
      <w:b/>
      <w:color w:val="000000"/>
      <w:kern w:val="0"/>
      <w:sz w:val="24"/>
      <w:szCs w:val="24"/>
      <w:u w:val="none"/>
      <w:lang w:eastAsia="en-US"/>
    </w:rPr>
  </w:style>
  <w:style w:type="character" w:customStyle="1" w:styleId="13">
    <w:name w:val="font41"/>
    <w:qFormat/>
    <w:uiPriority w:val="0"/>
    <w:rPr>
      <w:rFonts w:hint="eastAsia" w:ascii="仿宋_GB2312" w:hAnsi="Verdana" w:eastAsia="仿宋_GB2312" w:cs="仿宋_GB2312"/>
      <w:b/>
      <w:color w:val="000000"/>
      <w:kern w:val="0"/>
      <w:sz w:val="22"/>
      <w:szCs w:val="22"/>
      <w:u w:val="none"/>
      <w:lang w:eastAsia="en-US"/>
    </w:rPr>
  </w:style>
  <w:style w:type="character" w:customStyle="1" w:styleId="14">
    <w:name w:val="font61"/>
    <w:qFormat/>
    <w:uiPriority w:val="0"/>
    <w:rPr>
      <w:rFonts w:hint="default" w:ascii="Times New Roman" w:hAnsi="Times New Roman" w:eastAsia="宋体" w:cs="Times New Roman"/>
      <w:b/>
      <w:color w:val="000000"/>
      <w:kern w:val="0"/>
      <w:sz w:val="22"/>
      <w:szCs w:val="22"/>
      <w:u w:val="none"/>
      <w:lang w:eastAsia="en-US"/>
    </w:rPr>
  </w:style>
  <w:style w:type="character" w:customStyle="1" w:styleId="15">
    <w:name w:val="font21"/>
    <w:qFormat/>
    <w:uiPriority w:val="0"/>
    <w:rPr>
      <w:rFonts w:hint="default" w:ascii="Times New Roman" w:hAnsi="Times New Roman" w:eastAsia="宋体" w:cs="Times New Roman"/>
      <w:color w:val="000000"/>
      <w:kern w:val="0"/>
      <w:sz w:val="22"/>
      <w:szCs w:val="22"/>
      <w:u w:val="none"/>
      <w:lang w:eastAsia="en-US"/>
    </w:rPr>
  </w:style>
  <w:style w:type="character" w:customStyle="1" w:styleId="16">
    <w:name w:val="font51"/>
    <w:qFormat/>
    <w:uiPriority w:val="0"/>
    <w:rPr>
      <w:rFonts w:hint="eastAsia" w:ascii="仿宋_GB2312" w:hAnsi="Verdana" w:eastAsia="仿宋_GB2312" w:cs="仿宋_GB2312"/>
      <w:color w:val="000000"/>
      <w:kern w:val="0"/>
      <w:sz w:val="22"/>
      <w:szCs w:val="22"/>
      <w:u w:val="none"/>
      <w:lang w:eastAsia="en-US"/>
    </w:rPr>
  </w:style>
  <w:style w:type="character" w:customStyle="1" w:styleId="17">
    <w:name w:val="font01"/>
    <w:qFormat/>
    <w:uiPriority w:val="0"/>
    <w:rPr>
      <w:rFonts w:hint="eastAsia" w:ascii="宋体" w:hAnsi="宋体" w:eastAsia="宋体" w:cs="宋体"/>
      <w:color w:val="000000"/>
      <w:kern w:val="0"/>
      <w:sz w:val="22"/>
      <w:szCs w:val="22"/>
      <w:u w:val="none"/>
      <w:lang w:eastAsia="en-US"/>
    </w:rPr>
  </w:style>
  <w:style w:type="character" w:customStyle="1" w:styleId="18">
    <w:name w:val="font31"/>
    <w:qFormat/>
    <w:uiPriority w:val="0"/>
    <w:rPr>
      <w:rFonts w:hint="default" w:ascii="Times New Roman" w:hAnsi="Times New Roman" w:eastAsia="宋体" w:cs="Times New Roman"/>
      <w:color w:val="000000"/>
      <w:kern w:val="0"/>
      <w:sz w:val="22"/>
      <w:szCs w:val="22"/>
      <w:u w:val="none"/>
      <w:lang w:eastAsia="en-US"/>
    </w:rPr>
  </w:style>
  <w:style w:type="character" w:customStyle="1" w:styleId="19">
    <w:name w:val="font101"/>
    <w:qFormat/>
    <w:uiPriority w:val="0"/>
    <w:rPr>
      <w:rFonts w:ascii="仿宋_GB2312" w:hAnsi="Verdana" w:eastAsia="仿宋_GB2312" w:cs="仿宋_GB2312"/>
      <w:b/>
      <w:color w:val="000000"/>
      <w:kern w:val="0"/>
      <w:sz w:val="22"/>
      <w:szCs w:val="22"/>
      <w:u w:val="none"/>
      <w:lang w:eastAsia="en-US"/>
    </w:rPr>
  </w:style>
  <w:style w:type="character" w:customStyle="1" w:styleId="20">
    <w:name w:val="font71"/>
    <w:qFormat/>
    <w:uiPriority w:val="0"/>
    <w:rPr>
      <w:rFonts w:hint="eastAsia" w:ascii="仿宋_GB2312" w:hAnsi="Verdana" w:eastAsia="仿宋_GB2312" w:cs="仿宋_GB2312"/>
      <w:b/>
      <w:color w:val="000000"/>
      <w:kern w:val="0"/>
      <w:sz w:val="22"/>
      <w:szCs w:val="22"/>
      <w:u w:val="none"/>
      <w:lang w:eastAsia="en-US"/>
    </w:rPr>
  </w:style>
  <w:style w:type="character" w:customStyle="1" w:styleId="21">
    <w:name w:val="font112"/>
    <w:qFormat/>
    <w:uiPriority w:val="0"/>
    <w:rPr>
      <w:rFonts w:hint="default" w:ascii="Times New Roman" w:hAnsi="Times New Roman" w:eastAsia="宋体" w:cs="Times New Roman"/>
      <w:b/>
      <w:color w:val="000000"/>
      <w:kern w:val="0"/>
      <w:sz w:val="22"/>
      <w:szCs w:val="22"/>
      <w:u w:val="none"/>
      <w:lang w:eastAsia="en-US"/>
    </w:rPr>
  </w:style>
  <w:style w:type="character" w:customStyle="1" w:styleId="22">
    <w:name w:val="font91"/>
    <w:qFormat/>
    <w:uiPriority w:val="0"/>
    <w:rPr>
      <w:rFonts w:hint="eastAsia" w:ascii="仿宋_GB2312" w:hAnsi="Verdana" w:eastAsia="仿宋_GB2312" w:cs="仿宋_GB2312"/>
      <w:b/>
      <w:color w:val="000000"/>
      <w:kern w:val="0"/>
      <w:sz w:val="22"/>
      <w:szCs w:val="22"/>
      <w:u w:val="none"/>
      <w:lang w:eastAsia="en-US"/>
    </w:rPr>
  </w:style>
  <w:style w:type="character" w:customStyle="1" w:styleId="23">
    <w:name w:val="font171"/>
    <w:qFormat/>
    <w:uiPriority w:val="0"/>
    <w:rPr>
      <w:rFonts w:hint="default" w:ascii="Times New Roman" w:hAnsi="Times New Roman" w:eastAsia="宋体" w:cs="Times New Roman"/>
      <w:b/>
      <w:color w:val="000000"/>
      <w:kern w:val="0"/>
      <w:sz w:val="22"/>
      <w:szCs w:val="22"/>
      <w:u w:val="none"/>
      <w:lang w:eastAsia="en-US"/>
    </w:rPr>
  </w:style>
  <w:style w:type="character" w:customStyle="1" w:styleId="24">
    <w:name w:val="font131"/>
    <w:qFormat/>
    <w:uiPriority w:val="0"/>
    <w:rPr>
      <w:rFonts w:hint="default" w:ascii="Times New Roman" w:hAnsi="Times New Roman" w:eastAsia="宋体" w:cs="Times New Roman"/>
      <w:color w:val="000000"/>
      <w:kern w:val="0"/>
      <w:sz w:val="22"/>
      <w:szCs w:val="22"/>
      <w:u w:val="none"/>
      <w:lang w:eastAsia="en-US"/>
    </w:rPr>
  </w:style>
  <w:style w:type="character" w:customStyle="1" w:styleId="25">
    <w:name w:val="font81"/>
    <w:basedOn w:val="8"/>
    <w:qFormat/>
    <w:uiPriority w:val="0"/>
    <w:rPr>
      <w:rFonts w:hint="eastAsia" w:ascii="仿宋" w:hAnsi="仿宋" w:eastAsia="仿宋" w:cs="仿宋"/>
      <w:color w:val="000000"/>
      <w:sz w:val="24"/>
      <w:szCs w:val="24"/>
      <w:u w:val="none"/>
    </w:rPr>
  </w:style>
  <w:style w:type="character" w:customStyle="1" w:styleId="26">
    <w:name w:val="NormalCharacter"/>
    <w:qFormat/>
    <w:uiPriority w:val="0"/>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0</Words>
  <Characters>0</Characters>
  <Lines>0</Lines>
  <Paragraphs>0</Paragraphs>
  <TotalTime>28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2020-06-18T01:55:00Z</dcterms:created>
  <dc:creator>孟祥田</dc:creator>
  <cp:lastModifiedBy>韩彬</cp:lastModifiedBy>
  <dcterms:modified xsi:type="dcterms:W3CDTF">2021-11-04T07:52:08Z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