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autoSpaceDE/>
        <w:autoSpaceDN/>
        <w:adjustRightInd/>
        <w:spacing w:line="560" w:lineRule="exact"/>
        <w:jc w:val="center"/>
        <w:outlineLvl w:val="9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地市</w:t>
      </w:r>
      <w:r>
        <w:rPr>
          <w:rFonts w:hint="eastAsia" w:eastAsia="黑体" w:cs="Times New Roman"/>
          <w:sz w:val="36"/>
          <w:szCs w:val="36"/>
          <w:highlight w:val="none"/>
          <w:lang w:val="en-US" w:eastAsia="zh-CN"/>
        </w:rPr>
        <w:t>资金安排计划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表</w:t>
      </w: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adjustRightInd/>
        <w:jc w:val="right"/>
        <w:outlineLvl w:val="9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highlight w:val="none"/>
          <w:lang w:val="en-US" w:eastAsia="zh-CN"/>
        </w:rPr>
      </w:pPr>
      <w:r>
        <w:rPr>
          <w:rStyle w:val="6"/>
          <w:rFonts w:hint="default" w:ascii="Times New Roman" w:hAnsi="Times New Roman" w:eastAsia="楷体_GB2312" w:cs="Times New Roman"/>
          <w:b w:val="0"/>
          <w:bCs w:val="0"/>
          <w:sz w:val="28"/>
          <w:szCs w:val="28"/>
          <w:lang w:bidi="ar"/>
        </w:rPr>
        <w:t>单位：万元</w:t>
      </w:r>
    </w:p>
    <w:tbl>
      <w:tblPr>
        <w:tblStyle w:val="5"/>
        <w:tblW w:w="21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455"/>
        <w:gridCol w:w="1860"/>
        <w:gridCol w:w="1801"/>
        <w:gridCol w:w="1802"/>
        <w:gridCol w:w="1518"/>
        <w:gridCol w:w="1457"/>
        <w:gridCol w:w="1457"/>
        <w:gridCol w:w="1456"/>
        <w:gridCol w:w="1457"/>
        <w:gridCol w:w="2064"/>
        <w:gridCol w:w="1457"/>
        <w:gridCol w:w="145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水污染防治和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省内外流域生态补偿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近岸海域污染防治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土壤和地下水污染防治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固体废物和化学品污染防治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核与辐射安全及污染防治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碳达峰、碳中和等应对气候变化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生态环境监测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生态环境执法和应急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17105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16565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16690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9830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7835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10130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14050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12240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7530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8115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197300</w:t>
            </w:r>
          </w:p>
        </w:tc>
        <w:tc>
          <w:tcPr>
            <w:tcW w:w="18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67900</w:t>
            </w:r>
          </w:p>
        </w:tc>
        <w:tc>
          <w:tcPr>
            <w:tcW w:w="1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2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4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077E0"/>
    <w:rsid w:val="6E0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540" w:lineRule="exact"/>
      <w:jc w:val="left"/>
    </w:pPr>
    <w:rPr>
      <w:rFonts w:ascii="楷体_GB2312" w:eastAsia="楷体_GB2312"/>
      <w:szCs w:val="20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2021-12-10T11:14:00Z</dcterms:created>
  <dc:creator>张姝羽</dc:creator>
  <cp:lastModifiedBy>张姝羽</cp:lastModifiedBy>
  <dcterms:modified xsi:type="dcterms:W3CDTF">2021-12-10T11:15:08Z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