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560" w:lineRule="exact"/>
        <w:jc w:val="center"/>
        <w:rPr>
          <w:rFonts w:hint="eastAsia" w:ascii="Times New Roman" w:hAnsi="Times New Roman" w:eastAsia="仿宋" w:cs="Times New Roman"/>
          <w:b w:val="0"/>
          <w:bCs w:val="0"/>
          <w:kern w:val="2"/>
          <w:sz w:val="30"/>
          <w:szCs w:val="30"/>
          <w:lang w:val="en-US" w:eastAsia="zh-CN" w:bidi="ar-SA"/>
        </w:rPr>
      </w:pPr>
    </w:p>
    <w:p>
      <w:pPr>
        <w:pStyle w:val="2"/>
        <w:spacing w:line="560" w:lineRule="exact"/>
        <w:jc w:val="center"/>
        <w:rPr>
          <w:rFonts w:hint="eastAsia" w:ascii="Times New Roman" w:hAnsi="Times New Roman" w:eastAsia="仿宋" w:cs="Times New Roman"/>
          <w:kern w:val="2"/>
          <w:sz w:val="30"/>
          <w:szCs w:val="30"/>
          <w:lang w:val="en-US" w:eastAsia="zh-CN" w:bidi="ar-SA"/>
        </w:rPr>
      </w:pPr>
      <w:r>
        <w:rPr>
          <w:rFonts w:hint="eastAsia" w:ascii="Times New Roman" w:hAnsi="Times New Roman" w:eastAsia="仿宋" w:cs="Times New Roman"/>
          <w:b w:val="0"/>
          <w:bCs w:val="0"/>
          <w:kern w:val="2"/>
          <w:sz w:val="30"/>
          <w:szCs w:val="30"/>
          <w:lang w:val="en-US" w:eastAsia="zh-CN" w:bidi="ar-SA"/>
        </w:rPr>
        <w:t>广东省新化学物质环境管理登记制度落实情况与国际履约成效评估项</w:t>
      </w:r>
      <w:r>
        <w:rPr>
          <w:rFonts w:hint="eastAsia" w:ascii="Times New Roman" w:hAnsi="Times New Roman" w:eastAsia="仿宋" w:cs="Times New Roman"/>
          <w:b w:val="0"/>
          <w:bCs w:val="0"/>
          <w:sz w:val="30"/>
          <w:szCs w:val="30"/>
        </w:rPr>
        <w:t>目之子项目</w:t>
      </w:r>
      <w:r>
        <w:rPr>
          <w:rFonts w:hint="eastAsia" w:ascii="Times New Roman" w:hAnsi="Times New Roman" w:eastAsia="仿宋_GB2312" w:cs="Times New Roman"/>
          <w:kern w:val="2"/>
          <w:sz w:val="30"/>
          <w:szCs w:val="30"/>
          <w:lang w:val="en-US" w:eastAsia="zh-CN" w:bidi="ar-SA"/>
        </w:rPr>
        <w:t>全氟辛基磺酸以及盐类（</w:t>
      </w:r>
      <w:r>
        <w:rPr>
          <w:rFonts w:hint="eastAsia" w:ascii="Times New Roman" w:hAnsi="Times New Roman" w:eastAsia="仿宋" w:cs="Times New Roman"/>
          <w:b w:val="0"/>
          <w:bCs w:val="0"/>
          <w:sz w:val="30"/>
          <w:szCs w:val="30"/>
        </w:rPr>
        <w:t>PFOS</w:t>
      </w:r>
      <w:r>
        <w:rPr>
          <w:rFonts w:hint="eastAsia" w:ascii="Times New Roman" w:hAnsi="Times New Roman" w:eastAsia="仿宋" w:cs="Times New Roman"/>
          <w:b w:val="0"/>
          <w:bCs w:val="0"/>
          <w:sz w:val="30"/>
          <w:szCs w:val="30"/>
          <w:lang w:eastAsia="zh-CN"/>
        </w:rPr>
        <w:t>类</w:t>
      </w:r>
      <w:r>
        <w:rPr>
          <w:rFonts w:hint="eastAsia" w:ascii="Times New Roman" w:hAnsi="Times New Roman" w:eastAsia="仿宋_GB2312" w:cs="Times New Roman"/>
          <w:kern w:val="2"/>
          <w:sz w:val="30"/>
          <w:szCs w:val="30"/>
          <w:lang w:val="en-US" w:eastAsia="zh-CN" w:bidi="ar-SA"/>
        </w:rPr>
        <w:t>）</w:t>
      </w:r>
      <w:r>
        <w:rPr>
          <w:rFonts w:hint="eastAsia" w:ascii="Times New Roman" w:hAnsi="Times New Roman" w:eastAsia="仿宋" w:cs="Times New Roman"/>
          <w:b w:val="0"/>
          <w:bCs w:val="0"/>
          <w:sz w:val="30"/>
          <w:szCs w:val="30"/>
        </w:rPr>
        <w:t>与</w:t>
      </w:r>
      <w:r>
        <w:rPr>
          <w:rFonts w:hint="eastAsia" w:ascii="Times New Roman" w:hAnsi="Times New Roman" w:eastAsia="仿宋_GB2312" w:cs="Times New Roman"/>
          <w:kern w:val="2"/>
          <w:sz w:val="30"/>
          <w:szCs w:val="30"/>
          <w:lang w:val="en-US" w:eastAsia="zh-CN" w:bidi="ar-SA"/>
        </w:rPr>
        <w:t>全氟辛酸及其盐类（</w:t>
      </w:r>
      <w:r>
        <w:rPr>
          <w:rFonts w:hint="eastAsia" w:ascii="Times New Roman" w:hAnsi="Times New Roman" w:eastAsia="仿宋" w:cs="Times New Roman"/>
          <w:b w:val="0"/>
          <w:bCs w:val="0"/>
          <w:sz w:val="30"/>
          <w:szCs w:val="30"/>
        </w:rPr>
        <w:t>PFOA</w:t>
      </w:r>
      <w:r>
        <w:rPr>
          <w:rFonts w:hint="eastAsia" w:ascii="Times New Roman" w:hAnsi="Times New Roman" w:eastAsia="仿宋" w:cs="Times New Roman"/>
          <w:b w:val="0"/>
          <w:bCs w:val="0"/>
          <w:sz w:val="30"/>
          <w:szCs w:val="30"/>
          <w:lang w:eastAsia="zh-CN"/>
        </w:rPr>
        <w:t>类</w:t>
      </w:r>
      <w:r>
        <w:rPr>
          <w:rFonts w:hint="eastAsia" w:ascii="Times New Roman" w:hAnsi="Times New Roman" w:eastAsia="仿宋_GB2312" w:cs="Times New Roman"/>
          <w:kern w:val="2"/>
          <w:sz w:val="30"/>
          <w:szCs w:val="30"/>
          <w:lang w:val="en-US" w:eastAsia="zh-CN" w:bidi="ar-SA"/>
        </w:rPr>
        <w:t>）</w:t>
      </w:r>
      <w:r>
        <w:rPr>
          <w:rFonts w:hint="eastAsia" w:ascii="Times New Roman" w:hAnsi="Times New Roman" w:eastAsia="仿宋" w:cs="Times New Roman"/>
          <w:b w:val="0"/>
          <w:bCs w:val="0"/>
          <w:sz w:val="30"/>
          <w:szCs w:val="30"/>
        </w:rPr>
        <w:t>禁用现状与无毒替代评估</w:t>
      </w:r>
      <w:r>
        <w:rPr>
          <w:rFonts w:hint="eastAsia" w:ascii="Times New Roman" w:hAnsi="Times New Roman" w:eastAsia="仿宋" w:cs="Times New Roman"/>
          <w:b w:val="0"/>
          <w:bCs w:val="0"/>
          <w:kern w:val="2"/>
          <w:sz w:val="30"/>
          <w:szCs w:val="30"/>
          <w:lang w:val="en-US" w:eastAsia="zh-CN" w:bidi="ar-SA"/>
        </w:rPr>
        <w:t>项目需求</w:t>
      </w:r>
    </w:p>
    <w:p>
      <w:pPr>
        <w:pStyle w:val="3"/>
        <w:keepNext w:val="0"/>
        <w:keepLines w:val="0"/>
        <w:pageBreakBefore w:val="0"/>
        <w:widowControl/>
        <w:kinsoku/>
        <w:wordWrap/>
        <w:overflowPunct/>
        <w:topLinePunct w:val="0"/>
        <w:bidi w:val="0"/>
        <w:snapToGrid/>
        <w:spacing w:before="0" w:after="0" w:line="560" w:lineRule="exact"/>
        <w:ind w:firstLine="622" w:firstLineChars="200"/>
        <w:textAlignment w:val="auto"/>
        <w:rPr>
          <w:rFonts w:hint="eastAsia" w:ascii="仿宋" w:hAnsi="仿宋" w:eastAsia="仿宋" w:cs="仿宋"/>
          <w:b/>
          <w:sz w:val="31"/>
          <w:szCs w:val="31"/>
        </w:rPr>
      </w:pPr>
    </w:p>
    <w:p>
      <w:pPr>
        <w:pStyle w:val="3"/>
        <w:keepNext w:val="0"/>
        <w:keepLines w:val="0"/>
        <w:pageBreakBefore w:val="0"/>
        <w:widowControl/>
        <w:kinsoku/>
        <w:wordWrap/>
        <w:overflowPunct/>
        <w:topLinePunct w:val="0"/>
        <w:bidi w:val="0"/>
        <w:snapToGrid/>
        <w:spacing w:before="0" w:after="0" w:line="560" w:lineRule="exact"/>
        <w:ind w:firstLine="622" w:firstLineChars="200"/>
        <w:textAlignment w:val="auto"/>
        <w:rPr>
          <w:rFonts w:hint="eastAsia" w:ascii="仿宋" w:hAnsi="仿宋" w:eastAsia="仿宋" w:cs="仿宋"/>
          <w:b/>
          <w:sz w:val="31"/>
          <w:szCs w:val="31"/>
          <w:lang w:eastAsia="zh-CN"/>
        </w:rPr>
      </w:pPr>
      <w:r>
        <w:rPr>
          <w:rFonts w:hint="eastAsia" w:ascii="仿宋" w:hAnsi="仿宋" w:eastAsia="仿宋" w:cs="仿宋"/>
          <w:b/>
          <w:sz w:val="31"/>
          <w:szCs w:val="31"/>
        </w:rPr>
        <w:t>一、项目</w:t>
      </w:r>
      <w:r>
        <w:rPr>
          <w:rFonts w:hint="eastAsia" w:ascii="仿宋" w:hAnsi="仿宋" w:eastAsia="仿宋" w:cs="仿宋"/>
          <w:b/>
          <w:sz w:val="31"/>
          <w:szCs w:val="31"/>
          <w:lang w:eastAsia="zh-CN"/>
        </w:rPr>
        <w:t>概况</w:t>
      </w:r>
    </w:p>
    <w:p>
      <w:pPr>
        <w:numPr>
          <w:ilvl w:val="0"/>
          <w:numId w:val="0"/>
        </w:numPr>
        <w:snapToGrid w:val="0"/>
        <w:spacing w:line="560" w:lineRule="exact"/>
        <w:ind w:left="0" w:leftChars="0" w:firstLine="600" w:firstLineChars="200"/>
        <w:jc w:val="left"/>
        <w:rPr>
          <w:rFonts w:hint="default" w:ascii="Times New Roman" w:hAnsi="Times New Roman" w:eastAsia="仿宋" w:cs="Times New Roman"/>
          <w:b w:val="0"/>
          <w:bCs w:val="0"/>
          <w:sz w:val="30"/>
          <w:szCs w:val="30"/>
          <w:lang w:val="en-US" w:eastAsia="zh-CN"/>
        </w:rPr>
      </w:pPr>
      <w:r>
        <w:rPr>
          <w:rFonts w:hint="eastAsia" w:ascii="Times New Roman" w:hAnsi="Times New Roman" w:eastAsia="仿宋_GB2312" w:cs="Times New Roman"/>
          <w:kern w:val="2"/>
          <w:sz w:val="30"/>
          <w:szCs w:val="30"/>
          <w:lang w:val="en-US" w:eastAsia="zh-CN" w:bidi="ar-SA"/>
        </w:rPr>
        <w:t>（一）项目名称：</w:t>
      </w:r>
      <w:r>
        <w:rPr>
          <w:rFonts w:hint="eastAsia" w:ascii="Times New Roman" w:hAnsi="Times New Roman" w:eastAsia="仿宋" w:cs="Times New Roman"/>
          <w:b w:val="0"/>
          <w:bCs w:val="0"/>
          <w:kern w:val="2"/>
          <w:sz w:val="30"/>
          <w:szCs w:val="30"/>
          <w:lang w:val="en-US" w:eastAsia="zh-CN" w:bidi="ar-SA"/>
        </w:rPr>
        <w:t>广东省新化学物质环境管理登记制度落实情况与国际履约成效评估项</w:t>
      </w:r>
      <w:r>
        <w:rPr>
          <w:rFonts w:hint="eastAsia" w:ascii="Times New Roman" w:hAnsi="Times New Roman" w:eastAsia="仿宋" w:cs="Times New Roman"/>
          <w:b w:val="0"/>
          <w:bCs w:val="0"/>
          <w:sz w:val="30"/>
          <w:szCs w:val="30"/>
        </w:rPr>
        <w:t>目之子项目</w:t>
      </w:r>
      <w:r>
        <w:rPr>
          <w:rFonts w:hint="default" w:ascii="Times New Roman" w:hAnsi="Times New Roman" w:eastAsia="仿宋_GB2312" w:cs="Times New Roman"/>
          <w:kern w:val="2"/>
          <w:sz w:val="30"/>
          <w:szCs w:val="30"/>
          <w:lang w:val="en-US" w:eastAsia="zh-CN" w:bidi="ar-SA"/>
        </w:rPr>
        <w:t>全氟辛基磺酸以及盐类（</w:t>
      </w:r>
      <w:r>
        <w:rPr>
          <w:rFonts w:hint="default" w:ascii="Times New Roman" w:hAnsi="Times New Roman" w:eastAsia="仿宋" w:cs="Times New Roman"/>
          <w:b w:val="0"/>
          <w:bCs w:val="0"/>
          <w:sz w:val="30"/>
          <w:szCs w:val="30"/>
          <w:lang w:val="en-US" w:eastAsia="zh-CN"/>
        </w:rPr>
        <w:t>PFOS</w:t>
      </w:r>
      <w:r>
        <w:rPr>
          <w:rFonts w:hint="eastAsia" w:ascii="Times New Roman" w:hAnsi="Times New Roman" w:eastAsia="仿宋" w:cs="Times New Roman"/>
          <w:b w:val="0"/>
          <w:bCs w:val="0"/>
          <w:sz w:val="30"/>
          <w:szCs w:val="30"/>
          <w:lang w:val="en-US" w:eastAsia="zh-CN"/>
        </w:rPr>
        <w:t>类）</w:t>
      </w:r>
      <w:r>
        <w:rPr>
          <w:rFonts w:hint="default" w:ascii="Times New Roman" w:hAnsi="Times New Roman" w:eastAsia="仿宋" w:cs="Times New Roman"/>
          <w:b w:val="0"/>
          <w:bCs w:val="0"/>
          <w:sz w:val="30"/>
          <w:szCs w:val="30"/>
          <w:lang w:val="en-US" w:eastAsia="zh-CN"/>
        </w:rPr>
        <w:t>与</w:t>
      </w:r>
      <w:r>
        <w:rPr>
          <w:rFonts w:hint="default" w:ascii="Times New Roman" w:hAnsi="Times New Roman" w:eastAsia="仿宋_GB2312" w:cs="Times New Roman"/>
          <w:kern w:val="2"/>
          <w:sz w:val="30"/>
          <w:szCs w:val="30"/>
          <w:lang w:val="en-US" w:eastAsia="zh-CN" w:bidi="ar-SA"/>
        </w:rPr>
        <w:t>全氟辛酸及其盐类</w:t>
      </w:r>
      <w:r>
        <w:rPr>
          <w:rFonts w:hint="eastAsia" w:ascii="Times New Roman" w:hAnsi="Times New Roman" w:eastAsia="仿宋_GB2312" w:cs="Times New Roman"/>
          <w:kern w:val="2"/>
          <w:sz w:val="30"/>
          <w:szCs w:val="30"/>
          <w:lang w:val="en-US" w:eastAsia="zh-CN" w:bidi="ar-SA"/>
        </w:rPr>
        <w:t>（</w:t>
      </w:r>
      <w:r>
        <w:rPr>
          <w:rFonts w:hint="default" w:ascii="Times New Roman" w:hAnsi="Times New Roman" w:eastAsia="仿宋" w:cs="Times New Roman"/>
          <w:b w:val="0"/>
          <w:bCs w:val="0"/>
          <w:sz w:val="30"/>
          <w:szCs w:val="30"/>
          <w:lang w:val="en-US" w:eastAsia="zh-CN"/>
        </w:rPr>
        <w:t>PFOA</w:t>
      </w:r>
      <w:r>
        <w:rPr>
          <w:rFonts w:hint="eastAsia" w:ascii="Times New Roman" w:hAnsi="Times New Roman" w:eastAsia="仿宋" w:cs="Times New Roman"/>
          <w:b w:val="0"/>
          <w:bCs w:val="0"/>
          <w:sz w:val="30"/>
          <w:szCs w:val="30"/>
          <w:lang w:val="en-US" w:eastAsia="zh-CN"/>
        </w:rPr>
        <w:t>类</w:t>
      </w:r>
      <w:r>
        <w:rPr>
          <w:rFonts w:hint="eastAsia" w:ascii="Times New Roman" w:hAnsi="Times New Roman" w:eastAsia="仿宋_GB2312" w:cs="Times New Roman"/>
          <w:kern w:val="2"/>
          <w:sz w:val="30"/>
          <w:szCs w:val="30"/>
          <w:lang w:val="en-US" w:eastAsia="zh-CN" w:bidi="ar-SA"/>
        </w:rPr>
        <w:t>）</w:t>
      </w:r>
      <w:r>
        <w:rPr>
          <w:rFonts w:hint="default" w:ascii="Times New Roman" w:hAnsi="Times New Roman" w:eastAsia="仿宋" w:cs="Times New Roman"/>
          <w:b w:val="0"/>
          <w:bCs w:val="0"/>
          <w:sz w:val="30"/>
          <w:szCs w:val="30"/>
          <w:lang w:val="en-US" w:eastAsia="zh-CN"/>
        </w:rPr>
        <w:t>禁用现状与无毒替代评估</w:t>
      </w:r>
    </w:p>
    <w:p>
      <w:pPr>
        <w:numPr>
          <w:ilvl w:val="-1"/>
          <w:numId w:val="0"/>
        </w:numPr>
        <w:snapToGrid w:val="0"/>
        <w:spacing w:line="560" w:lineRule="exact"/>
        <w:ind w:left="0" w:leftChars="0" w:firstLine="600" w:firstLineChars="200"/>
        <w:jc w:val="left"/>
        <w:rPr>
          <w:rFonts w:hint="eastAsia" w:ascii="Times New Roman" w:hAnsi="Times New Roman" w:eastAsia="仿宋_GB2312" w:cs="Times New Roman"/>
          <w:kern w:val="2"/>
          <w:sz w:val="30"/>
          <w:szCs w:val="30"/>
          <w:lang w:val="en-US" w:eastAsia="zh-CN" w:bidi="ar-SA"/>
        </w:rPr>
      </w:pPr>
      <w:r>
        <w:rPr>
          <w:rFonts w:hint="eastAsia" w:ascii="Times New Roman" w:hAnsi="Times New Roman" w:eastAsia="仿宋_GB2312" w:cs="Times New Roman"/>
          <w:kern w:val="2"/>
          <w:sz w:val="30"/>
          <w:szCs w:val="30"/>
          <w:lang w:val="en-US" w:eastAsia="zh-CN" w:bidi="ar-SA"/>
        </w:rPr>
        <w:t>（二）项目预算：19.712万元</w:t>
      </w:r>
    </w:p>
    <w:p>
      <w:pPr>
        <w:pStyle w:val="2"/>
        <w:numPr>
          <w:ilvl w:val="-1"/>
          <w:numId w:val="0"/>
        </w:numPr>
        <w:spacing w:line="560" w:lineRule="exact"/>
        <w:ind w:right="17" w:rightChars="8" w:firstLine="600" w:firstLineChars="200"/>
        <w:rPr>
          <w:rFonts w:hint="eastAsia" w:ascii="Times New Roman" w:hAnsi="Times New Roman" w:eastAsia="仿宋_GB2312" w:cs="Times New Roman"/>
          <w:kern w:val="2"/>
          <w:sz w:val="30"/>
          <w:szCs w:val="30"/>
          <w:lang w:val="en-US" w:eastAsia="zh-CN" w:bidi="ar-SA"/>
        </w:rPr>
      </w:pPr>
      <w:r>
        <w:rPr>
          <w:rFonts w:hint="eastAsia" w:ascii="Times New Roman" w:eastAsia="仿宋_GB2312" w:cs="Times New Roman"/>
          <w:kern w:val="2"/>
          <w:sz w:val="30"/>
          <w:szCs w:val="30"/>
          <w:lang w:val="en-US" w:eastAsia="zh-CN" w:bidi="ar-SA"/>
        </w:rPr>
        <w:t>（三）</w:t>
      </w:r>
      <w:r>
        <w:rPr>
          <w:rFonts w:hint="eastAsia" w:ascii="Times New Roman" w:hAnsi="Times New Roman" w:eastAsia="仿宋_GB2312" w:cs="Times New Roman"/>
          <w:kern w:val="2"/>
          <w:sz w:val="30"/>
          <w:szCs w:val="30"/>
          <w:lang w:val="en-US" w:eastAsia="zh-CN" w:bidi="ar-SA"/>
        </w:rPr>
        <w:t>项目内容</w:t>
      </w:r>
    </w:p>
    <w:p>
      <w:pPr>
        <w:pStyle w:val="2"/>
        <w:numPr>
          <w:ilvl w:val="-1"/>
          <w:numId w:val="0"/>
        </w:numPr>
        <w:spacing w:line="560" w:lineRule="exact"/>
        <w:ind w:right="17" w:rightChars="8" w:firstLine="600" w:firstLineChars="200"/>
        <w:rPr>
          <w:rFonts w:hint="default" w:ascii="Times New Roman" w:hAnsi="Times New Roman" w:eastAsia="仿宋_GB2312" w:cs="Times New Roman"/>
          <w:kern w:val="2"/>
          <w:sz w:val="30"/>
          <w:szCs w:val="30"/>
          <w:lang w:val="en-US" w:eastAsia="zh-CN" w:bidi="ar-SA"/>
        </w:rPr>
      </w:pPr>
      <w:r>
        <w:rPr>
          <w:rFonts w:hint="eastAsia" w:ascii="Times New Roman" w:eastAsia="仿宋_GB2312" w:cs="Times New Roman"/>
          <w:kern w:val="2"/>
          <w:sz w:val="30"/>
          <w:szCs w:val="30"/>
          <w:lang w:val="en-US" w:eastAsia="zh-CN" w:bidi="ar-SA"/>
        </w:rPr>
        <w:t>掌</w:t>
      </w:r>
      <w:r>
        <w:rPr>
          <w:rFonts w:hint="default" w:ascii="Times New Roman" w:hAnsi="Times New Roman" w:eastAsia="仿宋_GB2312" w:cs="Times New Roman"/>
          <w:kern w:val="2"/>
          <w:sz w:val="30"/>
          <w:szCs w:val="30"/>
          <w:lang w:val="en-US" w:eastAsia="zh-CN" w:bidi="ar-SA"/>
        </w:rPr>
        <w:t>握辖区内国际公约管控物质替代品生产、使用情况，并加大替代技术研发及推广力度，重点开展广东省内国际化学品公约管控全氟辛基磺酸以及盐类（PFOS类）、全氟辛酸及其盐类（PFOA类）的禁用现状调查和替代品使用信息调查（种类、用量、工艺流程、环境排放途径等），并开展PFOS/PFOA的无毒替代评估，明确全省PFOS类和PFOA类物质生产使用和无毒替代现状，推动全省履约管控物质的替代。</w:t>
      </w:r>
    </w:p>
    <w:p>
      <w:pPr>
        <w:pStyle w:val="3"/>
        <w:keepNext w:val="0"/>
        <w:keepLines w:val="0"/>
        <w:pageBreakBefore w:val="0"/>
        <w:widowControl/>
        <w:numPr>
          <w:ilvl w:val="-1"/>
          <w:numId w:val="0"/>
        </w:numPr>
        <w:kinsoku/>
        <w:wordWrap/>
        <w:overflowPunct/>
        <w:topLinePunct w:val="0"/>
        <w:bidi w:val="0"/>
        <w:snapToGrid/>
        <w:spacing w:before="0" w:after="0" w:line="560" w:lineRule="exact"/>
        <w:ind w:left="0" w:leftChars="0" w:right="0" w:rightChars="0" w:firstLine="600" w:firstLineChars="200"/>
        <w:textAlignment w:val="auto"/>
        <w:rPr>
          <w:rFonts w:hint="eastAsia" w:ascii="Times New Roman" w:hAnsi="Times New Roman" w:eastAsia="仿宋_GB2312" w:cs="Times New Roman"/>
          <w:sz w:val="30"/>
          <w:szCs w:val="30"/>
          <w:lang w:eastAsia="zh-CN"/>
        </w:rPr>
      </w:pPr>
      <w:r>
        <w:rPr>
          <w:rFonts w:hint="eastAsia" w:ascii="Times New Roman" w:hAnsi="Times New Roman" w:eastAsia="仿宋_GB2312" w:cs="Times New Roman"/>
          <w:sz w:val="30"/>
          <w:szCs w:val="30"/>
          <w:lang w:eastAsia="zh-CN"/>
        </w:rPr>
        <w:t>（四）项目要求</w:t>
      </w:r>
    </w:p>
    <w:p>
      <w:pPr>
        <w:pStyle w:val="3"/>
        <w:keepNext w:val="0"/>
        <w:keepLines w:val="0"/>
        <w:pageBreakBefore w:val="0"/>
        <w:widowControl/>
        <w:numPr>
          <w:ilvl w:val="-1"/>
          <w:numId w:val="0"/>
        </w:numPr>
        <w:kinsoku/>
        <w:wordWrap/>
        <w:overflowPunct/>
        <w:topLinePunct w:val="0"/>
        <w:bidi w:val="0"/>
        <w:snapToGrid/>
        <w:spacing w:before="0" w:after="0" w:line="560" w:lineRule="exact"/>
        <w:ind w:left="420" w:leftChars="200" w:right="0" w:rightChars="0" w:firstLine="600" w:firstLineChars="200"/>
        <w:textAlignment w:val="auto"/>
        <w:rPr>
          <w:rFonts w:hint="eastAsia" w:ascii="Times New Roman" w:hAnsi="Times New Roman" w:eastAsia="仿宋_GB2312" w:cs="Times New Roman"/>
          <w:sz w:val="30"/>
          <w:szCs w:val="30"/>
          <w:lang w:eastAsia="zh-CN"/>
        </w:rPr>
      </w:pPr>
      <w:r>
        <w:rPr>
          <w:rFonts w:hint="eastAsia" w:ascii="Times New Roman" w:hAnsi="Times New Roman" w:eastAsia="仿宋_GB2312" w:cs="Times New Roman"/>
          <w:sz w:val="30"/>
          <w:szCs w:val="30"/>
          <w:lang w:val="en-US" w:eastAsia="zh-CN"/>
        </w:rPr>
        <w:t>2024年8月底前</w:t>
      </w:r>
      <w:r>
        <w:rPr>
          <w:rFonts w:hint="eastAsia" w:ascii="Times New Roman" w:hAnsi="Times New Roman" w:eastAsia="仿宋_GB2312" w:cs="Times New Roman"/>
          <w:sz w:val="30"/>
          <w:szCs w:val="30"/>
          <w:lang w:eastAsia="zh-CN"/>
        </w:rPr>
        <w:t>完成《广东省PFOS/ PFOA禁用及替代品使用现状调查报告》、《广东省PFOS/ PFOA无毒替代评估报告》和《广东省国际履约成效评估工作报告》，</w:t>
      </w:r>
      <w:r>
        <w:rPr>
          <w:rFonts w:hint="eastAsia" w:ascii="Times New Roman" w:hAnsi="Times New Roman" w:eastAsia="仿宋_GB2312" w:cs="Times New Roman"/>
          <w:sz w:val="30"/>
          <w:szCs w:val="30"/>
          <w:lang w:val="en-US" w:eastAsia="zh-CN"/>
        </w:rPr>
        <w:t>2024年12月10日前</w:t>
      </w:r>
      <w:r>
        <w:rPr>
          <w:rFonts w:hint="eastAsia" w:ascii="Times New Roman" w:hAnsi="Times New Roman" w:eastAsia="仿宋_GB2312" w:cs="Times New Roman"/>
          <w:sz w:val="30"/>
          <w:szCs w:val="30"/>
          <w:lang w:eastAsia="zh-CN"/>
        </w:rPr>
        <w:t>完成我方组织的项目验收。</w:t>
      </w:r>
      <w:bookmarkStart w:id="0" w:name="_GoBack"/>
      <w:bookmarkEnd w:id="0"/>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Autospacing="0" w:afterAutospacing="0" w:line="560" w:lineRule="exact"/>
        <w:ind w:left="0" w:right="0" w:firstLine="622" w:firstLineChars="200"/>
        <w:jc w:val="left"/>
        <w:textAlignment w:val="auto"/>
        <w:rPr>
          <w:rFonts w:hint="eastAsia" w:ascii="仿宋" w:hAnsi="仿宋" w:eastAsia="仿宋" w:cs="仿宋"/>
          <w:b/>
          <w:kern w:val="0"/>
          <w:sz w:val="31"/>
          <w:szCs w:val="31"/>
          <w:lang w:val="en-US" w:eastAsia="zh-CN" w:bidi="ar-SA"/>
        </w:rPr>
      </w:pPr>
      <w:r>
        <w:rPr>
          <w:rFonts w:hint="eastAsia" w:ascii="仿宋" w:hAnsi="仿宋" w:eastAsia="仿宋" w:cs="仿宋"/>
          <w:b/>
          <w:sz w:val="31"/>
          <w:szCs w:val="31"/>
          <w:lang w:eastAsia="zh-CN"/>
        </w:rPr>
        <w:t>二、投标材料清单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Autospacing="0" w:afterAutospacing="0" w:line="560" w:lineRule="exact"/>
        <w:ind w:left="0" w:right="0" w:firstLine="600" w:firstLineChars="200"/>
        <w:jc w:val="left"/>
        <w:textAlignment w:val="auto"/>
        <w:rPr>
          <w:rFonts w:hint="eastAsia" w:ascii="Times New Roman" w:hAnsi="Times New Roman" w:eastAsia="仿宋_GB2312" w:cs="Times New Roman"/>
          <w:kern w:val="0"/>
          <w:sz w:val="30"/>
          <w:szCs w:val="30"/>
          <w:lang w:val="en-US" w:eastAsia="zh-CN" w:bidi="ar-SA"/>
        </w:rPr>
      </w:pPr>
      <w:r>
        <w:rPr>
          <w:rFonts w:hint="eastAsia" w:ascii="Times New Roman" w:hAnsi="Times New Roman" w:eastAsia="仿宋_GB2312" w:cs="Times New Roman"/>
          <w:kern w:val="0"/>
          <w:sz w:val="30"/>
          <w:szCs w:val="30"/>
          <w:lang w:val="en-US" w:eastAsia="zh-CN" w:bidi="ar-SA"/>
        </w:rPr>
        <w:t>有效的企业法人营业执照，税务登记证，组织机构代码证书或有效的三证合一的新版营业执照，近年开展全氟辛基磺酸以及盐类（PFOS类）、全氟辛酸及其盐类（PFOA类）等国际公约管控物质统计和其替代物的相关调查、研究等工作的业绩文件，近年开展化学品环境管理与咨询、新污染物治理工作的业绩文件，项目技术方案，项目团队和主要人员资质及能力文件，报价文件等。中标后价格不予调整。</w:t>
      </w:r>
    </w:p>
    <w:p>
      <w:pPr>
        <w:pStyle w:val="3"/>
        <w:keepNext w:val="0"/>
        <w:keepLines w:val="0"/>
        <w:pageBreakBefore w:val="0"/>
        <w:widowControl/>
        <w:kinsoku/>
        <w:wordWrap/>
        <w:overflowPunct/>
        <w:topLinePunct w:val="0"/>
        <w:bidi w:val="0"/>
        <w:snapToGrid/>
        <w:spacing w:before="0" w:after="0" w:line="560" w:lineRule="exact"/>
        <w:ind w:left="0" w:firstLine="610" w:firstLineChars="196"/>
        <w:textAlignment w:val="auto"/>
        <w:rPr>
          <w:rFonts w:hint="eastAsia" w:ascii="仿宋" w:hAnsi="仿宋" w:eastAsia="仿宋" w:cs="仿宋"/>
          <w:b/>
          <w:sz w:val="31"/>
          <w:szCs w:val="31"/>
          <w:lang w:val="en-US" w:eastAsia="zh-CN"/>
        </w:rPr>
      </w:pPr>
      <w:r>
        <w:rPr>
          <w:rFonts w:hint="eastAsia" w:ascii="仿宋" w:hAnsi="仿宋" w:eastAsia="仿宋" w:cs="仿宋"/>
          <w:b/>
          <w:sz w:val="31"/>
          <w:szCs w:val="31"/>
          <w:lang w:val="en-US" w:eastAsia="zh-CN"/>
        </w:rPr>
        <w:t> 三、评标原则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Autospacing="0" w:afterAutospacing="0" w:line="560" w:lineRule="exact"/>
        <w:ind w:left="0" w:right="0" w:firstLine="600" w:firstLineChars="200"/>
        <w:jc w:val="left"/>
        <w:textAlignment w:val="auto"/>
        <w:rPr>
          <w:rFonts w:hint="eastAsia" w:ascii="Times New Roman" w:hAnsi="Times New Roman" w:eastAsia="仿宋_GB2312" w:cs="Times New Roman"/>
          <w:kern w:val="0"/>
          <w:sz w:val="30"/>
          <w:szCs w:val="30"/>
          <w:lang w:val="en-US" w:eastAsia="zh-CN" w:bidi="ar-SA"/>
        </w:rPr>
      </w:pPr>
      <w:r>
        <w:rPr>
          <w:rFonts w:hint="eastAsia" w:ascii="Times New Roman" w:hAnsi="Times New Roman" w:eastAsia="仿宋_GB2312" w:cs="Times New Roman"/>
          <w:kern w:val="0"/>
          <w:sz w:val="30"/>
          <w:szCs w:val="30"/>
          <w:lang w:val="en-US" w:eastAsia="zh-CN" w:bidi="ar-SA"/>
        </w:rPr>
        <w:t>中标原则为合理低价中标。由中心组织专家对各单位的投标文件进行评审并评出中标单位。若评审分数出现相同的情况，则考虑以最低价确定中标单位。</w:t>
      </w: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U2Y2QyZDI4MmJmOTVmNTdkZmE1OTFhNWY0ODliYzcifQ=="/>
  </w:docVars>
  <w:rsids>
    <w:rsidRoot w:val="3DEE1FCB"/>
    <w:rsid w:val="26FB473E"/>
    <w:rsid w:val="2B1C3FC8"/>
    <w:rsid w:val="3DEE1FCB"/>
    <w:rsid w:val="5A452A1F"/>
    <w:rsid w:val="731866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spacing w:line="500" w:lineRule="exact"/>
      <w:ind w:right="26" w:rightChars="8" w:firstLine="640"/>
    </w:pPr>
    <w:rPr>
      <w:rFonts w:ascii="楷体_GB2312" w:hAnsi="Times New Roman" w:eastAsia="楷体_GB2312" w:cs="Times New Roman"/>
      <w:sz w:val="30"/>
      <w:szCs w:val="32"/>
    </w:rPr>
  </w:style>
  <w:style w:type="paragraph" w:styleId="3">
    <w:name w:val="Normal (Web)"/>
    <w:basedOn w:val="1"/>
    <w:unhideWhenUsed/>
    <w:qFormat/>
    <w:uiPriority w:val="99"/>
    <w:pPr>
      <w:spacing w:before="75" w:beforeAutospacing="0" w:after="75" w:afterAutospacing="0"/>
      <w:ind w:left="0" w:right="0"/>
      <w:jc w:val="left"/>
    </w:pPr>
    <w:rPr>
      <w:kern w:val="0"/>
      <w:sz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Office_11.8.2.12094_F1E327BC-269C-435d-A152-05C5408002CA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2024-04-02T06:29:00Z</dcterms:created>
  <dc:creator>张静</dc:creator>
  <cp:lastModifiedBy>杨艳媚</cp:lastModifiedBy>
  <dcterms:modified xsi:type="dcterms:W3CDTF">2024-04-08T07:20:46Z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2052-11.8.2.12094</vt:lpwstr>
  </property>
  <property fmtid="{D5CDD505-2E9C-101B-9397-08002B2CF9AE}" pid="3" name="ICV">
    <vt:lpwstr>8A457D25B1ED44459286665014BEF6D9</vt:lpwstr>
  </property>
</Properties>
</file>