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D890">
      <w:pPr>
        <w:pStyle w:val="13"/>
        <w:widowControl/>
        <w:spacing w:beforeAutospacing="0" w:after="150" w:afterAutospacing="0" w:line="420" w:lineRule="atLeast"/>
        <w:jc w:val="center"/>
        <w:rPr>
          <w:rStyle w:val="18"/>
          <w:rFonts w:hint="eastAsia" w:ascii="黑体" w:hAnsi="黑体" w:eastAsia="黑体" w:cs="黑体"/>
          <w:b w:val="0"/>
          <w:sz w:val="32"/>
          <w:szCs w:val="32"/>
        </w:rPr>
      </w:pPr>
      <w:r>
        <w:rPr>
          <w:rStyle w:val="18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2025年广东省海洋生态监测船舶</w:t>
      </w:r>
      <w:r>
        <w:rPr>
          <w:rStyle w:val="18"/>
          <w:rFonts w:hint="eastAsia" w:ascii="黑体" w:hAnsi="黑体" w:eastAsia="黑体" w:cs="黑体"/>
          <w:b w:val="0"/>
          <w:sz w:val="32"/>
          <w:szCs w:val="32"/>
        </w:rPr>
        <w:t>服务</w:t>
      </w:r>
      <w:r>
        <w:rPr>
          <w:rStyle w:val="18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市场</w:t>
      </w:r>
      <w:r>
        <w:rPr>
          <w:rStyle w:val="18"/>
          <w:rFonts w:hint="eastAsia" w:ascii="黑体" w:hAnsi="黑体" w:eastAsia="黑体" w:cs="黑体"/>
          <w:b w:val="0"/>
          <w:sz w:val="32"/>
          <w:szCs w:val="32"/>
        </w:rPr>
        <w:t>调研信息表</w:t>
      </w:r>
    </w:p>
    <w:tbl>
      <w:tblPr>
        <w:tblStyle w:val="15"/>
        <w:tblW w:w="5184" w:type="pct"/>
        <w:tblInd w:w="-323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2566"/>
        <w:gridCol w:w="5760"/>
      </w:tblGrid>
      <w:tr w14:paraId="7F09377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B328F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序号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99540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调研内容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A8E1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情况介绍</w:t>
            </w:r>
          </w:p>
        </w:tc>
      </w:tr>
      <w:tr w14:paraId="29D02CF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768CD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87C38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企业名称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FAB72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bidi="ar"/>
              </w:rPr>
              <w:t>填写单位全称</w:t>
            </w:r>
          </w:p>
        </w:tc>
      </w:tr>
      <w:tr w14:paraId="3575668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9060D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48C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  <w:t>企业规模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B0B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  <w:t>注明级别大、中、小、小微企业</w:t>
            </w:r>
          </w:p>
        </w:tc>
      </w:tr>
      <w:tr w14:paraId="625466B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B0DC8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87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企业驻地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D48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 w14:paraId="5687944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3A3EA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85B2C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联系人及联系电话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C9296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8FE643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2E390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DC246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bidi="ar"/>
              </w:rPr>
              <w:t>简介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8FD22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52E319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B210D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63EE6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船舶参数</w:t>
            </w:r>
          </w:p>
          <w:p w14:paraId="4BB95A5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（总长、船宽、总功率、航速、核定成员、总吨位）</w:t>
            </w:r>
          </w:p>
          <w:p w14:paraId="193DF3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64D0F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生态综合监测船（总吨位300-500吨）：</w:t>
            </w:r>
          </w:p>
          <w:p w14:paraId="45B6E68E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3101016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渔业调查船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（总吨位150-300吨）：</w:t>
            </w:r>
          </w:p>
        </w:tc>
      </w:tr>
      <w:tr w14:paraId="1310D0FD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2818C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B372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船舶人员配置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配员、船员职务证书、社保和保险情况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bookmarkStart w:id="0" w:name="_GoBack"/>
            <w:bookmarkEnd w:id="0"/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A36F1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生态综合监测船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（总吨位300-500吨）：</w:t>
            </w:r>
          </w:p>
          <w:p w14:paraId="10BEB65C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3DDBDBEB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渔业调查船（总吨位150-300吨）：</w:t>
            </w:r>
          </w:p>
          <w:p w14:paraId="171D1935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 w14:paraId="36B82D7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435BE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0A2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船舶适用度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实验室、甲板面积、吊机、小艇、冰箱、房间配置情况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92AAF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生态综合监测船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（总吨位300-500吨）：</w:t>
            </w:r>
          </w:p>
          <w:p w14:paraId="3F22B49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22F8AB60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075834E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渔业调查船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（总吨位150-300吨）：</w:t>
            </w:r>
          </w:p>
          <w:p w14:paraId="728D3C33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2986A6F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 w14:paraId="57F6A510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7402F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A22CD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船舶安全设施情况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  <w:t>注明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船舶救生艇、救生圈、救生衣的安全设备配备情况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D6668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生态综合监测船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（总吨位300-500吨）：</w:t>
            </w:r>
          </w:p>
          <w:p w14:paraId="26FFCD91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3C00155C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渔业调查船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（总吨位150-300吨）：</w:t>
            </w:r>
          </w:p>
          <w:p w14:paraId="40C0C084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DCDB26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D6C0E"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40F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  <w:t>近三年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承接相关监测服务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bidi="ar"/>
              </w:rPr>
              <w:t>的情况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1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7B1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船舶服务业绩，注明项目名称、监测海域、合同时间、实施主要内容、服务对象等</w:t>
            </w:r>
          </w:p>
        </w:tc>
      </w:tr>
    </w:tbl>
    <w:p w14:paraId="68BBB468">
      <w:pPr>
        <w:pStyle w:val="13"/>
        <w:widowControl/>
        <w:spacing w:beforeAutospacing="0" w:afterAutospacing="0"/>
        <w:rPr>
          <w:rFonts w:ascii="Arial" w:hAnsi="Arial" w:eastAsia="宋体" w:cs="Arial"/>
          <w:color w:val="000000"/>
          <w:kern w:val="0"/>
          <w:sz w:val="24"/>
        </w:rPr>
      </w:pPr>
      <w:r>
        <w:rPr>
          <w:rFonts w:hint="eastAsia" w:ascii="楷体" w:hAnsi="楷体" w:eastAsia="楷体" w:cs="楷体"/>
          <w:sz w:val="21"/>
          <w:szCs w:val="21"/>
        </w:rPr>
        <w:t>说明：无相关内容的填“无”；内容较多的可提供附表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附图。</w:t>
      </w:r>
    </w:p>
    <w:sectPr>
      <w:footerReference r:id="rId3" w:type="default"/>
      <w:pgSz w:w="11906" w:h="16838"/>
      <w:pgMar w:top="1417" w:right="1701" w:bottom="1417" w:left="170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553868"/>
      <w:docPartObj>
        <w:docPartGallery w:val="autotext"/>
      </w:docPartObj>
    </w:sdtPr>
    <w:sdtContent>
      <w:p w14:paraId="2881A8F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BCD338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035D0"/>
    <w:multiLevelType w:val="multilevel"/>
    <w:tmpl w:val="3A6035D0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eastAsia="宋体"/>
        <w:sz w:val="30"/>
      </w:rPr>
    </w:lvl>
    <w:lvl w:ilvl="1" w:tentative="0">
      <w:start w:val="1"/>
      <w:numFmt w:val="decimal"/>
      <w:isLgl/>
      <w:suff w:val="nothing"/>
      <w:lvlText w:val="%1.%2 "/>
      <w:lvlJc w:val="left"/>
      <w:pPr>
        <w:ind w:left="0" w:firstLine="0"/>
      </w:pPr>
      <w:rPr>
        <w:rFonts w:hint="default" w:ascii="Times New Roman" w:hAnsi="Times New Roman" w:eastAsia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2" w:tentative="0">
      <w:start w:val="1"/>
      <w:numFmt w:val="decimal"/>
      <w:isLgl/>
      <w:suff w:val="nothing"/>
      <w:lvlText w:val="%1.%2.%3 "/>
      <w:lvlJc w:val="left"/>
      <w:pPr>
        <w:ind w:left="0" w:firstLine="0"/>
      </w:pPr>
      <w:rPr>
        <w:rFonts w:hint="default" w:ascii="Times New Roman" w:hAnsi="Times New Roman" w:eastAsia="宋体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default" w:ascii="Times New Roman" w:hAnsi="Times New Roman" w:eastAsia="宋体"/>
        <w:sz w:val="24"/>
      </w:rPr>
    </w:lvl>
    <w:lvl w:ilvl="4" w:tentative="0">
      <w:start w:val="1"/>
      <w:numFmt w:val="decimal"/>
      <w:isLgl/>
      <w:suff w:val="nothing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sz w:val="24"/>
      </w:rPr>
    </w:lvl>
    <w:lvl w:ilvl="5" w:tentative="0">
      <w:start w:val="1"/>
      <w:numFmt w:val="decimal"/>
      <w:pStyle w:val="6"/>
      <w:isLgl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isLgl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VkMmI5NzZiOGFhODc5MjQyN2Y3Mjk3ZjkyNmIifQ=="/>
  </w:docVars>
  <w:rsids>
    <w:rsidRoot w:val="24FE4A9C"/>
    <w:rsid w:val="003845BE"/>
    <w:rsid w:val="00396B52"/>
    <w:rsid w:val="005D00B2"/>
    <w:rsid w:val="007A597E"/>
    <w:rsid w:val="008E36A3"/>
    <w:rsid w:val="00926386"/>
    <w:rsid w:val="009C4E9C"/>
    <w:rsid w:val="00AE6FE5"/>
    <w:rsid w:val="00C305F6"/>
    <w:rsid w:val="00D1659E"/>
    <w:rsid w:val="00E113E4"/>
    <w:rsid w:val="032E6DE9"/>
    <w:rsid w:val="041A51F3"/>
    <w:rsid w:val="05DA0D6E"/>
    <w:rsid w:val="16116065"/>
    <w:rsid w:val="17D91DCC"/>
    <w:rsid w:val="1D3E783E"/>
    <w:rsid w:val="24083164"/>
    <w:rsid w:val="242C23F7"/>
    <w:rsid w:val="24FE4A9C"/>
    <w:rsid w:val="28C02EF1"/>
    <w:rsid w:val="2A873448"/>
    <w:rsid w:val="2F9F5447"/>
    <w:rsid w:val="3AF064CA"/>
    <w:rsid w:val="3B0E1A86"/>
    <w:rsid w:val="3D27503E"/>
    <w:rsid w:val="40827F48"/>
    <w:rsid w:val="441B1DD7"/>
    <w:rsid w:val="45DD2896"/>
    <w:rsid w:val="4A0D72BD"/>
    <w:rsid w:val="4FFC0D0F"/>
    <w:rsid w:val="55BE0269"/>
    <w:rsid w:val="60B33AAC"/>
    <w:rsid w:val="67997DE7"/>
    <w:rsid w:val="67C47CF0"/>
    <w:rsid w:val="6ADF0F35"/>
    <w:rsid w:val="7DA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after="20" w:line="360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600" w:lineRule="exact"/>
      <w:jc w:val="center"/>
      <w:outlineLvl w:val="1"/>
    </w:pPr>
    <w:rPr>
      <w:rFonts w:ascii="宋体" w:hAnsi="宋体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50" w:beforeLines="50" w:after="50" w:afterLines="50" w:line="560" w:lineRule="exact"/>
      <w:outlineLvl w:val="2"/>
    </w:pPr>
    <w:rPr>
      <w:rFonts w:ascii="宋体" w:hAnsi="宋体"/>
      <w:b/>
      <w:bCs/>
      <w:sz w:val="30"/>
      <w:szCs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50" w:beforeLines="50" w:after="50" w:afterLines="50" w:line="400" w:lineRule="exact"/>
      <w:outlineLvl w:val="5"/>
    </w:pPr>
    <w:rPr>
      <w:rFonts w:ascii="宋体" w:hAnsi="宋体" w:cstheme="majorBidi"/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autoRedefine/>
    <w:qFormat/>
    <w:uiPriority w:val="0"/>
    <w:pPr>
      <w:spacing w:before="36"/>
      <w:ind w:left="109"/>
      <w:jc w:val="left"/>
    </w:pPr>
    <w:rPr>
      <w:rFonts w:ascii="宋体" w:hAnsi="宋体" w:eastAsia="宋体"/>
      <w:kern w:val="0"/>
      <w:lang w:eastAsia="en-US"/>
    </w:rPr>
  </w:style>
  <w:style w:type="paragraph" w:styleId="7">
    <w:name w:val="annotation text"/>
    <w:basedOn w:val="1"/>
    <w:link w:val="26"/>
    <w:uiPriority w:val="0"/>
    <w:pPr>
      <w:jc w:val="left"/>
    </w:pPr>
  </w:style>
  <w:style w:type="paragraph" w:styleId="8">
    <w:name w:val="toc 3"/>
    <w:basedOn w:val="1"/>
    <w:next w:val="1"/>
    <w:uiPriority w:val="39"/>
    <w:pPr>
      <w:ind w:left="840" w:leftChars="400"/>
    </w:pPr>
  </w:style>
  <w:style w:type="paragraph" w:styleId="9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b/>
    </w:rPr>
  </w:style>
  <w:style w:type="paragraph" w:styleId="12">
    <w:name w:val="toc 2"/>
    <w:basedOn w:val="1"/>
    <w:next w:val="1"/>
    <w:uiPriority w:val="39"/>
    <w:pPr>
      <w:ind w:left="420" w:leftChars="200"/>
    </w:pPr>
  </w:style>
  <w:style w:type="paragraph" w:styleId="1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qFormat/>
    <w:uiPriority w:val="0"/>
    <w:pPr>
      <w:spacing w:before="240" w:after="60"/>
      <w:jc w:val="left"/>
      <w:outlineLvl w:val="0"/>
    </w:pPr>
    <w:rPr>
      <w:rFonts w:ascii="Times New Roman" w:hAnsi="Times New Roman"/>
      <w:b/>
      <w:sz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he-IL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一级条标题"/>
    <w:basedOn w:val="24"/>
    <w:next w:val="25"/>
    <w:qFormat/>
    <w:uiPriority w:val="0"/>
    <w:pPr>
      <w:spacing w:line="240" w:lineRule="auto"/>
      <w:ind w:left="420"/>
      <w:outlineLvl w:val="2"/>
    </w:pPr>
  </w:style>
  <w:style w:type="paragraph" w:customStyle="1" w:styleId="2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6">
    <w:name w:val="批注文字 字符"/>
    <w:basedOn w:val="17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正文文本 字符"/>
    <w:basedOn w:val="17"/>
    <w:link w:val="2"/>
    <w:autoRedefine/>
    <w:qFormat/>
    <w:uiPriority w:val="0"/>
    <w:rPr>
      <w:rFonts w:ascii="宋体" w:hAnsi="宋体" w:cstheme="minorBidi"/>
      <w:sz w:val="21"/>
      <w:szCs w:val="24"/>
      <w:lang w:eastAsia="en-US"/>
    </w:rPr>
  </w:style>
  <w:style w:type="paragraph" w:customStyle="1" w:styleId="28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Cs w:val="32"/>
    </w:rPr>
  </w:style>
  <w:style w:type="character" w:customStyle="1" w:styleId="29">
    <w:name w:val="页眉 字符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17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409</Characters>
  <Lines>110</Lines>
  <Paragraphs>30</Paragraphs>
  <TotalTime>12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2022-11-24T02:34:00Z</dcterms:created>
  <dc:creator>chen</dc:creator>
  <cp:lastModifiedBy>李勇</cp:lastModifiedBy>
  <cp:lastPrinted>2022-11-30T02:22:00Z</cp:lastPrinted>
  <dcterms:modified xsi:type="dcterms:W3CDTF">2024-11-25T07:12:21Z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005B557C896F469995D1FDE58786C14A</vt:lpwstr>
  </property>
</Properties>
</file>