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0"/>
          <w:szCs w:val="30"/>
        </w:rPr>
      </w:pPr>
      <w:r>
        <w:rPr>
          <w:rFonts w:hint="eastAsia" w:ascii="黑体" w:hAnsi="黑体" w:eastAsia="黑体" w:cs="黑体"/>
          <w:sz w:val="30"/>
          <w:szCs w:val="30"/>
        </w:rPr>
        <w:t>附件2</w:t>
      </w:r>
    </w:p>
    <w:p>
      <w:pPr>
        <w:rPr>
          <w:rFonts w:hint="eastAsia"/>
        </w:rPr>
      </w:pPr>
    </w:p>
    <w:p>
      <w:pPr>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《广东省污染源自动监控管理办法（试行）》</w:t>
      </w:r>
    </w:p>
    <w:p>
      <w:pPr>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（征求意见稿）编制说明</w:t>
      </w:r>
    </w:p>
    <w:p>
      <w:pPr>
        <w:rPr>
          <w:rFonts w:hint="eastAsia"/>
        </w:rPr>
      </w:pP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黑体" w:hAnsi="黑体" w:eastAsia="黑体" w:cs="黑体"/>
        </w:rPr>
      </w:pPr>
      <w:r>
        <w:rPr>
          <w:rFonts w:hint="eastAsia" w:ascii="黑体" w:hAnsi="黑体" w:eastAsia="黑体" w:cs="黑体"/>
        </w:rPr>
        <w:t>一、编制的必要性</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rPr>
        <w:t>排污单位依法安装污染源自动监测设备并与生态环境部门监控系统联网，是加强生态环境监管、落实排污单位主体责任的重要手段，是落实“精准治污、科学治污、依法治污”的重要抓手。近年来，污染源自动监控系统在生态环境保护信息化建设中的重要性日益凸显，在执法监管中的运用越来越广泛。但与此同时，与污染源自动监控相关的规划建设不系统、权利责任不明晰、管理机制不顺畅、法律法规亟待细化等问题愈发明显，严重制约我省污染源自动监控的进一步发展，迫切需要制定污染源自动监控管理办法予以解决。</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楷体_GB2312" w:hAnsi="楷体_GB2312" w:eastAsia="楷体_GB2312" w:cs="楷体_GB2312"/>
        </w:rPr>
      </w:pPr>
      <w:r>
        <w:rPr>
          <w:rFonts w:hint="eastAsia" w:ascii="楷体_GB2312" w:hAnsi="楷体_GB2312" w:eastAsia="楷体_GB2312" w:cs="楷体_GB2312"/>
        </w:rPr>
        <w:t>一是现有管理办法难以满足当前监管需求。</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rPr>
        <w:t>近年来，生态环境部印发一系列工作文件，对污染源自动监控安装联网时限提出了相关要求，新增了工况监控、用水用电监控等过程监控类型，调整了传输有效率的计算方法，设置了安装联网率和传输有效率的考核指标，同时通过垃圾焚烧发电行业逐步推广“1+N”的自动监测数据标记规则体系，推行按规则标记和事前、事中、事后全过程电子督办制度。而由原国家环境保护总局2005年出台的《污染源自动监控管理办法》，距今已实施18年，相关规定与上述污染源自动监控管理的最新要求已不相适宜。</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楷体_GB2312" w:hAnsi="楷体_GB2312" w:eastAsia="楷体_GB2312" w:cs="楷体_GB2312"/>
        </w:rPr>
      </w:pPr>
      <w:r>
        <w:rPr>
          <w:rFonts w:hint="eastAsia" w:ascii="楷体_GB2312" w:hAnsi="楷体_GB2312" w:eastAsia="楷体_GB2312" w:cs="楷体_GB2312"/>
        </w:rPr>
        <w:t>二是制度建设亟待与排污许可为核心的监管体系相融合。</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rPr>
        <w:t>《排污许可管理条例》规定了排污许可重点管理的排污单位应当依法安装、使用、维护污染物排放自动监测设备，并与生态环境主管部门的监控设备联网。同时明确了通过自动监测设备获得的排污单位污染物排放数据，可以作为判定污染物排放浓度是否超过许可排放浓度的证据。且配套的行业排污许可证申请与核发技术规范、自行监测技术指南对具体行业的安装点位、监测因子进行了细化。随着以排污许可为核心的生态环境监管体系的建立，污染源自动监控系统的建设与管理必然要与排污许可监管体系相融合，污染源自动监控管理制度亟需同步更新。</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楷体_GB2312" w:hAnsi="楷体_GB2312" w:eastAsia="楷体_GB2312" w:cs="楷体_GB2312"/>
        </w:rPr>
      </w:pPr>
      <w:r>
        <w:rPr>
          <w:rFonts w:hint="eastAsia" w:ascii="楷体_GB2312" w:hAnsi="楷体_GB2312" w:eastAsia="楷体_GB2312" w:cs="楷体_GB2312"/>
        </w:rPr>
        <w:t>三是与自动监控相关的环境违法情形亟待细化。</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rPr>
        <w:t>《环境保护法》《大气污染防治法》《水污染防治法》《排污许可管理条例》</w:t>
      </w:r>
      <w:r>
        <w:rPr>
          <w:rFonts w:hint="eastAsia"/>
          <w:lang w:eastAsia="zh-CN"/>
        </w:rPr>
        <w:t>《生态环境行政处罚办法》</w:t>
      </w:r>
      <w:r>
        <w:rPr>
          <w:rFonts w:hint="eastAsia"/>
        </w:rPr>
        <w:t>等法律法规对于自动监测设备未安装、未联网、不正常运行等情形和排污单位未保存原始记录、发现异常不报告、不配合检查、检查时造假及逃避监管等环境违法行为都设置了相应的罚则，但对于上述各类环境违法行为的具体违法情形未进行细化，不利于基层执法人员实际操作。</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黑体" w:hAnsi="黑体" w:eastAsia="黑体" w:cs="黑体"/>
        </w:rPr>
      </w:pPr>
      <w:r>
        <w:rPr>
          <w:rFonts w:hint="eastAsia" w:ascii="黑体" w:hAnsi="黑体" w:eastAsia="黑体" w:cs="黑体"/>
        </w:rPr>
        <w:t>二、编制依据</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ascii="楷体_GB2312" w:hAnsi="楷体_GB2312" w:eastAsia="楷体_GB2312" w:cs="楷体_GB2312"/>
        </w:rPr>
        <w:t>（一）法律依据。</w:t>
      </w:r>
      <w:r>
        <w:rPr>
          <w:rFonts w:hint="eastAsia"/>
        </w:rPr>
        <w:t>《环境保护法》《水污染防治法》《大气污染防治法》</w:t>
      </w:r>
      <w:r>
        <w:rPr>
          <w:rFonts w:hint="eastAsia"/>
          <w:lang w:eastAsia="zh-CN"/>
        </w:rPr>
        <w:t>《生态环境行政处罚办法》</w:t>
      </w:r>
      <w:r>
        <w:rPr>
          <w:rFonts w:hint="eastAsia"/>
        </w:rPr>
        <w:t>等法律法规均对污染源自动监测设备的安装、联网作了明确的规定。《排污许可管理条例》对自动监测数据的运用进行了规定。最高人民法院最高人民检察院印发的《关于办理环境污染刑事案件适用法律若干问题的解释》涵盖了涉及污染源自动监控的环境犯罪情况。上述法律、法规及司法解释为制定本办法提供了有力的法律依据。</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ascii="楷体_GB2312" w:hAnsi="楷体_GB2312" w:eastAsia="楷体_GB2312" w:cs="楷体_GB2312"/>
        </w:rPr>
        <w:t>（二）政策基础。</w:t>
      </w:r>
      <w:r>
        <w:rPr>
          <w:rFonts w:hint="eastAsia"/>
        </w:rPr>
        <w:t>中央办公厅、国务院办公厅2017年印发《关于深化环境监测改革提高环境监测数据质量的意见》，2020年印发《关于构建现代环境治理体系的指导意见》。2017年，原环境保护部办公厅印发《关于加快重点行业重点地区的重点排污单位自动监控工作的通知》。2019年，生态环境部印发《生活垃圾焚烧发电厂自动监测数据应用管理规定》，2021年，生态环境部办公厅印发《关于做好重点单位自动监控安装联网相关工作的通知》（环办执法函〔2021〕484号），2022年，生态环境部办公厅印发《关于发布</w:t>
      </w:r>
      <w:r>
        <w:rPr>
          <w:rFonts w:hint="eastAsia" w:ascii="方正小标宋简体" w:hAnsi="方正小标宋简体" w:eastAsia="方正小标宋简体" w:cs="方正小标宋简体"/>
        </w:rPr>
        <w:t>〈</w:t>
      </w:r>
      <w:r>
        <w:rPr>
          <w:rFonts w:hint="eastAsia"/>
        </w:rPr>
        <w:t>污染物排放自动监测设备标记规则</w:t>
      </w:r>
      <w:r>
        <w:rPr>
          <w:rFonts w:hint="eastAsia" w:ascii="方正小标宋简体" w:hAnsi="方正小标宋简体" w:eastAsia="方正小标宋简体" w:cs="方正小标宋简体"/>
        </w:rPr>
        <w:t>〉</w:t>
      </w:r>
      <w:r>
        <w:rPr>
          <w:rFonts w:hint="eastAsia"/>
        </w:rPr>
        <w:t>的公告》（公告 2022年 第21号）和《关于做好污染物排放自动监测设备标记相关工作的通知》（环办执法函〔2022〕373号）。上述顶层设计文件的出台已初步解决污染源自动监控建设与监管的一些关键问题，为制定本办法奠定了良好的政策基础。</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ascii="楷体_GB2312" w:hAnsi="楷体_GB2312" w:eastAsia="楷体_GB2312" w:cs="楷体_GB2312"/>
        </w:rPr>
        <w:t>（三）技术支撑。</w:t>
      </w:r>
      <w:r>
        <w:rPr>
          <w:rFonts w:hint="eastAsia"/>
        </w:rPr>
        <w:t>目前，围绕污染源自动监控系统的建设和管理的技术体系已较为成熟。HJ-75、HJ-76是对烟气自动监测设备的安装、运维及验收的规定；HJ-353、HJ-354、HJ-355及HJ-356是对水质自动监测设备的安装、运维、验收及数据有效性判别的规定；HJ-1013是对非甲烷总烃自动监测设备安装、运维及验收的规范；HJ-212是对自动监测数据传输方式的规定。在本办法制定过程中，吸收、整合了上述技术规范的有关规定。</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黑体" w:hAnsi="黑体" w:eastAsia="黑体" w:cs="黑体"/>
        </w:rPr>
      </w:pPr>
      <w:r>
        <w:rPr>
          <w:rFonts w:hint="eastAsia" w:ascii="黑体" w:hAnsi="黑体" w:eastAsia="黑体" w:cs="黑体"/>
        </w:rPr>
        <w:t>三、编制思路和过程</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rPr>
        <w:t>在充分参考安徽、福建、</w:t>
      </w:r>
      <w:r>
        <w:rPr>
          <w:rFonts w:hint="eastAsia"/>
          <w:lang w:val="en-US" w:eastAsia="zh-CN"/>
        </w:rPr>
        <w:t>重庆、</w:t>
      </w:r>
      <w:r>
        <w:rPr>
          <w:rFonts w:hint="eastAsia"/>
        </w:rPr>
        <w:t>江西等兄弟省份先进经验基础上，结合我省实际情况，我厅对涉及污染源自动监控管理的现有法律、法规、标准和政策进行系统梳理和有机整合，并在以下四个方面进行补充和完善。</w:t>
      </w:r>
      <w:r>
        <w:rPr>
          <w:rFonts w:hint="eastAsia"/>
          <w:b/>
          <w:bCs/>
        </w:rPr>
        <w:t>一是</w:t>
      </w:r>
      <w:r>
        <w:rPr>
          <w:rFonts w:hint="eastAsia"/>
        </w:rPr>
        <w:t>明确污染源自动监控管理中有关生态环境部门、排污单位、运维单位和检测单位的职责，进一步厘清省、市两级生态环境主管部门的职责分工；</w:t>
      </w:r>
      <w:r>
        <w:rPr>
          <w:rFonts w:hint="eastAsia"/>
          <w:b/>
          <w:bCs/>
        </w:rPr>
        <w:t>二是</w:t>
      </w:r>
      <w:r>
        <w:rPr>
          <w:rFonts w:hint="eastAsia"/>
        </w:rPr>
        <w:t>提炼、总结污染源自动监控日常管理过程的实际工作经验，对现有管理制度进行“打补丁”；</w:t>
      </w:r>
      <w:r>
        <w:rPr>
          <w:rFonts w:hint="eastAsia"/>
          <w:b/>
          <w:bCs/>
        </w:rPr>
        <w:t>三是</w:t>
      </w:r>
      <w:r>
        <w:rPr>
          <w:rFonts w:hint="eastAsia"/>
        </w:rPr>
        <w:t>对涉及污染源自动监控的环境违法行为进行细化规定，进一步规范污染源自动监控的监督管理；</w:t>
      </w:r>
      <w:r>
        <w:rPr>
          <w:rFonts w:hint="eastAsia"/>
          <w:b/>
          <w:bCs/>
        </w:rPr>
        <w:t>四是</w:t>
      </w:r>
      <w:r>
        <w:rPr>
          <w:rFonts w:hint="eastAsia"/>
        </w:rPr>
        <w:t>与国家层面下一步污染源自动监控管理方向进行充分融合。</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黑体" w:hAnsi="黑体" w:eastAsia="黑体" w:cs="黑体"/>
        </w:rPr>
      </w:pPr>
      <w:r>
        <w:rPr>
          <w:rFonts w:hint="eastAsia" w:ascii="黑体" w:hAnsi="黑体" w:eastAsia="黑体" w:cs="黑体"/>
        </w:rPr>
        <w:t>四、主要内容</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rPr>
        <w:t>本办法共设</w:t>
      </w:r>
      <w:r>
        <w:rPr>
          <w:rFonts w:hint="eastAsia"/>
          <w:lang w:val="en-US" w:eastAsia="zh-CN"/>
        </w:rPr>
        <w:t>八</w:t>
      </w:r>
      <w:r>
        <w:rPr>
          <w:rFonts w:hint="eastAsia"/>
        </w:rPr>
        <w:t>个章节合计</w:t>
      </w:r>
      <w:r>
        <w:rPr>
          <w:rFonts w:hint="eastAsia"/>
          <w:lang w:val="en-US" w:eastAsia="zh-CN"/>
        </w:rPr>
        <w:t>30</w:t>
      </w:r>
      <w:r>
        <w:rPr>
          <w:rFonts w:hint="eastAsia"/>
        </w:rPr>
        <w:t>条，分别为总则、职责分工、安装联网、运行维护、数据管理与应用</w:t>
      </w:r>
      <w:r>
        <w:rPr>
          <w:rFonts w:hint="eastAsia"/>
          <w:lang w:eastAsia="zh-CN"/>
        </w:rPr>
        <w:t>、</w:t>
      </w:r>
      <w:r>
        <w:rPr>
          <w:rFonts w:hint="eastAsia"/>
        </w:rPr>
        <w:t>违法认定、其他要求和附则，对污染源自动监控的相关概念、职责分工、安装联网、运行管理及监督管理做了全面的规定和要求。</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ascii="黑体" w:hAnsi="黑体" w:eastAsia="黑体" w:cs="黑体"/>
        </w:rPr>
        <w:t>第一章</w:t>
      </w:r>
      <w:r>
        <w:rPr>
          <w:rFonts w:hint="eastAsia"/>
        </w:rPr>
        <w:t>“总则”共</w:t>
      </w:r>
      <w:r>
        <w:rPr>
          <w:rFonts w:hint="eastAsia"/>
          <w:lang w:val="en-US" w:eastAsia="zh-CN"/>
        </w:rPr>
        <w:t>3</w:t>
      </w:r>
      <w:r>
        <w:rPr>
          <w:rFonts w:hint="eastAsia"/>
        </w:rPr>
        <w:t>条。本章明确了本办法制定的目的依据、适用范围，以及排污单位、自动监控系统</w:t>
      </w:r>
      <w:r>
        <w:rPr>
          <w:rFonts w:hint="eastAsia"/>
          <w:lang w:eastAsia="zh-CN"/>
        </w:rPr>
        <w:t>、</w:t>
      </w:r>
      <w:r>
        <w:rPr>
          <w:rFonts w:hint="eastAsia"/>
        </w:rPr>
        <w:t>自动监测数据</w:t>
      </w:r>
      <w:r>
        <w:rPr>
          <w:rFonts w:hint="eastAsia"/>
          <w:lang w:val="en-US" w:eastAsia="zh-CN"/>
        </w:rPr>
        <w:t>和数据标记</w:t>
      </w:r>
      <w:r>
        <w:rPr>
          <w:rFonts w:hint="eastAsia"/>
        </w:rPr>
        <w:t>等的相关概念。</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ascii="黑体" w:hAnsi="黑体" w:eastAsia="黑体" w:cs="黑体"/>
        </w:rPr>
        <w:t>第二章</w:t>
      </w:r>
      <w:r>
        <w:rPr>
          <w:rFonts w:hint="eastAsia"/>
        </w:rPr>
        <w:t>“职责分工”共3条。本章明确了生态环境主管部门、排污单位以及运维单位和检测单位在污染源自动监控系统建设与管理中的责任，界定了省、市两级生态环境主管部门的职责分工。</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ascii="黑体" w:hAnsi="黑体" w:eastAsia="黑体" w:cs="黑体"/>
        </w:rPr>
        <w:t>第三章</w:t>
      </w:r>
      <w:r>
        <w:rPr>
          <w:rFonts w:hint="eastAsia"/>
        </w:rPr>
        <w:t>“安装联网”共5条。本章对污染源自动监测设备的安装对象、安装点位、安装技术要求、联网要求、以及验收要求进行了详细的规定，充分融合目前以排污许可为核心的监管体系有关要求，兼顾指导性与可操作性。</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ascii="黑体" w:hAnsi="黑体" w:eastAsia="黑体" w:cs="黑体"/>
        </w:rPr>
        <w:t>第四章</w:t>
      </w:r>
      <w:r>
        <w:rPr>
          <w:rFonts w:hint="eastAsia"/>
        </w:rPr>
        <w:t>“运行维护”共3条。本章以现有的技术规范为基础，同时结合日常管理经验对排污单位规范开展自动监测设备运行维护工作提出一系列要求，同时对自动监控数据标记和数据存储进行了相应规定。</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default" w:eastAsia="黑体"/>
          <w:lang w:val="en-US" w:eastAsia="zh-CN"/>
        </w:rPr>
      </w:pPr>
      <w:r>
        <w:rPr>
          <w:rFonts w:hint="eastAsia" w:ascii="黑体" w:hAnsi="黑体" w:eastAsia="黑体" w:cs="黑体"/>
        </w:rPr>
        <w:t>第五章</w:t>
      </w:r>
      <w:r>
        <w:rPr>
          <w:rFonts w:hint="eastAsia" w:ascii="黑体" w:hAnsi="黑体" w:eastAsia="黑体" w:cs="黑体"/>
          <w:lang w:eastAsia="zh-CN"/>
        </w:rPr>
        <w:t>“</w:t>
      </w:r>
      <w:r>
        <w:rPr>
          <w:rFonts w:hint="eastAsia"/>
        </w:rPr>
        <w:t>数据管理与应用</w:t>
      </w:r>
      <w:r>
        <w:rPr>
          <w:rFonts w:hint="eastAsia"/>
          <w:lang w:eastAsia="zh-CN"/>
        </w:rPr>
        <w:t>”</w:t>
      </w:r>
      <w:r>
        <w:rPr>
          <w:rFonts w:hint="eastAsia"/>
          <w:lang w:val="en-US" w:eastAsia="zh-CN"/>
        </w:rPr>
        <w:t>共4条。</w:t>
      </w:r>
      <w:r>
        <w:rPr>
          <w:rFonts w:hint="eastAsia"/>
        </w:rPr>
        <w:t>本章明确了自动监测数据的运用范围、数据超标统计规则、超总量判定和生态环境主管部门</w:t>
      </w:r>
      <w:r>
        <w:rPr>
          <w:rFonts w:hint="eastAsia"/>
          <w:lang w:val="en-US" w:eastAsia="zh-CN"/>
        </w:rPr>
        <w:t>对自动监控数据</w:t>
      </w:r>
      <w:r>
        <w:rPr>
          <w:rFonts w:hint="eastAsia"/>
        </w:rPr>
        <w:t>的日常跟踪处理</w:t>
      </w:r>
      <w:r>
        <w:rPr>
          <w:rFonts w:hint="eastAsia"/>
          <w:lang w:val="en-US" w:eastAsia="zh-CN"/>
        </w:rPr>
        <w:t>机制</w:t>
      </w:r>
      <w:bookmarkStart w:id="0" w:name="_GoBack"/>
      <w:bookmarkEnd w:id="0"/>
      <w:r>
        <w:rPr>
          <w:rFonts w:hint="eastAsia"/>
        </w:rPr>
        <w:t>。</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ascii="黑体" w:hAnsi="黑体" w:eastAsia="黑体" w:cs="黑体"/>
        </w:rPr>
      </w:pPr>
      <w:r>
        <w:rPr>
          <w:rFonts w:hint="eastAsia" w:ascii="黑体" w:hAnsi="黑体" w:eastAsia="黑体" w:cs="黑体"/>
        </w:rPr>
        <w:t>第六章</w:t>
      </w:r>
      <w:r>
        <w:rPr>
          <w:rFonts w:hint="eastAsia"/>
        </w:rPr>
        <w:t>“违法认定”共</w:t>
      </w:r>
      <w:r>
        <w:rPr>
          <w:rFonts w:hint="eastAsia"/>
          <w:lang w:val="en-US" w:eastAsia="zh-CN"/>
        </w:rPr>
        <w:t>8</w:t>
      </w:r>
      <w:r>
        <w:rPr>
          <w:rFonts w:hint="eastAsia"/>
        </w:rPr>
        <w:t>条。本章结合现有的法律法规梳理归纳了</w:t>
      </w:r>
      <w:r>
        <w:rPr>
          <w:rFonts w:hint="eastAsia"/>
          <w:lang w:val="en-US" w:eastAsia="zh-CN"/>
        </w:rPr>
        <w:t>10</w:t>
      </w:r>
      <w:r>
        <w:rPr>
          <w:rFonts w:hint="eastAsia"/>
        </w:rPr>
        <w:t>种与污染源自动监控有关的环境违法类别，并对未安装、未联网、不正常运行、未保存原始记录、发现异常不报告、</w:t>
      </w:r>
      <w:r>
        <w:rPr>
          <w:rFonts w:hint="eastAsia"/>
          <w:lang w:val="en-US" w:eastAsia="zh-CN"/>
        </w:rPr>
        <w:t>拒</w:t>
      </w:r>
      <w:r>
        <w:rPr>
          <w:rFonts w:hint="eastAsia"/>
        </w:rPr>
        <w:t>不配合检查以及逃避监管等</w:t>
      </w:r>
      <w:r>
        <w:rPr>
          <w:rFonts w:hint="eastAsia"/>
          <w:lang w:val="en-US" w:eastAsia="zh-CN"/>
        </w:rPr>
        <w:t>7</w:t>
      </w:r>
      <w:r>
        <w:rPr>
          <w:rFonts w:hint="eastAsia"/>
        </w:rPr>
        <w:t>种环境违法情形进行了细化。</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rPr>
      </w:pPr>
      <w:r>
        <w:rPr>
          <w:rFonts w:hint="eastAsia" w:ascii="黑体" w:hAnsi="黑体" w:eastAsia="黑体" w:cs="黑体"/>
        </w:rPr>
        <w:t>第七章</w:t>
      </w:r>
      <w:r>
        <w:rPr>
          <w:rFonts w:hint="eastAsia"/>
        </w:rPr>
        <w:t>“其他要求”共</w:t>
      </w:r>
      <w:r>
        <w:rPr>
          <w:rFonts w:hint="eastAsia"/>
          <w:lang w:val="en-US" w:eastAsia="zh-CN"/>
        </w:rPr>
        <w:t>1</w:t>
      </w:r>
      <w:r>
        <w:rPr>
          <w:rFonts w:hint="eastAsia"/>
        </w:rPr>
        <w:t>条。本章阐述了案件移送和两法衔接的有关要求。</w:t>
      </w:r>
    </w:p>
    <w:p>
      <w:pPr>
        <w:keepNext w:val="0"/>
        <w:keepLines w:val="0"/>
        <w:pageBreakBefore w:val="0"/>
        <w:widowControl w:val="0"/>
        <w:kinsoku/>
        <w:wordWrap/>
        <w:overflowPunct/>
        <w:topLinePunct w:val="0"/>
        <w:autoSpaceDE/>
        <w:autoSpaceDN/>
        <w:bidi w:val="0"/>
        <w:adjustRightInd/>
        <w:snapToGrid/>
        <w:ind w:firstLine="632" w:firstLineChars="200"/>
        <w:textAlignment w:val="auto"/>
        <w:rPr>
          <w:rFonts w:hint="eastAsia" w:eastAsia="仿宋_GB2312"/>
          <w:lang w:val="en-US" w:eastAsia="zh-CN"/>
        </w:rPr>
      </w:pPr>
      <w:r>
        <w:rPr>
          <w:rFonts w:hint="eastAsia" w:ascii="黑体" w:hAnsi="黑体" w:eastAsia="黑体" w:cs="黑体"/>
        </w:rPr>
        <w:t>第</w:t>
      </w:r>
      <w:r>
        <w:rPr>
          <w:rFonts w:hint="eastAsia" w:ascii="黑体" w:hAnsi="黑体" w:eastAsia="黑体" w:cs="黑体"/>
          <w:lang w:val="en-US" w:eastAsia="zh-CN"/>
        </w:rPr>
        <w:t>八</w:t>
      </w:r>
      <w:r>
        <w:rPr>
          <w:rFonts w:hint="eastAsia" w:ascii="黑体" w:hAnsi="黑体" w:eastAsia="黑体" w:cs="黑体"/>
        </w:rPr>
        <w:t>章</w:t>
      </w:r>
      <w:r>
        <w:rPr>
          <w:rFonts w:hint="eastAsia"/>
        </w:rPr>
        <w:t>“附则”共3条。</w:t>
      </w:r>
    </w:p>
    <w:sectPr>
      <w:footerReference r:id="rId3" w:type="default"/>
      <w:pgSz w:w="11906" w:h="16838"/>
      <w:pgMar w:top="2098" w:right="1474" w:bottom="1984" w:left="1588" w:header="851" w:footer="1587" w:gutter="0"/>
      <w:pgNumType w:fmt="decimal"/>
      <w:cols w:space="0" w:num="1"/>
      <w:rtlGutter w:val="0"/>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2000000000000000000"/>
    <w:charset w:val="86"/>
    <w:family w:val="auto"/>
    <w:pitch w:val="default"/>
    <w:sig w:usb0="A00002BF" w:usb1="184F6CFA" w:usb2="00000012"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3"/>
  <w:doNotDisplayPageBoundaries w:val="1"/>
  <w:embedSystemFonts/>
  <w:bordersDoNotSurroundHeader w:val="1"/>
  <w:bordersDoNotSurroundFooter w:val="1"/>
  <w:attachedTemplate r:id="rId1"/>
  <w:documentProtection w:enforcement="0"/>
  <w:defaultTabStop w:val="420"/>
  <w:drawingGridHorizontalSpacing w:val="158"/>
  <w:drawingGridVerticalSpacing w:val="290"/>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9DE8A0E"/>
    <w:rsid w:val="04251CA3"/>
    <w:rsid w:val="0B514A22"/>
    <w:rsid w:val="0C314090"/>
    <w:rsid w:val="10921A7C"/>
    <w:rsid w:val="128E407F"/>
    <w:rsid w:val="18486563"/>
    <w:rsid w:val="1A4E6234"/>
    <w:rsid w:val="27372964"/>
    <w:rsid w:val="29382277"/>
    <w:rsid w:val="2CBF1BAC"/>
    <w:rsid w:val="2CC17B44"/>
    <w:rsid w:val="33396D97"/>
    <w:rsid w:val="35A563B0"/>
    <w:rsid w:val="3A771C78"/>
    <w:rsid w:val="3C293F4F"/>
    <w:rsid w:val="3EA62CD7"/>
    <w:rsid w:val="41535DB8"/>
    <w:rsid w:val="53BA3143"/>
    <w:rsid w:val="54637DFF"/>
    <w:rsid w:val="5B2C65A4"/>
    <w:rsid w:val="5D461C0C"/>
    <w:rsid w:val="611565D4"/>
    <w:rsid w:val="65146E65"/>
    <w:rsid w:val="66880F45"/>
    <w:rsid w:val="668C53CC"/>
    <w:rsid w:val="67240BF2"/>
    <w:rsid w:val="69DE8A0E"/>
    <w:rsid w:val="6A7F00BE"/>
    <w:rsid w:val="6D612C60"/>
    <w:rsid w:val="6E02415E"/>
    <w:rsid w:val="71C730BB"/>
    <w:rsid w:val="73E839DA"/>
    <w:rsid w:val="76F6623C"/>
    <w:rsid w:val="78DE02DA"/>
    <w:rsid w:val="7C86235A"/>
    <w:rsid w:val="7FDF405E"/>
    <w:rsid w:val="CB5C7A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heme="minorBidi"/>
      <w:kern w:val="2"/>
      <w:sz w:val="32"/>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home\hbt\.local\share\Kingsoft\office6\templates\wps\zh_CN\A4&#26631;&#20934;&#29256;.dot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A4标准版.dotm</Template>
  <Pages>1</Pages>
  <Words>0</Words>
  <Characters>0</Characters>
  <Lines>0</Lines>
  <Paragraphs>0</Paragraphs>
  <TotalTime>1</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2023-06-29T01:04:00Z</dcterms:created>
  <dc:creator>hbt</dc:creator>
  <cp:lastModifiedBy>lxh</cp:lastModifiedBy>
  <dcterms:modified xsi:type="dcterms:W3CDTF">2024-05-08T07:46:09Z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0E9331FB059E4642A858FF26D558ACD7</vt:lpwstr>
  </property>
</Properties>
</file>