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default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《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广东省生态环境厅建设项目环境影响评价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文件审批程序规定（征求意见稿）</w:t>
      </w:r>
      <w:r>
        <w:rPr>
          <w:rFonts w:hint="default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》</w:t>
      </w:r>
      <w:r>
        <w:rPr>
          <w:rFonts w:hint="eastAsia" w:ascii="方正小标宋简体" w:hAnsi="方正小标宋简体" w:eastAsia="方正小标宋简体" w:cs="方正小标宋简体"/>
          <w:color w:val="auto"/>
          <w:sz w:val="44"/>
          <w:szCs w:val="44"/>
          <w:lang w:val="en-US" w:eastAsia="zh-CN"/>
        </w:rPr>
        <w:t>编制说明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outlineLvl w:val="9"/>
        <w:rPr>
          <w:b/>
          <w:bCs/>
          <w:color w:val="auto"/>
          <w:kern w:val="0"/>
          <w:szCs w:val="32"/>
        </w:rPr>
      </w:pPr>
      <w:r>
        <w:rPr>
          <w:rFonts w:hint="eastAsia"/>
          <w:b/>
          <w:bCs/>
          <w:color w:val="auto"/>
          <w:kern w:val="0"/>
          <w:szCs w:val="32"/>
        </w:rPr>
        <w:t xml:space="preserve">    </w:t>
      </w:r>
    </w:p>
    <w:p>
      <w:pPr>
        <w:spacing w:line="560" w:lineRule="exact"/>
        <w:ind w:firstLine="632" w:firstLineChars="200"/>
        <w:rPr>
          <w:rFonts w:ascii="Times New Roman" w:hAnsi="Times New Roman"/>
          <w:color w:val="auto"/>
          <w:szCs w:val="32"/>
        </w:rPr>
      </w:pPr>
      <w:r>
        <w:rPr>
          <w:rFonts w:ascii="Times New Roman" w:hAnsi="Times New Roman"/>
          <w:color w:val="auto"/>
          <w:szCs w:val="32"/>
        </w:rPr>
        <w:t>2019年</w:t>
      </w:r>
      <w:r>
        <w:rPr>
          <w:rFonts w:hint="eastAsia" w:ascii="Times New Roman" w:hAnsi="Times New Roman"/>
          <w:color w:val="auto"/>
          <w:szCs w:val="32"/>
          <w:lang w:val="en-US" w:eastAsia="zh-CN"/>
        </w:rPr>
        <w:t>12</w:t>
      </w:r>
      <w:r>
        <w:rPr>
          <w:rFonts w:ascii="Times New Roman" w:hAnsi="Times New Roman"/>
          <w:color w:val="auto"/>
          <w:szCs w:val="32"/>
        </w:rPr>
        <w:t>月</w:t>
      </w:r>
      <w:r>
        <w:rPr>
          <w:rFonts w:hint="eastAsia" w:ascii="Times New Roman" w:hAnsi="Times New Roman"/>
          <w:color w:val="auto"/>
          <w:szCs w:val="32"/>
          <w:lang w:val="en-US" w:eastAsia="zh-CN"/>
        </w:rPr>
        <w:t>12</w:t>
      </w:r>
      <w:r>
        <w:rPr>
          <w:rFonts w:ascii="Times New Roman" w:hAnsi="Times New Roman"/>
          <w:color w:val="auto"/>
          <w:szCs w:val="32"/>
        </w:rPr>
        <w:t>日，</w:t>
      </w:r>
      <w:r>
        <w:rPr>
          <w:rFonts w:hint="eastAsia" w:ascii="Times New Roman" w:hAnsi="Times New Roman"/>
          <w:color w:val="auto"/>
          <w:szCs w:val="32"/>
          <w:lang w:eastAsia="zh-CN"/>
        </w:rPr>
        <w:t>我厅修订</w:t>
      </w:r>
      <w:r>
        <w:rPr>
          <w:rFonts w:ascii="Times New Roman" w:hAnsi="Times New Roman"/>
          <w:color w:val="auto"/>
          <w:szCs w:val="32"/>
        </w:rPr>
        <w:t>印发《</w:t>
      </w:r>
      <w:r>
        <w:rPr>
          <w:rFonts w:hint="eastAsia" w:ascii="Times New Roman" w:hAnsi="Times New Roman"/>
          <w:color w:val="auto"/>
          <w:szCs w:val="32"/>
        </w:rPr>
        <w:t>广东省生态环境厅建设项目环境影响评价文件审批程序规定</w:t>
      </w:r>
      <w:r>
        <w:rPr>
          <w:rFonts w:ascii="Times New Roman" w:hAnsi="Times New Roman"/>
          <w:color w:val="auto"/>
          <w:szCs w:val="32"/>
        </w:rPr>
        <w:t>》（粤</w:t>
      </w:r>
      <w:r>
        <w:rPr>
          <w:rFonts w:hint="eastAsia" w:ascii="Times New Roman" w:hAnsi="Times New Roman"/>
          <w:color w:val="auto"/>
          <w:szCs w:val="32"/>
          <w:lang w:eastAsia="zh-CN"/>
        </w:rPr>
        <w:t>环发</w:t>
      </w:r>
      <w:r>
        <w:rPr>
          <w:rFonts w:ascii="Times New Roman" w:hAnsi="Times New Roman"/>
          <w:color w:val="auto"/>
          <w:szCs w:val="32"/>
        </w:rPr>
        <w:t>〔2019〕</w:t>
      </w:r>
      <w:r>
        <w:rPr>
          <w:rFonts w:hint="eastAsia" w:ascii="Times New Roman" w:hAnsi="Times New Roman"/>
          <w:color w:val="auto"/>
          <w:szCs w:val="32"/>
          <w:lang w:val="en-US" w:eastAsia="zh-CN"/>
        </w:rPr>
        <w:t>8</w:t>
      </w:r>
      <w:r>
        <w:rPr>
          <w:rFonts w:ascii="Times New Roman" w:hAnsi="Times New Roman"/>
          <w:color w:val="auto"/>
          <w:szCs w:val="32"/>
        </w:rPr>
        <w:t>号</w:t>
      </w:r>
      <w:r>
        <w:rPr>
          <w:rFonts w:hint="eastAsia" w:ascii="Times New Roman" w:hAnsi="Times New Roman"/>
          <w:color w:val="auto"/>
          <w:szCs w:val="32"/>
          <w:lang w:eastAsia="zh-CN"/>
        </w:rPr>
        <w:t>文</w:t>
      </w:r>
      <w:r>
        <w:rPr>
          <w:rFonts w:ascii="Times New Roman" w:hAnsi="Times New Roman"/>
          <w:color w:val="auto"/>
          <w:szCs w:val="32"/>
        </w:rPr>
        <w:t>，以下简称《</w:t>
      </w:r>
      <w:r>
        <w:rPr>
          <w:rFonts w:hint="eastAsia" w:ascii="Times New Roman" w:hAnsi="Times New Roman"/>
          <w:color w:val="auto"/>
          <w:szCs w:val="32"/>
        </w:rPr>
        <w:t>规定</w:t>
      </w:r>
      <w:r>
        <w:rPr>
          <w:rFonts w:ascii="Times New Roman" w:hAnsi="Times New Roman"/>
          <w:color w:val="auto"/>
          <w:szCs w:val="32"/>
        </w:rPr>
        <w:t>》），自</w:t>
      </w:r>
      <w:r>
        <w:rPr>
          <w:rFonts w:hint="eastAsia" w:ascii="Times New Roman" w:hAnsi="Times New Roman"/>
          <w:color w:val="auto"/>
          <w:szCs w:val="32"/>
          <w:lang w:val="en-US" w:eastAsia="zh-CN"/>
        </w:rPr>
        <w:t>2020年1月1</w:t>
      </w:r>
      <w:r>
        <w:rPr>
          <w:rFonts w:ascii="Times New Roman" w:hAnsi="Times New Roman"/>
          <w:color w:val="auto"/>
          <w:szCs w:val="32"/>
        </w:rPr>
        <w:t>日起施行，有效期5年。</w:t>
      </w:r>
    </w:p>
    <w:p>
      <w:pPr>
        <w:spacing w:line="560" w:lineRule="exact"/>
        <w:ind w:firstLine="632" w:firstLineChars="200"/>
        <w:rPr>
          <w:rFonts w:hint="eastAsia" w:ascii="Times New Roman" w:hAnsi="Times New Roman" w:eastAsia="仿宋_GB2312"/>
          <w:color w:val="auto"/>
          <w:szCs w:val="32"/>
          <w:lang w:eastAsia="zh-CN"/>
        </w:rPr>
      </w:pPr>
      <w:r>
        <w:rPr>
          <w:rFonts w:ascii="Times New Roman" w:hAnsi="Times New Roman"/>
          <w:color w:val="auto"/>
          <w:szCs w:val="32"/>
        </w:rPr>
        <w:t>《</w:t>
      </w:r>
      <w:r>
        <w:rPr>
          <w:rFonts w:hint="eastAsia" w:ascii="Times New Roman" w:hAnsi="Times New Roman"/>
          <w:color w:val="auto"/>
          <w:szCs w:val="32"/>
        </w:rPr>
        <w:t>规定</w:t>
      </w:r>
      <w:r>
        <w:rPr>
          <w:rFonts w:ascii="Times New Roman" w:hAnsi="Times New Roman"/>
          <w:color w:val="auto"/>
          <w:szCs w:val="32"/>
        </w:rPr>
        <w:t>》</w:t>
      </w:r>
      <w:r>
        <w:rPr>
          <w:rFonts w:hint="eastAsia" w:ascii="Times New Roman" w:hAnsi="Times New Roman"/>
          <w:color w:val="auto"/>
          <w:szCs w:val="32"/>
        </w:rPr>
        <w:t>有效期</w:t>
      </w:r>
      <w:r>
        <w:rPr>
          <w:rFonts w:ascii="Times New Roman" w:hAnsi="Times New Roman"/>
          <w:color w:val="auto"/>
          <w:szCs w:val="32"/>
        </w:rPr>
        <w:t>将于202</w:t>
      </w:r>
      <w:r>
        <w:rPr>
          <w:rFonts w:hint="eastAsia" w:ascii="Times New Roman" w:hAnsi="Times New Roman"/>
          <w:color w:val="auto"/>
          <w:szCs w:val="32"/>
          <w:lang w:val="en-US" w:eastAsia="zh-CN"/>
        </w:rPr>
        <w:t>4</w:t>
      </w:r>
      <w:r>
        <w:rPr>
          <w:rFonts w:ascii="Times New Roman" w:hAnsi="Times New Roman"/>
          <w:color w:val="auto"/>
          <w:szCs w:val="32"/>
        </w:rPr>
        <w:t>年1</w:t>
      </w:r>
      <w:r>
        <w:rPr>
          <w:rFonts w:hint="eastAsia" w:ascii="Times New Roman" w:hAnsi="Times New Roman"/>
          <w:color w:val="auto"/>
          <w:szCs w:val="32"/>
          <w:lang w:val="en-US" w:eastAsia="zh-CN"/>
        </w:rPr>
        <w:t>2</w:t>
      </w:r>
      <w:r>
        <w:rPr>
          <w:rFonts w:ascii="Times New Roman" w:hAnsi="Times New Roman"/>
          <w:color w:val="auto"/>
          <w:szCs w:val="32"/>
        </w:rPr>
        <w:t>月</w:t>
      </w:r>
      <w:r>
        <w:rPr>
          <w:rFonts w:hint="eastAsia" w:ascii="Times New Roman" w:hAnsi="Times New Roman"/>
          <w:color w:val="auto"/>
          <w:szCs w:val="32"/>
          <w:lang w:val="en-US" w:eastAsia="zh-CN"/>
        </w:rPr>
        <w:t>3</w:t>
      </w:r>
      <w:r>
        <w:rPr>
          <w:rFonts w:ascii="Times New Roman" w:hAnsi="Times New Roman"/>
          <w:color w:val="auto"/>
          <w:szCs w:val="32"/>
        </w:rPr>
        <w:t>1日</w:t>
      </w:r>
      <w:r>
        <w:rPr>
          <w:rFonts w:hint="eastAsia" w:ascii="Times New Roman" w:hAnsi="Times New Roman"/>
          <w:color w:val="auto"/>
          <w:szCs w:val="32"/>
        </w:rPr>
        <w:t>届满</w:t>
      </w:r>
      <w:r>
        <w:rPr>
          <w:rFonts w:ascii="Times New Roman" w:hAnsi="Times New Roman"/>
          <w:color w:val="auto"/>
          <w:szCs w:val="32"/>
        </w:rPr>
        <w:t>，按照《广东省行政规范性文件管理规定》</w:t>
      </w:r>
      <w:r>
        <w:rPr>
          <w:rFonts w:hint="eastAsia" w:ascii="Times New Roman" w:hAnsi="Times New Roman"/>
          <w:color w:val="auto"/>
          <w:szCs w:val="32"/>
        </w:rPr>
        <w:t>等</w:t>
      </w:r>
      <w:r>
        <w:rPr>
          <w:rFonts w:ascii="Times New Roman" w:hAnsi="Times New Roman"/>
          <w:color w:val="auto"/>
          <w:szCs w:val="32"/>
        </w:rPr>
        <w:t>有关规定，</w:t>
      </w:r>
      <w:r>
        <w:rPr>
          <w:rFonts w:hint="eastAsia"/>
          <w:color w:val="auto"/>
          <w:szCs w:val="32"/>
          <w:lang w:eastAsia="zh-CN"/>
        </w:rPr>
        <w:t>我厅组织</w:t>
      </w:r>
      <w:r>
        <w:rPr>
          <w:rFonts w:ascii="Times New Roman" w:hAnsi="Times New Roman"/>
          <w:color w:val="auto"/>
          <w:szCs w:val="32"/>
        </w:rPr>
        <w:t>开展了《</w:t>
      </w:r>
      <w:r>
        <w:rPr>
          <w:rFonts w:hint="eastAsia" w:ascii="Times New Roman" w:hAnsi="Times New Roman"/>
          <w:color w:val="auto"/>
          <w:szCs w:val="32"/>
        </w:rPr>
        <w:t>规定</w:t>
      </w:r>
      <w:r>
        <w:rPr>
          <w:rFonts w:ascii="Times New Roman" w:hAnsi="Times New Roman"/>
          <w:color w:val="auto"/>
          <w:szCs w:val="32"/>
        </w:rPr>
        <w:t>》的实施评估工作，</w:t>
      </w:r>
      <w:r>
        <w:rPr>
          <w:rFonts w:hint="eastAsia"/>
          <w:color w:val="auto"/>
          <w:szCs w:val="32"/>
          <w:lang w:eastAsia="zh-CN"/>
        </w:rPr>
        <w:t>并对</w:t>
      </w:r>
      <w:r>
        <w:rPr>
          <w:rFonts w:ascii="Times New Roman" w:hAnsi="Times New Roman"/>
          <w:color w:val="auto"/>
          <w:szCs w:val="32"/>
        </w:rPr>
        <w:t>《</w:t>
      </w:r>
      <w:r>
        <w:rPr>
          <w:rFonts w:hint="eastAsia" w:ascii="Times New Roman" w:hAnsi="Times New Roman"/>
          <w:color w:val="auto"/>
          <w:szCs w:val="32"/>
        </w:rPr>
        <w:t>规定</w:t>
      </w:r>
      <w:r>
        <w:rPr>
          <w:rFonts w:ascii="Times New Roman" w:hAnsi="Times New Roman"/>
          <w:color w:val="auto"/>
          <w:szCs w:val="32"/>
        </w:rPr>
        <w:t>》</w:t>
      </w:r>
      <w:r>
        <w:rPr>
          <w:rFonts w:hint="eastAsia"/>
          <w:color w:val="auto"/>
          <w:szCs w:val="32"/>
          <w:lang w:eastAsia="zh-CN"/>
        </w:rPr>
        <w:t>进行修订，形成《广东省生态环境厅建设项目环境影响评价文件审批程序规定（征求意见稿）》</w:t>
      </w:r>
      <w:r>
        <w:rPr>
          <w:rFonts w:hint="default"/>
          <w:color w:val="auto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32" w:firstLineChars="200"/>
        <w:jc w:val="left"/>
        <w:textAlignment w:val="auto"/>
        <w:outlineLvl w:val="9"/>
        <w:rPr>
          <w:rFonts w:hint="eastAsia" w:ascii="黑体" w:hAnsi="黑体" w:eastAsia="黑体" w:cs="黑体"/>
          <w:color w:val="auto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zCs w:val="32"/>
          <w:lang w:eastAsia="zh-CN"/>
        </w:rPr>
        <w:t>一、修订内容</w:t>
      </w:r>
    </w:p>
    <w:p>
      <w:pPr>
        <w:spacing w:line="560" w:lineRule="exact"/>
        <w:ind w:firstLine="632" w:firstLineChars="200"/>
        <w:rPr>
          <w:rFonts w:ascii="Times New Roman" w:hAnsi="Times New Roman"/>
          <w:color w:val="auto"/>
          <w:szCs w:val="32"/>
        </w:rPr>
      </w:pPr>
      <w:r>
        <w:rPr>
          <w:rFonts w:hint="eastAsia"/>
          <w:color w:val="auto"/>
          <w:szCs w:val="32"/>
          <w:lang w:val="en-US" w:eastAsia="zh-CN"/>
        </w:rPr>
        <w:t>《</w:t>
      </w:r>
      <w:r>
        <w:rPr>
          <w:rFonts w:hint="eastAsia" w:ascii="Times New Roman" w:hAnsi="Times New Roman"/>
          <w:color w:val="auto"/>
          <w:szCs w:val="32"/>
          <w:lang w:val="en-US" w:eastAsia="zh-CN"/>
        </w:rPr>
        <w:t>规定</w:t>
      </w:r>
      <w:r>
        <w:rPr>
          <w:rFonts w:hint="eastAsia"/>
          <w:color w:val="auto"/>
          <w:szCs w:val="32"/>
          <w:lang w:val="en-US" w:eastAsia="zh-CN"/>
        </w:rPr>
        <w:t>》第四条第二款规定，</w:t>
      </w:r>
      <w:r>
        <w:rPr>
          <w:rFonts w:hint="eastAsia"/>
          <w:color w:val="auto"/>
        </w:rPr>
        <w:t>建设单位</w:t>
      </w:r>
      <w:r>
        <w:rPr>
          <w:rFonts w:hint="eastAsia"/>
          <w:color w:val="auto"/>
          <w:lang w:eastAsia="zh-CN"/>
        </w:rPr>
        <w:t>在报审建设项目环境影响评价文件时，</w:t>
      </w:r>
      <w:r>
        <w:rPr>
          <w:rFonts w:hint="eastAsia"/>
          <w:color w:val="auto"/>
        </w:rPr>
        <w:t>应当提交</w:t>
      </w:r>
      <w:r>
        <w:rPr>
          <w:rFonts w:hint="eastAsia"/>
          <w:color w:val="auto"/>
          <w:lang w:eastAsia="zh-CN"/>
        </w:rPr>
        <w:t>“</w:t>
      </w:r>
      <w:r>
        <w:rPr>
          <w:rFonts w:hint="eastAsia"/>
          <w:color w:val="auto"/>
          <w:spacing w:val="-3"/>
        </w:rPr>
        <w:t>建设项目环境影响评价文件纸质版</w:t>
      </w:r>
      <w:r>
        <w:rPr>
          <w:rFonts w:hint="eastAsia"/>
          <w:color w:val="auto"/>
          <w:spacing w:val="-3"/>
          <w:lang w:val="en-US" w:eastAsia="zh-CN"/>
        </w:rPr>
        <w:t>10</w:t>
      </w:r>
      <w:r>
        <w:rPr>
          <w:rFonts w:hint="eastAsia"/>
          <w:color w:val="auto"/>
          <w:spacing w:val="-3"/>
        </w:rPr>
        <w:t>份，电子版1份；建设项目环境影响评价公众参与说明纸质版</w:t>
      </w:r>
      <w:r>
        <w:rPr>
          <w:rFonts w:hint="eastAsia"/>
          <w:color w:val="auto"/>
          <w:spacing w:val="-3"/>
          <w:lang w:val="en-US" w:eastAsia="zh-CN"/>
        </w:rPr>
        <w:t>10</w:t>
      </w:r>
      <w:r>
        <w:rPr>
          <w:rFonts w:hint="eastAsia"/>
          <w:color w:val="auto"/>
          <w:spacing w:val="-3"/>
        </w:rPr>
        <w:t>份，电子版1份（应编制环境影响报告表的除外）</w:t>
      </w:r>
      <w:r>
        <w:rPr>
          <w:rFonts w:hint="eastAsia"/>
          <w:color w:val="auto"/>
          <w:lang w:eastAsia="zh-CN"/>
        </w:rPr>
        <w:t>”</w:t>
      </w:r>
      <w:r>
        <w:rPr>
          <w:rFonts w:hint="eastAsia"/>
          <w:color w:val="auto"/>
          <w:spacing w:val="-3"/>
        </w:rPr>
        <w:t>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结合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“数字政府”建设情况以及提升便民服务效能要求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  <w:t>将该条款修改为“建设项目环境影响评价文件纸质版2份，电子版1份；建设项目环境影响评价公众参与说明纸质版2份，电子版1份（应编制环境影响报告表的除外）”。</w:t>
      </w:r>
    </w:p>
    <w:p>
      <w:pPr>
        <w:numPr>
          <w:ilvl w:val="0"/>
          <w:numId w:val="2"/>
        </w:numPr>
        <w:spacing w:line="560" w:lineRule="exact"/>
        <w:ind w:firstLine="640"/>
        <w:rPr>
          <w:rFonts w:eastAsia="黑体"/>
          <w:color w:val="auto"/>
          <w:szCs w:val="32"/>
          <w:lang w:val="en-US"/>
        </w:rPr>
      </w:pPr>
      <w:r>
        <w:rPr>
          <w:rFonts w:hint="eastAsia" w:ascii="Times New Roman" w:hAnsi="Times New Roman" w:eastAsia="黑体" w:cs="Times New Roman"/>
          <w:color w:val="auto"/>
          <w:szCs w:val="32"/>
        </w:rPr>
        <w:t>《规定》</w:t>
      </w:r>
      <w:r>
        <w:rPr>
          <w:rFonts w:ascii="Times New Roman" w:hAnsi="Times New Roman" w:eastAsia="黑体"/>
          <w:color w:val="auto"/>
          <w:szCs w:val="32"/>
        </w:rPr>
        <w:t>与</w:t>
      </w:r>
      <w:r>
        <w:rPr>
          <w:rFonts w:hint="eastAsia" w:eastAsia="黑体"/>
          <w:color w:val="auto"/>
          <w:szCs w:val="32"/>
          <w:lang w:eastAsia="zh-CN"/>
        </w:rPr>
        <w:t>最新</w:t>
      </w:r>
      <w:r>
        <w:rPr>
          <w:rFonts w:ascii="Times New Roman" w:hAnsi="Times New Roman" w:eastAsia="黑体"/>
          <w:color w:val="auto"/>
          <w:szCs w:val="32"/>
        </w:rPr>
        <w:t>管理要求的</w:t>
      </w:r>
      <w:r>
        <w:rPr>
          <w:rFonts w:eastAsia="黑体"/>
          <w:color w:val="auto"/>
          <w:szCs w:val="32"/>
          <w:lang w:val="en-US"/>
        </w:rPr>
        <w:t>相符性</w:t>
      </w:r>
    </w:p>
    <w:p>
      <w:pPr>
        <w:numPr>
          <w:ilvl w:val="0"/>
          <w:numId w:val="0"/>
        </w:numPr>
        <w:spacing w:line="560" w:lineRule="exact"/>
        <w:ind w:firstLine="632" w:firstLineChars="200"/>
        <w:rPr>
          <w:rFonts w:hint="eastAsia" w:ascii="Times New Roman" w:hAnsi="Times New Roman"/>
          <w:color w:val="auto"/>
          <w:szCs w:val="32"/>
          <w:lang w:eastAsia="zh-CN"/>
        </w:rPr>
      </w:pPr>
      <w:r>
        <w:rPr>
          <w:rFonts w:hint="eastAsia" w:ascii="Times New Roman" w:hAnsi="Times New Roman"/>
          <w:color w:val="auto"/>
          <w:szCs w:val="32"/>
          <w:lang w:eastAsia="zh-CN"/>
        </w:rPr>
        <w:t>（一）《规定》</w:t>
      </w:r>
      <w:r>
        <w:rPr>
          <w:rFonts w:hint="default"/>
          <w:color w:val="auto"/>
          <w:szCs w:val="32"/>
          <w:lang w:val="en-US" w:eastAsia="zh-CN"/>
        </w:rPr>
        <w:t>施行</w:t>
      </w:r>
      <w:r>
        <w:rPr>
          <w:rFonts w:hint="eastAsia" w:ascii="Times New Roman" w:hAnsi="Times New Roman"/>
          <w:color w:val="auto"/>
          <w:szCs w:val="32"/>
          <w:lang w:eastAsia="zh-CN"/>
        </w:rPr>
        <w:t>以来，</w:t>
      </w:r>
      <w:r>
        <w:rPr>
          <w:rFonts w:ascii="Times New Roman" w:hAnsi="Times New Roman"/>
          <w:color w:val="auto"/>
          <w:szCs w:val="32"/>
        </w:rPr>
        <w:t>《中华人民共和国环境影响评价法》《建设项目环境保护管理条例》</w:t>
      </w:r>
      <w:r>
        <w:rPr>
          <w:rFonts w:hint="eastAsia" w:ascii="Times New Roman" w:hAnsi="Times New Roman"/>
          <w:color w:val="auto"/>
          <w:szCs w:val="32"/>
          <w:lang w:eastAsia="zh-CN"/>
        </w:rPr>
        <w:t>等</w:t>
      </w:r>
      <w:r>
        <w:rPr>
          <w:rFonts w:ascii="Times New Roman" w:hAnsi="Times New Roman"/>
          <w:color w:val="auto"/>
          <w:szCs w:val="32"/>
        </w:rPr>
        <w:t>法律法规</w:t>
      </w:r>
      <w:r>
        <w:rPr>
          <w:color w:val="auto"/>
          <w:szCs w:val="32"/>
          <w:lang w:val="en-US"/>
        </w:rPr>
        <w:t>没有修订，</w:t>
      </w:r>
      <w:r>
        <w:rPr>
          <w:rFonts w:ascii="Times New Roman" w:hAnsi="Times New Roman"/>
          <w:color w:val="auto"/>
          <w:szCs w:val="32"/>
        </w:rPr>
        <w:t>有关建设项目</w:t>
      </w:r>
      <w:r>
        <w:rPr>
          <w:rFonts w:hint="eastAsia" w:ascii="Times New Roman" w:hAnsi="Times New Roman"/>
          <w:color w:val="auto"/>
          <w:szCs w:val="32"/>
        </w:rPr>
        <w:t>环评</w:t>
      </w:r>
      <w:r>
        <w:rPr>
          <w:rFonts w:ascii="Times New Roman" w:hAnsi="Times New Roman"/>
          <w:color w:val="auto"/>
          <w:szCs w:val="32"/>
        </w:rPr>
        <w:t>审批</w:t>
      </w:r>
      <w:r>
        <w:rPr>
          <w:rFonts w:hint="eastAsia" w:ascii="Times New Roman" w:hAnsi="Times New Roman"/>
          <w:color w:val="auto"/>
          <w:szCs w:val="32"/>
          <w:lang w:eastAsia="zh-CN"/>
        </w:rPr>
        <w:t>程序</w:t>
      </w:r>
      <w:r>
        <w:rPr>
          <w:rFonts w:ascii="Times New Roman" w:hAnsi="Times New Roman"/>
          <w:color w:val="auto"/>
          <w:szCs w:val="32"/>
        </w:rPr>
        <w:t>的规定</w:t>
      </w:r>
      <w:r>
        <w:rPr>
          <w:rFonts w:hint="eastAsia"/>
          <w:color w:val="auto"/>
          <w:szCs w:val="32"/>
          <w:lang w:eastAsia="zh-CN"/>
        </w:rPr>
        <w:t>没有修改</w:t>
      </w:r>
      <w:r>
        <w:rPr>
          <w:rFonts w:hint="eastAsia" w:ascii="Times New Roman" w:hAnsi="Times New Roman"/>
          <w:color w:val="auto"/>
          <w:szCs w:val="32"/>
          <w:lang w:eastAsia="zh-CN"/>
        </w:rPr>
        <w:t>。</w:t>
      </w:r>
    </w:p>
    <w:p>
      <w:pPr>
        <w:spacing w:line="560" w:lineRule="exact"/>
        <w:ind w:firstLine="640"/>
        <w:rPr>
          <w:rFonts w:hint="eastAsia" w:ascii="Times New Roman" w:hAnsi="Times New Roman" w:cs="Times New Roman"/>
          <w:color w:val="auto"/>
          <w:szCs w:val="32"/>
          <w:lang w:eastAsia="zh-CN"/>
        </w:rPr>
      </w:pPr>
      <w:r>
        <w:rPr>
          <w:rFonts w:hint="eastAsia" w:ascii="Times New Roman" w:hAnsi="Times New Roman" w:cs="Times New Roman"/>
          <w:color w:val="auto"/>
          <w:szCs w:val="32"/>
          <w:lang w:eastAsia="zh-CN"/>
        </w:rPr>
        <w:t>（二）</w:t>
      </w:r>
      <w:r>
        <w:rPr>
          <w:rFonts w:hint="eastAsia" w:ascii="Times New Roman" w:hAnsi="Times New Roman"/>
          <w:color w:val="auto"/>
          <w:szCs w:val="32"/>
          <w:lang w:eastAsia="zh-CN"/>
        </w:rPr>
        <w:t>《规定》与</w:t>
      </w:r>
      <w:r>
        <w:rPr>
          <w:rFonts w:hint="eastAsia" w:ascii="Times New Roman" w:hAnsi="Times New Roman" w:cs="Times New Roman"/>
          <w:color w:val="auto"/>
          <w:szCs w:val="32"/>
          <w:lang w:eastAsia="zh-CN"/>
        </w:rPr>
        <w:t>生态环境部2020年11月印发的《生态环境部建设项目环境影响报告书（表）审批程序规定》（生态环境部令第14号）</w:t>
      </w:r>
      <w:r>
        <w:rPr>
          <w:rFonts w:hint="default" w:cs="Times New Roman"/>
          <w:color w:val="auto"/>
          <w:szCs w:val="32"/>
          <w:lang w:val="en-US" w:eastAsia="zh-CN"/>
        </w:rPr>
        <w:t>的要求</w:t>
      </w:r>
      <w:r>
        <w:rPr>
          <w:rFonts w:hint="eastAsia" w:ascii="Times New Roman" w:hAnsi="Times New Roman" w:cs="Times New Roman"/>
          <w:color w:val="auto"/>
          <w:szCs w:val="32"/>
          <w:lang w:eastAsia="zh-CN"/>
        </w:rPr>
        <w:t>总体一致</w:t>
      </w:r>
      <w:r>
        <w:rPr>
          <w:rFonts w:hint="eastAsia" w:ascii="Times New Roman" w:hAnsi="Times New Roman"/>
          <w:color w:val="auto"/>
          <w:szCs w:val="32"/>
          <w:lang w:eastAsia="zh-CN"/>
        </w:rPr>
        <w:t>。</w:t>
      </w:r>
    </w:p>
    <w:p>
      <w:pPr>
        <w:spacing w:line="560" w:lineRule="exact"/>
        <w:ind w:firstLine="640"/>
        <w:rPr>
          <w:rFonts w:hint="default" w:ascii="Times New Roman" w:hAnsi="Times New Roman" w:eastAsia="仿宋_GB2312" w:cs="Times New Roman"/>
          <w:color w:val="auto"/>
          <w:szCs w:val="32"/>
          <w:lang w:val="en-US" w:eastAsia="zh-CN"/>
        </w:rPr>
      </w:pPr>
      <w:r>
        <w:rPr>
          <w:rFonts w:hint="eastAsia" w:ascii="Times New Roman" w:hAnsi="Times New Roman" w:cs="Times New Roman"/>
          <w:color w:val="auto"/>
          <w:szCs w:val="32"/>
          <w:lang w:eastAsia="zh-CN"/>
        </w:rPr>
        <w:t>（三）</w:t>
      </w:r>
      <w:r>
        <w:rPr>
          <w:rFonts w:hint="eastAsia" w:ascii="Times New Roman" w:hAnsi="Times New Roman"/>
          <w:color w:val="auto"/>
          <w:szCs w:val="32"/>
          <w:lang w:eastAsia="zh-CN"/>
        </w:rPr>
        <w:t>《规定》与</w:t>
      </w:r>
      <w:r>
        <w:rPr>
          <w:rFonts w:hint="eastAsia" w:ascii="Times New Roman" w:hAnsi="Times New Roman" w:eastAsia="仿宋_GB2312" w:cs="Times New Roman"/>
          <w:color w:val="auto"/>
          <w:szCs w:val="32"/>
          <w:lang w:eastAsia="zh-CN"/>
        </w:rPr>
        <w:t>生态环境部《“十四五”环境影响评价与排污许可工作实施方案》</w:t>
      </w:r>
      <w:r>
        <w:rPr>
          <w:rFonts w:hint="eastAsia" w:ascii="Times New Roman" w:hAnsi="Times New Roman" w:cs="Times New Roman"/>
          <w:color w:val="auto"/>
          <w:szCs w:val="32"/>
          <w:lang w:eastAsia="zh-CN"/>
        </w:rPr>
        <w:t>（环环评〔2022〕26号）、《</w:t>
      </w:r>
      <w:r>
        <w:rPr>
          <w:rFonts w:hint="eastAsia" w:ascii="Times New Roman" w:hAnsi="Times New Roman" w:eastAsia="仿宋_GB2312" w:cs="Times New Roman"/>
          <w:color w:val="auto"/>
          <w:szCs w:val="32"/>
          <w:lang w:eastAsia="zh-CN"/>
        </w:rPr>
        <w:t>关于做好重大投资项目环评工作的通知</w:t>
      </w:r>
      <w:r>
        <w:rPr>
          <w:rFonts w:hint="eastAsia" w:ascii="Times New Roman" w:hAnsi="Times New Roman" w:cs="Times New Roman"/>
          <w:color w:val="auto"/>
          <w:szCs w:val="32"/>
          <w:lang w:eastAsia="zh-CN"/>
        </w:rPr>
        <w:t>》（环环评〔2022〕39号）、</w:t>
      </w:r>
      <w:r>
        <w:rPr>
          <w:rFonts w:hint="eastAsia" w:ascii="Times New Roman" w:hAnsi="Times New Roman" w:eastAsia="仿宋_GB2312" w:cs="Times New Roman"/>
          <w:color w:val="auto"/>
          <w:szCs w:val="32"/>
          <w:lang w:eastAsia="zh-CN"/>
        </w:rPr>
        <w:t>《关于进一步优化环境影响评价工作的意见》（环环评〔2023〕52号）</w:t>
      </w:r>
      <w:r>
        <w:rPr>
          <w:rFonts w:hint="eastAsia" w:ascii="Times New Roman" w:hAnsi="Times New Roman" w:cs="Times New Roman"/>
          <w:color w:val="auto"/>
          <w:szCs w:val="32"/>
          <w:lang w:eastAsia="zh-CN"/>
        </w:rPr>
        <w:t>有关</w:t>
      </w:r>
      <w:r>
        <w:rPr>
          <w:rFonts w:hint="eastAsia" w:ascii="Times New Roman" w:hAnsi="Times New Roman" w:eastAsia="仿宋_GB2312" w:cs="Times New Roman"/>
          <w:color w:val="auto"/>
          <w:szCs w:val="32"/>
          <w:lang w:eastAsia="zh-CN"/>
        </w:rPr>
        <w:t>提升环评效率和质量</w:t>
      </w:r>
      <w:r>
        <w:rPr>
          <w:rFonts w:hint="eastAsia" w:ascii="Times New Roman" w:hAnsi="Times New Roman" w:cs="Times New Roman"/>
          <w:color w:val="auto"/>
          <w:szCs w:val="32"/>
          <w:lang w:eastAsia="zh-CN"/>
        </w:rPr>
        <w:t>、</w:t>
      </w:r>
      <w:r>
        <w:rPr>
          <w:rFonts w:hint="eastAsia" w:ascii="Times New Roman" w:hAnsi="Times New Roman" w:eastAsia="仿宋_GB2312" w:cs="Times New Roman"/>
          <w:color w:val="auto"/>
          <w:szCs w:val="32"/>
          <w:lang w:eastAsia="zh-CN"/>
        </w:rPr>
        <w:t>服务高质量发展</w:t>
      </w:r>
      <w:r>
        <w:rPr>
          <w:rFonts w:hint="eastAsia" w:ascii="Times New Roman" w:hAnsi="Times New Roman" w:cs="Times New Roman"/>
          <w:color w:val="auto"/>
          <w:szCs w:val="32"/>
          <w:lang w:eastAsia="zh-CN"/>
        </w:rPr>
        <w:t>等要求相符</w:t>
      </w:r>
      <w:r>
        <w:rPr>
          <w:rFonts w:hint="eastAsia" w:ascii="Times New Roman" w:hAnsi="Times New Roman" w:eastAsia="仿宋_GB2312" w:cs="Times New Roman"/>
          <w:color w:val="auto"/>
          <w:szCs w:val="32"/>
          <w:lang w:eastAsia="zh-CN"/>
        </w:rPr>
        <w:t>。</w:t>
      </w:r>
      <w:bookmarkStart w:id="0" w:name="_GoBack"/>
      <w:bookmarkEnd w:id="0"/>
    </w:p>
    <w:sectPr>
      <w:footerReference r:id="rId3" w:type="default"/>
      <w:pgSz w:w="11906" w:h="16838"/>
      <w:pgMar w:top="2098" w:right="1474" w:bottom="1984" w:left="1587" w:header="851" w:footer="1587" w:gutter="0"/>
      <w:cols w:space="720" w:num="1"/>
      <w:rtlGutter w:val="0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altName w:val="方正书宋_GBK"/>
    <w:panose1 w:val="02010600030101010101"/>
    <w:charset w:val="00"/>
    <w:family w:val="auto"/>
    <w:pitch w:val="default"/>
    <w:sig w:usb0="00000000" w:usb1="00000000" w:usb2="00000006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姚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pict>
        <v:rect id="文本框2" o:spid="_x0000_s4097" o:spt="1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>
          <v:path/>
          <v:fill on="f" focussize="0,0"/>
          <v:stroke on="f"/>
          <v:imagedata o:title=""/>
          <o:lock v:ext="edit" grouping="f" rotation="f" text="f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ascii="宋体" w:hAnsi="宋体" w:eastAsia="宋体" w:cs="宋体"/>
                    <w:sz w:val="28"/>
                    <w:szCs w:val="28"/>
                  </w:rPr>
                </w:pP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 xml:space="preserve">— 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eastAsia="宋体" w:cs="宋体"/>
                    <w:sz w:val="28"/>
                    <w:szCs w:val="28"/>
                  </w:rPr>
                  <w:t>1</w:t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fldChar w:fldCharType="end"/>
                </w:r>
                <w:r>
                  <w:rPr>
                    <w:rFonts w:hint="eastAsia" w:ascii="宋体" w:hAnsi="宋体" w:eastAsia="宋体" w:cs="宋体"/>
                    <w:sz w:val="28"/>
                    <w:szCs w:val="28"/>
                  </w:rPr>
                  <w:t xml:space="preserve"> —</w:t>
                </w:r>
              </w:p>
            </w:txbxContent>
          </v:textbox>
        </v:rect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6719A16"/>
    <w:multiLevelType w:val="singleLevel"/>
    <w:tmpl w:val="E6719A16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2"/>
      <w:lvlText w:val="%1."/>
      <w:lvlJc w:val="left"/>
      <w:pPr>
        <w:tabs>
          <w:tab w:val="left" w:pos="420"/>
        </w:tabs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bordersDoNotSurroundHeader w:val="false"/>
  <w:bordersDoNotSurroundFooter w:val="false"/>
  <w:documentProtection w:enforcement="0"/>
  <w:defaultTabStop w:val="420"/>
  <w:hyphenationZone w:val="360"/>
  <w:drawingGridHorizontalSpacing w:val="158"/>
  <w:drawingGridVerticalSpacing w:val="579"/>
  <w:displayHorizontalDrawingGridEvery w:val="1"/>
  <w:displayVerticalDrawingGridEvery w:val="1"/>
  <w:noPunctuationKerning w:val="true"/>
  <w:characterSpacingControl w:val="compressPunctuation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BreakWrappedTables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0721E4"/>
    <w:rsid w:val="000E73DC"/>
    <w:rsid w:val="001158DD"/>
    <w:rsid w:val="0016786A"/>
    <w:rsid w:val="00226A5C"/>
    <w:rsid w:val="002519E8"/>
    <w:rsid w:val="00277FE2"/>
    <w:rsid w:val="00284FF7"/>
    <w:rsid w:val="002B7133"/>
    <w:rsid w:val="00335E18"/>
    <w:rsid w:val="003374BE"/>
    <w:rsid w:val="00350CFE"/>
    <w:rsid w:val="00357807"/>
    <w:rsid w:val="00360537"/>
    <w:rsid w:val="004120F5"/>
    <w:rsid w:val="00415DE8"/>
    <w:rsid w:val="00434AC9"/>
    <w:rsid w:val="004E7434"/>
    <w:rsid w:val="00532866"/>
    <w:rsid w:val="00536919"/>
    <w:rsid w:val="00567B5F"/>
    <w:rsid w:val="00597E3D"/>
    <w:rsid w:val="005B2603"/>
    <w:rsid w:val="005C40D1"/>
    <w:rsid w:val="005C6713"/>
    <w:rsid w:val="00633176"/>
    <w:rsid w:val="008472C1"/>
    <w:rsid w:val="00852C99"/>
    <w:rsid w:val="00875A0C"/>
    <w:rsid w:val="008F1345"/>
    <w:rsid w:val="008F6EF0"/>
    <w:rsid w:val="009907B4"/>
    <w:rsid w:val="009A1CBF"/>
    <w:rsid w:val="009B46CD"/>
    <w:rsid w:val="00A169C7"/>
    <w:rsid w:val="00A33D2D"/>
    <w:rsid w:val="00A404C0"/>
    <w:rsid w:val="00AC7012"/>
    <w:rsid w:val="00AD6985"/>
    <w:rsid w:val="00AE0597"/>
    <w:rsid w:val="00AF2362"/>
    <w:rsid w:val="00AF3169"/>
    <w:rsid w:val="00BD4C20"/>
    <w:rsid w:val="00C350E3"/>
    <w:rsid w:val="00C4391C"/>
    <w:rsid w:val="00CC3B56"/>
    <w:rsid w:val="00CE768D"/>
    <w:rsid w:val="00D4284F"/>
    <w:rsid w:val="00D86E63"/>
    <w:rsid w:val="00D93FE8"/>
    <w:rsid w:val="00DD0767"/>
    <w:rsid w:val="00DD1F0C"/>
    <w:rsid w:val="00E36EEF"/>
    <w:rsid w:val="00E672AB"/>
    <w:rsid w:val="00ED3FB9"/>
    <w:rsid w:val="00EE3E11"/>
    <w:rsid w:val="00F43490"/>
    <w:rsid w:val="00F95E46"/>
    <w:rsid w:val="00FA4577"/>
    <w:rsid w:val="013753C7"/>
    <w:rsid w:val="01D7205D"/>
    <w:rsid w:val="020F5A24"/>
    <w:rsid w:val="04124CDA"/>
    <w:rsid w:val="045872FD"/>
    <w:rsid w:val="04A566E3"/>
    <w:rsid w:val="050245B7"/>
    <w:rsid w:val="072365C6"/>
    <w:rsid w:val="07D73F11"/>
    <w:rsid w:val="08247570"/>
    <w:rsid w:val="09873F77"/>
    <w:rsid w:val="09976E70"/>
    <w:rsid w:val="09AA54DD"/>
    <w:rsid w:val="0A786763"/>
    <w:rsid w:val="0A90709D"/>
    <w:rsid w:val="0BEC6045"/>
    <w:rsid w:val="0BF53373"/>
    <w:rsid w:val="0D0A493F"/>
    <w:rsid w:val="0D1B19B8"/>
    <w:rsid w:val="0D237241"/>
    <w:rsid w:val="0D3550F1"/>
    <w:rsid w:val="0D4607CA"/>
    <w:rsid w:val="0E2F5799"/>
    <w:rsid w:val="0EAC34E2"/>
    <w:rsid w:val="0FBF56CE"/>
    <w:rsid w:val="10451FC5"/>
    <w:rsid w:val="10FE61AB"/>
    <w:rsid w:val="115C1699"/>
    <w:rsid w:val="11937CFA"/>
    <w:rsid w:val="12D7387E"/>
    <w:rsid w:val="133800F5"/>
    <w:rsid w:val="133A74A7"/>
    <w:rsid w:val="1411299C"/>
    <w:rsid w:val="14EA288D"/>
    <w:rsid w:val="14F95A99"/>
    <w:rsid w:val="156422F7"/>
    <w:rsid w:val="1584309F"/>
    <w:rsid w:val="15CD2475"/>
    <w:rsid w:val="15DD4F3B"/>
    <w:rsid w:val="17607D66"/>
    <w:rsid w:val="179179C4"/>
    <w:rsid w:val="195D351D"/>
    <w:rsid w:val="19EC5982"/>
    <w:rsid w:val="1A1A2630"/>
    <w:rsid w:val="1A635AA0"/>
    <w:rsid w:val="1BB279E1"/>
    <w:rsid w:val="1BD45263"/>
    <w:rsid w:val="1C740137"/>
    <w:rsid w:val="1CB74C1C"/>
    <w:rsid w:val="1CC7285C"/>
    <w:rsid w:val="1CF06D13"/>
    <w:rsid w:val="1D157833"/>
    <w:rsid w:val="1D295CC5"/>
    <w:rsid w:val="1D2A148B"/>
    <w:rsid w:val="1D461B00"/>
    <w:rsid w:val="1DF66799"/>
    <w:rsid w:val="1F47594F"/>
    <w:rsid w:val="1FB46ED9"/>
    <w:rsid w:val="1FFE523D"/>
    <w:rsid w:val="20564420"/>
    <w:rsid w:val="22FF4F68"/>
    <w:rsid w:val="23B74888"/>
    <w:rsid w:val="23DE6CE4"/>
    <w:rsid w:val="23E802C0"/>
    <w:rsid w:val="24AD4769"/>
    <w:rsid w:val="26B741FE"/>
    <w:rsid w:val="26FD6220"/>
    <w:rsid w:val="27643952"/>
    <w:rsid w:val="2AB10F61"/>
    <w:rsid w:val="2B3C4757"/>
    <w:rsid w:val="2D6B6707"/>
    <w:rsid w:val="2D7D5FA4"/>
    <w:rsid w:val="2DE70414"/>
    <w:rsid w:val="2E0951AD"/>
    <w:rsid w:val="2E465B07"/>
    <w:rsid w:val="2EF900E4"/>
    <w:rsid w:val="3096203A"/>
    <w:rsid w:val="30CD6A83"/>
    <w:rsid w:val="31DA083B"/>
    <w:rsid w:val="32033EF6"/>
    <w:rsid w:val="33183959"/>
    <w:rsid w:val="355C3376"/>
    <w:rsid w:val="35DC1E09"/>
    <w:rsid w:val="369E02C1"/>
    <w:rsid w:val="36D5632C"/>
    <w:rsid w:val="36F44A5B"/>
    <w:rsid w:val="37310530"/>
    <w:rsid w:val="39F61656"/>
    <w:rsid w:val="3A042ADF"/>
    <w:rsid w:val="3B5079E5"/>
    <w:rsid w:val="3B7613EC"/>
    <w:rsid w:val="3B8E7066"/>
    <w:rsid w:val="3BFA3408"/>
    <w:rsid w:val="3C7C07A0"/>
    <w:rsid w:val="3F3C7F16"/>
    <w:rsid w:val="3FD14A49"/>
    <w:rsid w:val="41CF37E0"/>
    <w:rsid w:val="4269090B"/>
    <w:rsid w:val="46960970"/>
    <w:rsid w:val="47102D6B"/>
    <w:rsid w:val="49E944E3"/>
    <w:rsid w:val="4A18132B"/>
    <w:rsid w:val="4CD363AF"/>
    <w:rsid w:val="4CE21B24"/>
    <w:rsid w:val="4D5BF485"/>
    <w:rsid w:val="4D8D3994"/>
    <w:rsid w:val="4E5A5A7B"/>
    <w:rsid w:val="4EB30DC0"/>
    <w:rsid w:val="4EC2044F"/>
    <w:rsid w:val="4EE14B39"/>
    <w:rsid w:val="4F5B423F"/>
    <w:rsid w:val="4FCC60F8"/>
    <w:rsid w:val="51A142C3"/>
    <w:rsid w:val="532123C0"/>
    <w:rsid w:val="5392358E"/>
    <w:rsid w:val="53E620D9"/>
    <w:rsid w:val="53E66FE0"/>
    <w:rsid w:val="53EA5BA0"/>
    <w:rsid w:val="54314218"/>
    <w:rsid w:val="5508768C"/>
    <w:rsid w:val="550A3B95"/>
    <w:rsid w:val="551F20B1"/>
    <w:rsid w:val="57641F00"/>
    <w:rsid w:val="57671229"/>
    <w:rsid w:val="588513ED"/>
    <w:rsid w:val="591E2278"/>
    <w:rsid w:val="5958774D"/>
    <w:rsid w:val="59725DDE"/>
    <w:rsid w:val="59D4734F"/>
    <w:rsid w:val="59EC4793"/>
    <w:rsid w:val="5AC66718"/>
    <w:rsid w:val="5BE91A88"/>
    <w:rsid w:val="5D171B80"/>
    <w:rsid w:val="5D7B3C48"/>
    <w:rsid w:val="5DDF57BC"/>
    <w:rsid w:val="5E523152"/>
    <w:rsid w:val="5F917EEB"/>
    <w:rsid w:val="5FA07A00"/>
    <w:rsid w:val="605335D1"/>
    <w:rsid w:val="607F7881"/>
    <w:rsid w:val="620412EA"/>
    <w:rsid w:val="62396E6A"/>
    <w:rsid w:val="62E72C95"/>
    <w:rsid w:val="636E572D"/>
    <w:rsid w:val="64875FC1"/>
    <w:rsid w:val="649D2A2A"/>
    <w:rsid w:val="64D71925"/>
    <w:rsid w:val="64DC69E4"/>
    <w:rsid w:val="650F61BA"/>
    <w:rsid w:val="656F0B26"/>
    <w:rsid w:val="65A29D01"/>
    <w:rsid w:val="66A81FF1"/>
    <w:rsid w:val="687C24E6"/>
    <w:rsid w:val="68CE0D86"/>
    <w:rsid w:val="68EC7D7B"/>
    <w:rsid w:val="69D87E43"/>
    <w:rsid w:val="6B515F24"/>
    <w:rsid w:val="6C2A27A7"/>
    <w:rsid w:val="6D190656"/>
    <w:rsid w:val="6DFB9831"/>
    <w:rsid w:val="6E2A4DDD"/>
    <w:rsid w:val="6F8C4E4F"/>
    <w:rsid w:val="701F5515"/>
    <w:rsid w:val="708F1BE9"/>
    <w:rsid w:val="718F5F58"/>
    <w:rsid w:val="71FB3FEE"/>
    <w:rsid w:val="72595121"/>
    <w:rsid w:val="72785E63"/>
    <w:rsid w:val="7335BBCC"/>
    <w:rsid w:val="75502223"/>
    <w:rsid w:val="75B65F8A"/>
    <w:rsid w:val="77E82B63"/>
    <w:rsid w:val="79383E3B"/>
    <w:rsid w:val="7973396B"/>
    <w:rsid w:val="79BA1F0E"/>
    <w:rsid w:val="7AAA3FA8"/>
    <w:rsid w:val="7B8734B8"/>
    <w:rsid w:val="7B99080E"/>
    <w:rsid w:val="7BFC38D8"/>
    <w:rsid w:val="7C000F64"/>
    <w:rsid w:val="7DA5336B"/>
    <w:rsid w:val="7FB46E27"/>
    <w:rsid w:val="AFAB3943"/>
    <w:rsid w:val="EFDCA603"/>
    <w:rsid w:val="FE3DF003"/>
    <w:rsid w:val="FE9E08B6"/>
    <w:rsid w:val="FFDBDB7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numPr>
        <w:ilvl w:val="0"/>
        <w:numId w:val="1"/>
      </w:numPr>
      <w:outlineLvl w:val="2"/>
    </w:pPr>
    <w:rPr>
      <w:rFonts w:ascii="Times New Roman" w:hAnsi="Times New Roman" w:eastAsia="宋体" w:cs="Times New Roman"/>
      <w:b/>
      <w:bCs/>
      <w:sz w:val="30"/>
      <w:szCs w:val="32"/>
    </w:rPr>
  </w:style>
  <w:style w:type="character" w:default="1" w:styleId="10">
    <w:name w:val="Default Paragraph Font"/>
    <w:qFormat/>
    <w:uiPriority w:val="0"/>
  </w:style>
  <w:style w:type="table" w:default="1" w:styleId="9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next w:val="4"/>
    <w:qFormat/>
    <w:uiPriority w:val="0"/>
    <w:pPr>
      <w:ind w:firstLine="420" w:firstLineChars="200"/>
    </w:pPr>
    <w:rPr>
      <w:rFonts w:ascii="Calibri" w:hAnsi="Calibri" w:eastAsia="宋体" w:cs="Times New Roman"/>
      <w:szCs w:val="24"/>
    </w:rPr>
  </w:style>
  <w:style w:type="paragraph" w:styleId="4">
    <w:name w:val="Body Text"/>
    <w:basedOn w:val="1"/>
    <w:next w:val="1"/>
    <w:qFormat/>
    <w:uiPriority w:val="0"/>
    <w:rPr>
      <w:rFonts w:eastAsia="方正姚体"/>
      <w:b/>
      <w:color w:val="FF0000"/>
      <w:sz w:val="84"/>
    </w:rPr>
  </w:style>
  <w:style w:type="paragraph" w:styleId="5">
    <w:name w:val="Balloon Text"/>
    <w:basedOn w:val="1"/>
    <w:link w:val="12"/>
    <w:unhideWhenUsed/>
    <w:qFormat/>
    <w:uiPriority w:val="99"/>
    <w:rPr>
      <w:rFonts w:ascii="Times New Roman" w:hAnsi="Times New Roman" w:cs="Times New Roman"/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paragraph" w:styleId="8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1">
    <w:name w:val="Strong"/>
    <w:qFormat/>
    <w:uiPriority w:val="22"/>
    <w:rPr>
      <w:rFonts w:ascii="Times New Roman" w:hAnsi="Times New Roman" w:eastAsia="宋体" w:cs="Times New Roman"/>
      <w:b/>
      <w:bCs/>
    </w:rPr>
  </w:style>
  <w:style w:type="character" w:customStyle="1" w:styleId="12">
    <w:name w:val="批注框文本 Char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A4标准版</Template>
  <Company>Microsoft</Company>
  <Pages>1</Pages>
  <Words>13</Words>
  <Characters>77</Characters>
  <Lines>1</Lines>
  <Paragraphs>1</Paragraphs>
  <TotalTime>5</TotalTime>
  <ScaleCrop>false</ScaleCrop>
  <LinksUpToDate>false</LinksUpToDate>
  <CharactersWithSpaces>89</CharactersWithSpaces>
  <Application>WPS Office_11.8.2.10587_F1E327BC-269C-435d-A152-05C5408002CA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2005-01-15T03:21:00Z</dcterms:created>
  <dc:creator>彭海清</dc:creator>
  <cp:lastModifiedBy>刘翔</cp:lastModifiedBy>
  <cp:lastPrinted>2015-01-07T01:07:00Z</cp:lastPrinted>
  <dcterms:modified xsi:type="dcterms:W3CDTF">2024-10-29T15:00:25Z</dcterms:modified>
  <dc:title>广东省环境保护局文件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2052-11.8.2.10587</vt:lpwstr>
  </property>
  <property fmtid="{D5CDD505-2E9C-101B-9397-08002B2CF9AE}" pid="3" name="ICV">
    <vt:lpwstr>21E9353A45AB5877C8A01B674EE03A38</vt:lpwstr>
  </property>
</Properties>
</file>