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40" w:lineRule="auto"/>
        <w:jc w:val="both"/>
        <w:rPr>
          <w:rFonts w:hint="eastAsia" w:ascii="方正小标宋简体" w:hAnsi="方正小标宋简体" w:eastAsia="方正小标宋简体" w:cs="方正小标宋简体"/>
          <w:color w:val="auto"/>
          <w:sz w:val="36"/>
          <w:szCs w:val="36"/>
          <w:lang w:eastAsia="zh-CN"/>
        </w:rPr>
      </w:pPr>
      <w:r>
        <w:rPr>
          <w:rFonts w:hint="eastAsia" w:ascii="方正小标宋简体" w:hAnsi="方正小标宋简体" w:eastAsia="方正小标宋简体" w:cs="方正小标宋简体"/>
          <w:color w:val="auto"/>
          <w:sz w:val="36"/>
          <w:szCs w:val="36"/>
          <w:lang w:eastAsia="zh-CN"/>
        </w:rPr>
        <w:t>附件</w:t>
      </w:r>
    </w:p>
    <w:p>
      <w:pPr>
        <w:spacing w:line="240" w:lineRule="auto"/>
        <w:jc w:val="center"/>
        <w:rPr>
          <w:rFonts w:hint="eastAsia" w:ascii="方正小标宋简体" w:hAnsi="方正小标宋简体" w:eastAsia="方正小标宋简体" w:cs="方正小标宋简体"/>
          <w:color w:val="auto"/>
          <w:sz w:val="36"/>
          <w:szCs w:val="36"/>
        </w:rPr>
      </w:pPr>
      <w:r>
        <w:rPr>
          <w:rFonts w:hint="eastAsia" w:ascii="方正小标宋简体" w:hAnsi="方正小标宋简体" w:eastAsia="方正小标宋简体" w:cs="方正小标宋简体"/>
          <w:color w:val="auto"/>
          <w:sz w:val="36"/>
          <w:szCs w:val="36"/>
        </w:rPr>
        <w:t>广东省生态环境厅建设项目环境影响评价</w:t>
      </w:r>
    </w:p>
    <w:p>
      <w:pPr>
        <w:jc w:val="center"/>
        <w:rPr>
          <w:rFonts w:hint="eastAsia" w:ascii="方正小标宋简体" w:hAnsi="方正小标宋简体" w:eastAsia="方正小标宋简体" w:cs="方正小标宋简体"/>
          <w:color w:val="auto"/>
          <w:sz w:val="36"/>
          <w:szCs w:val="36"/>
          <w:lang w:eastAsia="zh-CN"/>
        </w:rPr>
      </w:pPr>
      <w:r>
        <w:rPr>
          <w:rFonts w:hint="eastAsia" w:ascii="方正小标宋简体" w:hAnsi="方正小标宋简体" w:eastAsia="方正小标宋简体" w:cs="方正小标宋简体"/>
          <w:color w:val="auto"/>
          <w:sz w:val="36"/>
          <w:szCs w:val="36"/>
        </w:rPr>
        <w:t>文件审批程序规定</w:t>
      </w:r>
      <w:r>
        <w:rPr>
          <w:rFonts w:hint="eastAsia" w:ascii="方正小标宋简体" w:hAnsi="方正小标宋简体" w:eastAsia="方正小标宋简体" w:cs="方正小标宋简体"/>
          <w:color w:val="auto"/>
          <w:sz w:val="36"/>
          <w:szCs w:val="36"/>
          <w:lang w:eastAsia="zh-CN"/>
        </w:rPr>
        <w:t>（征求意见稿</w:t>
      </w:r>
      <w:bookmarkStart w:id="0" w:name="_GoBack"/>
      <w:bookmarkEnd w:id="0"/>
      <w:r>
        <w:rPr>
          <w:rFonts w:hint="eastAsia" w:ascii="方正小标宋简体" w:hAnsi="方正小标宋简体" w:eastAsia="方正小标宋简体" w:cs="方正小标宋简体"/>
          <w:color w:val="auto"/>
          <w:sz w:val="36"/>
          <w:szCs w:val="36"/>
          <w:lang w:eastAsia="zh-CN"/>
        </w:rPr>
        <w:t>）</w:t>
      </w:r>
    </w:p>
    <w:p>
      <w:pPr>
        <w:rPr>
          <w:color w:val="auto"/>
        </w:rPr>
      </w:pPr>
    </w:p>
    <w:p>
      <w:pPr>
        <w:jc w:val="center"/>
        <w:rPr>
          <w:rFonts w:eastAsia="黑体"/>
          <w:color w:val="auto"/>
        </w:rPr>
      </w:pPr>
      <w:r>
        <w:rPr>
          <w:rFonts w:hint="eastAsia" w:eastAsia="黑体"/>
          <w:color w:val="auto"/>
        </w:rPr>
        <w:t>第一章  总</w:t>
      </w:r>
      <w:r>
        <w:rPr>
          <w:rFonts w:hint="eastAsia" w:eastAsia="黑体"/>
          <w:color w:val="auto"/>
          <w:lang w:val="en-US" w:eastAsia="zh-CN"/>
        </w:rPr>
        <w:t xml:space="preserve"> </w:t>
      </w:r>
      <w:r>
        <w:rPr>
          <w:rFonts w:hint="eastAsia" w:eastAsia="黑体"/>
          <w:color w:val="auto"/>
        </w:rPr>
        <w:t>则</w:t>
      </w:r>
    </w:p>
    <w:p>
      <w:pPr>
        <w:ind w:firstLine="632" w:firstLineChars="200"/>
        <w:rPr>
          <w:color w:val="auto"/>
        </w:rPr>
      </w:pPr>
      <w:r>
        <w:rPr>
          <w:rFonts w:hint="eastAsia" w:eastAsia="黑体"/>
          <w:color w:val="auto"/>
        </w:rPr>
        <w:t>第一条</w:t>
      </w:r>
      <w:r>
        <w:rPr>
          <w:color w:val="auto"/>
        </w:rPr>
        <w:t xml:space="preserve">  </w:t>
      </w:r>
      <w:r>
        <w:rPr>
          <w:rFonts w:hint="eastAsia"/>
          <w:color w:val="auto"/>
        </w:rPr>
        <w:t>为规范建设项目环境影响评价文件审批行为，提高行政审批效率，根据《中华人民共和国行政许可法》《中华人民共和国环境影响评价法》《中华人民共和国海洋环境保护法》《建设项目环境保护管理条例》《广东省行政许可监督管理条例》和《广东省实施〈中华人民共和国海洋环境保护法〉办法》等法律法规，制定本规定。</w:t>
      </w:r>
    </w:p>
    <w:p>
      <w:pPr>
        <w:ind w:firstLine="632" w:firstLineChars="200"/>
        <w:rPr>
          <w:color w:val="auto"/>
        </w:rPr>
      </w:pPr>
      <w:r>
        <w:rPr>
          <w:rFonts w:hint="eastAsia" w:eastAsia="黑体"/>
          <w:color w:val="auto"/>
        </w:rPr>
        <w:t>第二条</w:t>
      </w:r>
      <w:r>
        <w:rPr>
          <w:color w:val="auto"/>
        </w:rPr>
        <w:t xml:space="preserve">  </w:t>
      </w:r>
      <w:r>
        <w:rPr>
          <w:rFonts w:hint="eastAsia"/>
          <w:color w:val="auto"/>
        </w:rPr>
        <w:t>本规定适用于广东省生态环境厅负责审批的建设项目环境影响报告书、环境影响报告表（以下简称“</w:t>
      </w:r>
      <w:r>
        <w:rPr>
          <w:rFonts w:hint="eastAsia"/>
          <w:color w:val="auto"/>
          <w:lang w:eastAsia="zh-CN"/>
        </w:rPr>
        <w:t>环境</w:t>
      </w:r>
      <w:r>
        <w:rPr>
          <w:rFonts w:hint="eastAsia"/>
          <w:color w:val="auto"/>
        </w:rPr>
        <w:t>影响评价文件”）的审批。</w:t>
      </w:r>
    </w:p>
    <w:p>
      <w:pPr>
        <w:ind w:firstLine="632" w:firstLineChars="200"/>
        <w:rPr>
          <w:color w:val="auto"/>
        </w:rPr>
      </w:pPr>
      <w:r>
        <w:rPr>
          <w:rFonts w:hint="eastAsia" w:eastAsia="黑体"/>
          <w:color w:val="auto"/>
        </w:rPr>
        <w:t>第三条</w:t>
      </w:r>
      <w:r>
        <w:rPr>
          <w:color w:val="auto"/>
        </w:rPr>
        <w:t xml:space="preserve">  </w:t>
      </w:r>
      <w:r>
        <w:rPr>
          <w:rFonts w:hint="eastAsia"/>
          <w:color w:val="auto"/>
        </w:rPr>
        <w:t>广东省生态环境厅审批建设项目环境影响评价文件，遵循公开、公平、公正的原则，做到便民和高效。</w:t>
      </w:r>
    </w:p>
    <w:p>
      <w:pPr>
        <w:ind w:firstLine="632" w:firstLineChars="200"/>
        <w:rPr>
          <w:color w:val="auto"/>
        </w:rPr>
      </w:pPr>
      <w:r>
        <w:rPr>
          <w:color w:val="auto"/>
        </w:rPr>
        <w:t xml:space="preserve">  </w:t>
      </w:r>
    </w:p>
    <w:p>
      <w:pPr>
        <w:jc w:val="center"/>
        <w:rPr>
          <w:rFonts w:eastAsia="黑体"/>
          <w:color w:val="auto"/>
        </w:rPr>
      </w:pPr>
      <w:r>
        <w:rPr>
          <w:rFonts w:hint="eastAsia" w:eastAsia="黑体"/>
          <w:color w:val="auto"/>
        </w:rPr>
        <w:t>第二章  申请与受理</w:t>
      </w:r>
    </w:p>
    <w:p>
      <w:pPr>
        <w:ind w:firstLine="632" w:firstLineChars="200"/>
        <w:rPr>
          <w:color w:val="auto"/>
        </w:rPr>
      </w:pPr>
      <w:r>
        <w:rPr>
          <w:rFonts w:hint="eastAsia" w:eastAsia="黑体"/>
          <w:color w:val="auto"/>
        </w:rPr>
        <w:t>第四条</w:t>
      </w:r>
      <w:r>
        <w:rPr>
          <w:color w:val="auto"/>
        </w:rPr>
        <w:t xml:space="preserve">  </w:t>
      </w:r>
      <w:r>
        <w:rPr>
          <w:rFonts w:hint="eastAsia"/>
          <w:color w:val="auto"/>
        </w:rPr>
        <w:t xml:space="preserve">按照有关规定由广东省生态环境厅审批的建设项目环境影响评价文件，建设单位应当向广东省生态环境厅提出申请，提交下列材料，并对所有申报材料内容的真实性和准确性负责： </w:t>
      </w:r>
    </w:p>
    <w:p>
      <w:pPr>
        <w:ind w:firstLine="632" w:firstLineChars="200"/>
        <w:rPr>
          <w:color w:val="auto"/>
        </w:rPr>
      </w:pPr>
      <w:r>
        <w:rPr>
          <w:rFonts w:hint="eastAsia"/>
          <w:color w:val="auto"/>
        </w:rPr>
        <w:t>（一）建设项目环境影响评价文件报批申请书1份；</w:t>
      </w:r>
    </w:p>
    <w:p>
      <w:pPr>
        <w:ind w:firstLine="620" w:firstLineChars="200"/>
        <w:rPr>
          <w:color w:val="auto"/>
        </w:rPr>
      </w:pPr>
      <w:r>
        <w:rPr>
          <w:rFonts w:hint="eastAsia"/>
          <w:color w:val="auto"/>
          <w:spacing w:val="-3"/>
        </w:rPr>
        <w:t>（二）建设项目环境影响评价文件纸质版</w:t>
      </w:r>
      <w:r>
        <w:rPr>
          <w:rFonts w:hint="eastAsia"/>
          <w:color w:val="auto"/>
          <w:spacing w:val="-3"/>
          <w:lang w:val="en-US" w:eastAsia="zh-CN"/>
        </w:rPr>
        <w:t>2</w:t>
      </w:r>
      <w:r>
        <w:rPr>
          <w:rFonts w:hint="eastAsia"/>
          <w:color w:val="auto"/>
          <w:spacing w:val="-3"/>
        </w:rPr>
        <w:t>份，电子版1份；建设项目环境影响评价公众参与说明纸质版</w:t>
      </w:r>
      <w:r>
        <w:rPr>
          <w:rFonts w:hint="eastAsia"/>
          <w:color w:val="auto"/>
          <w:spacing w:val="-3"/>
          <w:lang w:val="en-US" w:eastAsia="zh-CN"/>
        </w:rPr>
        <w:t>2</w:t>
      </w:r>
      <w:r>
        <w:rPr>
          <w:rFonts w:hint="eastAsia"/>
          <w:color w:val="auto"/>
          <w:spacing w:val="-3"/>
        </w:rPr>
        <w:t>份，电子版1份（应编制环境影响报告表的除外）。</w:t>
      </w:r>
    </w:p>
    <w:p>
      <w:pPr>
        <w:ind w:firstLine="632" w:firstLineChars="200"/>
        <w:rPr>
          <w:color w:val="auto"/>
        </w:rPr>
      </w:pPr>
      <w:r>
        <w:rPr>
          <w:rFonts w:hint="eastAsia"/>
          <w:color w:val="auto"/>
        </w:rPr>
        <w:t>（三）依据有关法律法规规章应提交的其他文件。</w:t>
      </w:r>
    </w:p>
    <w:p>
      <w:pPr>
        <w:ind w:firstLine="632" w:firstLineChars="200"/>
        <w:rPr>
          <w:color w:val="auto"/>
        </w:rPr>
      </w:pPr>
      <w:r>
        <w:rPr>
          <w:rFonts w:hint="eastAsia" w:eastAsia="黑体"/>
          <w:color w:val="auto"/>
        </w:rPr>
        <w:t>第五条</w:t>
      </w:r>
      <w:r>
        <w:rPr>
          <w:color w:val="auto"/>
        </w:rPr>
        <w:t xml:space="preserve">  </w:t>
      </w:r>
      <w:r>
        <w:rPr>
          <w:rFonts w:hint="eastAsia"/>
          <w:color w:val="auto"/>
        </w:rPr>
        <w:t>广东省生态环境厅对建设单位提出的申请和提交的材料，根据情况分别作出下列处理：</w:t>
      </w:r>
    </w:p>
    <w:p>
      <w:pPr>
        <w:ind w:firstLine="632" w:firstLineChars="200"/>
        <w:rPr>
          <w:color w:val="auto"/>
        </w:rPr>
      </w:pPr>
      <w:r>
        <w:rPr>
          <w:rFonts w:hint="eastAsia"/>
          <w:color w:val="auto"/>
        </w:rPr>
        <w:t>（一）申请材料齐全、符合法定形式的，予以受理，并出具受理回执；需要技术评估的，应当在受理时将技术评估所需时间以书面形式告知建设单位。</w:t>
      </w:r>
    </w:p>
    <w:p>
      <w:pPr>
        <w:ind w:firstLine="632" w:firstLineChars="200"/>
        <w:rPr>
          <w:color w:val="auto"/>
        </w:rPr>
      </w:pPr>
      <w:r>
        <w:rPr>
          <w:rFonts w:hint="eastAsia"/>
          <w:color w:val="auto"/>
        </w:rPr>
        <w:t>（二）申请材料不齐全或不符合法定形式的，当场或在5日内一次性书面告知建设单位需要补正的全部内容。</w:t>
      </w:r>
    </w:p>
    <w:p>
      <w:pPr>
        <w:ind w:firstLine="632" w:firstLineChars="200"/>
        <w:rPr>
          <w:color w:val="auto"/>
        </w:rPr>
      </w:pPr>
      <w:r>
        <w:rPr>
          <w:rFonts w:hint="eastAsia"/>
          <w:color w:val="auto"/>
        </w:rPr>
        <w:t>（三）按照审批权限规定不属于广东省生态环境厅审批的申请事项，不予受理，并告知建设单位向有关机关申请。</w:t>
      </w:r>
    </w:p>
    <w:p>
      <w:pPr>
        <w:ind w:firstLine="632" w:firstLineChars="200"/>
        <w:rPr>
          <w:color w:val="auto"/>
        </w:rPr>
      </w:pPr>
      <w:r>
        <w:rPr>
          <w:rFonts w:hint="eastAsia" w:eastAsia="黑体"/>
          <w:color w:val="auto"/>
        </w:rPr>
        <w:t>第六条</w:t>
      </w:r>
      <w:r>
        <w:rPr>
          <w:color w:val="auto"/>
        </w:rPr>
        <w:t xml:space="preserve">  </w:t>
      </w:r>
      <w:r>
        <w:rPr>
          <w:rFonts w:hint="eastAsia"/>
          <w:color w:val="auto"/>
        </w:rPr>
        <w:t>广东省生态环境厅在其网站（网址：</w:t>
      </w:r>
      <w:r>
        <w:rPr>
          <w:color w:val="auto"/>
        </w:rPr>
        <w:t>http://gdee.gd.gov.cn/</w:t>
      </w:r>
      <w:r>
        <w:rPr>
          <w:rFonts w:hint="eastAsia"/>
          <w:color w:val="auto"/>
        </w:rPr>
        <w:t>）公布受理的建设项目信息。国家规定需要保密的除外。</w:t>
      </w:r>
    </w:p>
    <w:p>
      <w:pPr>
        <w:ind w:firstLine="632" w:firstLineChars="200"/>
        <w:rPr>
          <w:color w:val="auto"/>
        </w:rPr>
      </w:pPr>
    </w:p>
    <w:p>
      <w:pPr>
        <w:jc w:val="center"/>
        <w:rPr>
          <w:rFonts w:eastAsia="黑体"/>
          <w:color w:val="auto"/>
        </w:rPr>
      </w:pPr>
      <w:r>
        <w:rPr>
          <w:rFonts w:hint="eastAsia" w:eastAsia="黑体"/>
          <w:color w:val="auto"/>
        </w:rPr>
        <w:t>第三章  审  查</w:t>
      </w:r>
    </w:p>
    <w:p>
      <w:pPr>
        <w:ind w:firstLine="632" w:firstLineChars="200"/>
        <w:rPr>
          <w:color w:val="auto"/>
        </w:rPr>
      </w:pPr>
      <w:r>
        <w:rPr>
          <w:rFonts w:hint="eastAsia" w:eastAsia="黑体"/>
          <w:color w:val="auto"/>
        </w:rPr>
        <w:t xml:space="preserve">第七条 </w:t>
      </w:r>
      <w:r>
        <w:rPr>
          <w:color w:val="auto"/>
        </w:rPr>
        <w:t xml:space="preserve"> </w:t>
      </w:r>
      <w:r>
        <w:rPr>
          <w:rFonts w:hint="eastAsia"/>
          <w:color w:val="auto"/>
        </w:rPr>
        <w:t>广东省生态环境厅受理建设项目环境影响评价文件后，可委托技术机构对环境影响评价文件进行技术评估。技术机构应当对其提出的技术评估意见负责。</w:t>
      </w:r>
    </w:p>
    <w:p>
      <w:pPr>
        <w:ind w:firstLine="632" w:firstLineChars="200"/>
        <w:rPr>
          <w:color w:val="auto"/>
        </w:rPr>
      </w:pPr>
      <w:r>
        <w:rPr>
          <w:rFonts w:hint="eastAsia" w:eastAsia="黑体"/>
          <w:color w:val="auto"/>
        </w:rPr>
        <w:t>第八条</w:t>
      </w:r>
      <w:r>
        <w:rPr>
          <w:color w:val="auto"/>
        </w:rPr>
        <w:t xml:space="preserve">  </w:t>
      </w:r>
      <w:r>
        <w:rPr>
          <w:rFonts w:hint="eastAsia"/>
          <w:color w:val="auto"/>
        </w:rPr>
        <w:t>广东省生态环境厅审查环境影响评价文件时主要审查建设项目的环境可行性、环境影响分析预测评估、环境保护措施、环境影响评价结论，以及环境影响评价文件编制质量等方面。</w:t>
      </w:r>
    </w:p>
    <w:p>
      <w:pPr>
        <w:ind w:firstLine="632" w:firstLineChars="200"/>
        <w:rPr>
          <w:color w:val="auto"/>
        </w:rPr>
      </w:pPr>
      <w:r>
        <w:rPr>
          <w:rFonts w:hint="eastAsia" w:eastAsia="黑体"/>
          <w:color w:val="auto"/>
        </w:rPr>
        <w:t>第九条</w:t>
      </w:r>
      <w:r>
        <w:rPr>
          <w:color w:val="auto"/>
        </w:rPr>
        <w:t xml:space="preserve">  </w:t>
      </w:r>
      <w:r>
        <w:rPr>
          <w:rFonts w:hint="eastAsia"/>
          <w:color w:val="auto"/>
        </w:rPr>
        <w:t>广东省生态环境厅审批的建设项目环境影响评价文件，项目所在地地级以上市生态环境主管部门应在收到省生态环境厅征求环境影响评价文件意见的文件之日起10日内对环境影响评价文件提出意见，逾期视为无</w:t>
      </w:r>
      <w:r>
        <w:rPr>
          <w:rFonts w:hint="eastAsia"/>
          <w:color w:val="auto"/>
          <w:lang w:eastAsia="zh-CN"/>
        </w:rPr>
        <w:t>不同</w:t>
      </w:r>
      <w:r>
        <w:rPr>
          <w:rFonts w:hint="eastAsia"/>
          <w:color w:val="auto"/>
        </w:rPr>
        <w:t>意见。</w:t>
      </w:r>
    </w:p>
    <w:p>
      <w:pPr>
        <w:ind w:firstLine="632" w:firstLineChars="200"/>
        <w:rPr>
          <w:color w:val="auto"/>
        </w:rPr>
      </w:pPr>
    </w:p>
    <w:p>
      <w:pPr>
        <w:jc w:val="center"/>
        <w:rPr>
          <w:rFonts w:eastAsia="黑体"/>
          <w:color w:val="auto"/>
        </w:rPr>
      </w:pPr>
      <w:r>
        <w:rPr>
          <w:rFonts w:hint="eastAsia" w:eastAsia="黑体"/>
          <w:color w:val="auto"/>
        </w:rPr>
        <w:t>第四章  批  准</w:t>
      </w:r>
    </w:p>
    <w:p>
      <w:pPr>
        <w:ind w:firstLine="632" w:firstLineChars="200"/>
        <w:rPr>
          <w:color w:val="auto"/>
        </w:rPr>
      </w:pPr>
      <w:r>
        <w:rPr>
          <w:rFonts w:hint="eastAsia" w:eastAsia="黑体"/>
          <w:color w:val="auto"/>
        </w:rPr>
        <w:t>第十条</w:t>
      </w:r>
      <w:r>
        <w:rPr>
          <w:color w:val="auto"/>
        </w:rPr>
        <w:t xml:space="preserve">  </w:t>
      </w:r>
      <w:r>
        <w:rPr>
          <w:rFonts w:hint="eastAsia"/>
          <w:color w:val="auto"/>
        </w:rPr>
        <w:t>经审查通过的建设项目环境影响评价文件，广东省生态环境厅作出予以批准的决定，并书面通知建设单位。对不符合审查要求的建设项目，广东省生态环境厅作出不予批准的决定，书面通知建设单位，并说明理由。</w:t>
      </w:r>
    </w:p>
    <w:p>
      <w:pPr>
        <w:ind w:firstLine="632" w:firstLineChars="200"/>
        <w:rPr>
          <w:color w:val="auto"/>
        </w:rPr>
      </w:pPr>
      <w:r>
        <w:rPr>
          <w:rFonts w:hint="eastAsia" w:eastAsia="黑体"/>
          <w:color w:val="auto"/>
        </w:rPr>
        <w:t>第十一条</w:t>
      </w:r>
      <w:r>
        <w:rPr>
          <w:color w:val="auto"/>
        </w:rPr>
        <w:t xml:space="preserve">  </w:t>
      </w:r>
      <w:r>
        <w:rPr>
          <w:rFonts w:hint="eastAsia"/>
          <w:color w:val="auto"/>
        </w:rPr>
        <w:t xml:space="preserve">广东省生态环境厅作出决定前，在其网站公示拟批准或不予批准的建设项目信息；作出决定后，在其网站公告建设项目审批决定。国家规定需要保密的除外。 </w:t>
      </w:r>
    </w:p>
    <w:p>
      <w:pPr>
        <w:ind w:firstLine="632" w:firstLineChars="200"/>
        <w:rPr>
          <w:color w:val="auto"/>
        </w:rPr>
      </w:pPr>
      <w:r>
        <w:rPr>
          <w:rFonts w:hint="eastAsia" w:eastAsia="黑体"/>
          <w:color w:val="auto"/>
        </w:rPr>
        <w:t>第十二条</w:t>
      </w:r>
      <w:r>
        <w:rPr>
          <w:color w:val="auto"/>
        </w:rPr>
        <w:t xml:space="preserve">  </w:t>
      </w:r>
      <w:r>
        <w:rPr>
          <w:rFonts w:hint="eastAsia"/>
          <w:color w:val="auto"/>
        </w:rPr>
        <w:t xml:space="preserve">建设项目的环境影响评价文件自批准之日起超过5年，方决定该项目开工建设的，其环境影响评价文件应当报广东省生态环境厅重新审核。 </w:t>
      </w:r>
    </w:p>
    <w:p>
      <w:pPr>
        <w:ind w:firstLine="632" w:firstLineChars="200"/>
        <w:rPr>
          <w:color w:val="auto"/>
        </w:rPr>
      </w:pPr>
      <w:r>
        <w:rPr>
          <w:rFonts w:hint="eastAsia"/>
          <w:color w:val="auto"/>
        </w:rPr>
        <w:t xml:space="preserve">广东省生态环境厅从建设项目所在区域环境质量状况有无变化和原审批中适用的法律、法规、规章、标准有无变化两个方面对环境影响评价文件进行重新审核。若均未发生变化，广东省生态环境厅作出予以通过审核的决定，并书面通知建设单位。 </w:t>
      </w:r>
    </w:p>
    <w:p>
      <w:pPr>
        <w:ind w:firstLine="632" w:firstLineChars="200"/>
        <w:rPr>
          <w:color w:val="auto"/>
        </w:rPr>
      </w:pPr>
      <w:r>
        <w:rPr>
          <w:rFonts w:hint="eastAsia" w:eastAsia="黑体"/>
          <w:color w:val="auto"/>
        </w:rPr>
        <w:t>第十三条</w:t>
      </w:r>
      <w:r>
        <w:rPr>
          <w:color w:val="auto"/>
        </w:rPr>
        <w:t xml:space="preserve">  </w:t>
      </w:r>
      <w:r>
        <w:rPr>
          <w:rFonts w:hint="eastAsia"/>
          <w:color w:val="auto"/>
        </w:rPr>
        <w:t>建设项目环境影响评价文件经批准后，建设项目的性质、规模、地点、采用的生产工艺或者防治污染、防止生态破坏的措施发生重大变动，且可能导致环境影响显著变化（特别是不利环境影响加重的）的，建设单位应当重新报批建设项目环境影响评价文件。</w:t>
      </w:r>
    </w:p>
    <w:p>
      <w:pPr>
        <w:ind w:firstLine="632" w:firstLineChars="200"/>
        <w:rPr>
          <w:color w:val="auto"/>
        </w:rPr>
      </w:pPr>
      <w:r>
        <w:rPr>
          <w:rFonts w:hint="eastAsia" w:eastAsia="黑体"/>
          <w:color w:val="auto"/>
        </w:rPr>
        <w:t>第十四条</w:t>
      </w:r>
      <w:r>
        <w:rPr>
          <w:color w:val="auto"/>
        </w:rPr>
        <w:t xml:space="preserve">  </w:t>
      </w:r>
      <w:r>
        <w:rPr>
          <w:rFonts w:hint="eastAsia"/>
          <w:color w:val="auto"/>
        </w:rPr>
        <w:t>建设单位对审批或重新审核决定有异议的，可依法申请行政复议或提起行政诉讼。</w:t>
      </w:r>
    </w:p>
    <w:p>
      <w:pPr>
        <w:ind w:firstLine="632" w:firstLineChars="200"/>
        <w:rPr>
          <w:color w:val="auto"/>
        </w:rPr>
      </w:pPr>
    </w:p>
    <w:p>
      <w:pPr>
        <w:jc w:val="center"/>
        <w:rPr>
          <w:rFonts w:eastAsia="黑体"/>
          <w:color w:val="auto"/>
        </w:rPr>
      </w:pPr>
      <w:r>
        <w:rPr>
          <w:rFonts w:hint="eastAsia" w:eastAsia="黑体"/>
          <w:color w:val="auto"/>
        </w:rPr>
        <w:t>第五章  期  限</w:t>
      </w:r>
    </w:p>
    <w:p>
      <w:pPr>
        <w:ind w:firstLine="632" w:firstLineChars="200"/>
        <w:rPr>
          <w:color w:val="auto"/>
        </w:rPr>
      </w:pPr>
      <w:r>
        <w:rPr>
          <w:rFonts w:hint="eastAsia" w:eastAsia="黑体"/>
          <w:color w:val="auto"/>
        </w:rPr>
        <w:t>第十五条</w:t>
      </w:r>
      <w:r>
        <w:rPr>
          <w:color w:val="auto"/>
        </w:rPr>
        <w:t xml:space="preserve">  </w:t>
      </w:r>
      <w:r>
        <w:rPr>
          <w:rFonts w:hint="eastAsia"/>
          <w:color w:val="auto"/>
        </w:rPr>
        <w:t>按照广东省人民政府深化“放管服”改革要求，广东省生态环境厅对环境影响报告书、环境影响报告表作出审批决定的时限分别压缩至15日、7日内。如需建设单位修改完善环境影响评价文件，或涉海项目依法需征求其他单位意见的，广东省生态环境厅可根据实际情况，在法定时限内作出审批决定。</w:t>
      </w:r>
    </w:p>
    <w:p>
      <w:pPr>
        <w:ind w:firstLine="632" w:firstLineChars="200"/>
        <w:rPr>
          <w:color w:val="auto"/>
        </w:rPr>
      </w:pPr>
      <w:r>
        <w:rPr>
          <w:rFonts w:hint="eastAsia" w:eastAsia="黑体"/>
          <w:color w:val="auto"/>
        </w:rPr>
        <w:t>第十六条</w:t>
      </w:r>
      <w:r>
        <w:rPr>
          <w:color w:val="auto"/>
        </w:rPr>
        <w:t xml:space="preserve">  </w:t>
      </w:r>
      <w:r>
        <w:rPr>
          <w:rFonts w:hint="eastAsia"/>
          <w:color w:val="auto"/>
        </w:rPr>
        <w:t>重新审核的建设项目，广东省生态环境厅应当自收到环境影响评价文件之日起10日内，将审核意见书面通知建设单位。</w:t>
      </w:r>
    </w:p>
    <w:p>
      <w:pPr>
        <w:ind w:firstLine="632" w:firstLineChars="200"/>
        <w:rPr>
          <w:color w:val="auto"/>
        </w:rPr>
      </w:pPr>
      <w:r>
        <w:rPr>
          <w:rFonts w:hint="eastAsia" w:eastAsia="黑体"/>
          <w:color w:val="auto"/>
        </w:rPr>
        <w:t>第十七条</w:t>
      </w:r>
      <w:r>
        <w:rPr>
          <w:color w:val="auto"/>
        </w:rPr>
        <w:t xml:space="preserve">  </w:t>
      </w:r>
      <w:r>
        <w:rPr>
          <w:rFonts w:hint="eastAsia"/>
          <w:color w:val="auto"/>
        </w:rPr>
        <w:t>需要进行公告、公示、听证、专家评审和技术评估的，所需时间不计算在本章规定的期限内。技术评估工作原则上应在15日内完成。</w:t>
      </w:r>
    </w:p>
    <w:p>
      <w:pPr>
        <w:ind w:firstLine="632" w:firstLineChars="200"/>
        <w:rPr>
          <w:color w:val="auto"/>
        </w:rPr>
      </w:pPr>
    </w:p>
    <w:p>
      <w:pPr>
        <w:ind w:firstLine="632" w:firstLineChars="200"/>
        <w:jc w:val="center"/>
        <w:rPr>
          <w:rFonts w:eastAsia="黑体"/>
          <w:color w:val="auto"/>
        </w:rPr>
      </w:pPr>
      <w:r>
        <w:rPr>
          <w:rFonts w:hint="eastAsia" w:eastAsia="黑体"/>
          <w:color w:val="auto"/>
        </w:rPr>
        <w:t>第六章  附  则</w:t>
      </w:r>
    </w:p>
    <w:p>
      <w:pPr>
        <w:ind w:firstLine="632" w:firstLineChars="200"/>
        <w:rPr>
          <w:rFonts w:hint="eastAsia" w:eastAsia="黑体"/>
          <w:color w:val="auto"/>
        </w:rPr>
      </w:pPr>
      <w:r>
        <w:rPr>
          <w:rFonts w:hint="eastAsia" w:eastAsia="黑体"/>
          <w:color w:val="auto"/>
        </w:rPr>
        <w:t>第十八条</w:t>
      </w:r>
      <w:r>
        <w:rPr>
          <w:color w:val="auto"/>
        </w:rPr>
        <w:t xml:space="preserve">  </w:t>
      </w:r>
      <w:r>
        <w:rPr>
          <w:rFonts w:hint="eastAsia"/>
          <w:color w:val="auto"/>
        </w:rPr>
        <w:t>本规定中的期限以工作日计算，不含法定节假日。</w:t>
      </w:r>
    </w:p>
    <w:p>
      <w:pPr>
        <w:ind w:firstLine="632" w:firstLineChars="200"/>
        <w:rPr>
          <w:color w:val="auto"/>
        </w:rPr>
      </w:pPr>
      <w:r>
        <w:rPr>
          <w:rFonts w:hint="eastAsia" w:eastAsia="黑体"/>
          <w:color w:val="auto"/>
        </w:rPr>
        <w:t>第十九条</w:t>
      </w:r>
      <w:r>
        <w:rPr>
          <w:color w:val="auto"/>
        </w:rPr>
        <w:t xml:space="preserve">  </w:t>
      </w:r>
      <w:r>
        <w:rPr>
          <w:rFonts w:hint="eastAsia"/>
          <w:color w:val="auto"/>
        </w:rPr>
        <w:t>本规定由广东省生态环境厅负责解释，自202</w:t>
      </w:r>
      <w:r>
        <w:rPr>
          <w:rFonts w:hint="eastAsia"/>
          <w:color w:val="auto"/>
          <w:lang w:val="en-US" w:eastAsia="zh-CN"/>
        </w:rPr>
        <w:t>5</w:t>
      </w:r>
      <w:r>
        <w:rPr>
          <w:rFonts w:hint="eastAsia"/>
          <w:color w:val="auto"/>
        </w:rPr>
        <w:t>年1月1日起施行，有效期</w:t>
      </w:r>
      <w:r>
        <w:rPr>
          <w:color w:val="auto"/>
        </w:rPr>
        <w:t>5</w:t>
      </w:r>
      <w:r>
        <w:rPr>
          <w:rFonts w:hint="eastAsia"/>
          <w:color w:val="auto"/>
        </w:rPr>
        <w:t>年。《关于印发</w:t>
      </w:r>
      <w:r>
        <w:rPr>
          <w:rFonts w:hint="eastAsia"/>
          <w:color w:val="auto"/>
          <w:lang w:eastAsia="zh-CN"/>
        </w:rPr>
        <w:t>〈</w:t>
      </w:r>
      <w:r>
        <w:rPr>
          <w:rFonts w:hint="eastAsia"/>
          <w:color w:val="auto"/>
        </w:rPr>
        <w:t>广东省生态环境厅建设项目环境影响评价文件审批程序规定</w:t>
      </w:r>
      <w:r>
        <w:rPr>
          <w:rFonts w:hint="eastAsia"/>
          <w:color w:val="auto"/>
          <w:lang w:eastAsia="zh-CN"/>
        </w:rPr>
        <w:t>〉</w:t>
      </w:r>
      <w:r>
        <w:rPr>
          <w:rFonts w:hint="eastAsia"/>
          <w:color w:val="auto"/>
        </w:rPr>
        <w:t>的通知》（粤环</w:t>
      </w:r>
      <w:r>
        <w:rPr>
          <w:rFonts w:hint="eastAsia"/>
          <w:color w:val="auto"/>
          <w:lang w:eastAsia="zh-CN"/>
        </w:rPr>
        <w:t>发</w:t>
      </w:r>
      <w:r>
        <w:rPr>
          <w:rFonts w:hint="eastAsia"/>
          <w:color w:val="auto"/>
        </w:rPr>
        <w:t>〔201</w:t>
      </w:r>
      <w:r>
        <w:rPr>
          <w:rFonts w:hint="eastAsia"/>
          <w:color w:val="auto"/>
          <w:lang w:val="en-US" w:eastAsia="zh-CN"/>
        </w:rPr>
        <w:t>9</w:t>
      </w:r>
      <w:r>
        <w:rPr>
          <w:rFonts w:hint="eastAsia"/>
          <w:color w:val="auto"/>
        </w:rPr>
        <w:t>〕8号）同时废止。</w:t>
      </w:r>
    </w:p>
    <w:sectPr>
      <w:headerReference r:id="rId5" w:type="first"/>
      <w:footerReference r:id="rId8" w:type="first"/>
      <w:headerReference r:id="rId3" w:type="default"/>
      <w:footerReference r:id="rId6" w:type="default"/>
      <w:headerReference r:id="rId4" w:type="even"/>
      <w:footerReference r:id="rId7" w:type="even"/>
      <w:pgSz w:w="11906" w:h="16838"/>
      <w:pgMar w:top="2098" w:right="1474" w:bottom="1985" w:left="1588" w:header="851" w:footer="1588" w:gutter="0"/>
      <w:pgNumType w:start="1"/>
      <w:cols w:space="720" w:num="1"/>
      <w:titlePg/>
      <w:docGrid w:type="linesAndChars" w:linePitch="579" w:charSpace="-8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微软雅黑"/>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方正姚体">
    <w:panose1 w:val="02010601030101010101"/>
    <w:charset w:val="86"/>
    <w:family w:val="auto"/>
    <w:pitch w:val="default"/>
    <w:sig w:usb0="00000003"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pict>
        <v:shape id="_x0000_s4098" o:spid="_x0000_s4098" o:spt="202" type="#_x0000_t202" style="position:absolute;left:0pt;margin-top:0pt;height:144pt;width:144pt;mso-position-horizontal:outside;mso-position-horizontal-relative:margin;mso-wrap-style:none;z-index:251658240;mso-width-relative:page;mso-height-relative:page;" filled="f" stroked="f" coordsize="21600,21600">
          <v:path/>
          <v:fill on="f" focussize="0,0"/>
          <v:stroke on="f"/>
          <v:imagedata o:title=""/>
          <o:lock v:ext="edit" aspectratio="f"/>
          <v:textbox inset="0mm,0mm,0mm,0mm" style="mso-fit-shape-to-text:t;">
            <w:txbxContent>
              <w:p>
                <w:pPr>
                  <w:snapToGrid w:val="0"/>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ascii="宋体" w:hAnsi="宋体" w:eastAsia="宋体" w:cs="宋体"/>
                    <w:sz w:val="28"/>
                    <w:szCs w:val="28"/>
                  </w:rPr>
                  <w:t>2</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right" w:y="1"/>
      <w:rPr>
        <w:rStyle w:val="8"/>
      </w:rPr>
    </w:pPr>
    <w:r>
      <w:fldChar w:fldCharType="begin"/>
    </w:r>
    <w:r>
      <w:rPr>
        <w:rStyle w:val="8"/>
      </w:rPr>
      <w:instrText xml:space="preserve">PAGE  </w:instrText>
    </w:r>
    <w:r>
      <w:fldChar w:fldCharType="separate"/>
    </w:r>
    <w:r>
      <w:rPr>
        <w:rStyle w:val="8"/>
      </w:rPr>
      <w:t>1</w:t>
    </w:r>
    <w:r>
      <w:fldChar w:fldCharType="end"/>
    </w:r>
  </w:p>
  <w:p>
    <w:pPr>
      <w:pStyle w:val="4"/>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pict>
        <v:shape id="_x0000_s4097" o:spid="_x0000_s4097" o:spt="202" type="#_x0000_t202" style="position:absolute;left:0pt;margin-left:392.05pt;margin-top:-1.4pt;height:18.15pt;width:49.05pt;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pPr>
                  <w:snapToGrid w:val="0"/>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none" w:color="auto" w:sz="0" w:space="0"/>
      </w:pBdr>
      <w:rPr>
        <w:rFonts w:ascii="宋体" w:hAnsi="宋体" w:eastAsia="宋体"/>
        <w:sz w:val="18"/>
        <w:szCs w:val="18"/>
      </w:rPr>
    </w:pPr>
    <w:r>
      <w:rPr>
        <w:rFonts w:hint="eastAsia" w:ascii="宋体" w:hAnsi="宋体" w:eastAsia="宋体"/>
        <w:sz w:val="21"/>
        <w:szCs w:val="21"/>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1"/>
  <w:bordersDoNotSurroundHeader w:val="true"/>
  <w:bordersDoNotSurroundFooter w:val="true"/>
  <w:documentProtection w:enforcement="0"/>
  <w:defaultTabStop w:val="420"/>
  <w:hyphenationZone w:val="360"/>
  <w:drawingGridHorizontalSpacing w:val="158"/>
  <w:drawingGridVerticalSpacing w:val="579"/>
  <w:displayHorizontalDrawingGridEvery w:val="0"/>
  <w:displayVerticalDrawingGridEvery w:val="1"/>
  <w:characterSpacingControl w:val="compressPunctuation"/>
  <w:doNotValidateAgainstSchema/>
  <w:doNotDemarcateInvalidXml/>
  <w:hdrShapeDefaults>
    <o:shapelayout v:ext="edit">
      <o:idmap v:ext="edit" data="3,4"/>
    </o:shapelayout>
  </w:hdrShapeDefaults>
  <w:compat>
    <w:spaceForUL/>
    <w:balanceSingleByteDoubleByteWidth/>
    <w:doNotLeaveBackslashAlone/>
    <w:ulTrailSpace/>
    <w:doNotExpandShiftReturn/>
    <w:adjustLineHeightInTable/>
    <w:doNotBreakWrappedTables/>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70578"/>
    <w:rsid w:val="00156DFC"/>
    <w:rsid w:val="00170FB1"/>
    <w:rsid w:val="0028085B"/>
    <w:rsid w:val="002E3C64"/>
    <w:rsid w:val="00350453"/>
    <w:rsid w:val="007E04D7"/>
    <w:rsid w:val="0091081D"/>
    <w:rsid w:val="00B70578"/>
    <w:rsid w:val="00BC242B"/>
    <w:rsid w:val="00C062FC"/>
    <w:rsid w:val="00D126B4"/>
    <w:rsid w:val="00EC4F92"/>
    <w:rsid w:val="024A5FC2"/>
    <w:rsid w:val="02906B18"/>
    <w:rsid w:val="04A34F6D"/>
    <w:rsid w:val="05413F92"/>
    <w:rsid w:val="06761CF5"/>
    <w:rsid w:val="07B55934"/>
    <w:rsid w:val="08FF250B"/>
    <w:rsid w:val="090355F5"/>
    <w:rsid w:val="095168F5"/>
    <w:rsid w:val="0C7448B6"/>
    <w:rsid w:val="0C9F306D"/>
    <w:rsid w:val="0F384923"/>
    <w:rsid w:val="0FDF0304"/>
    <w:rsid w:val="10584303"/>
    <w:rsid w:val="10F61D54"/>
    <w:rsid w:val="12C53943"/>
    <w:rsid w:val="1362715F"/>
    <w:rsid w:val="16032F1D"/>
    <w:rsid w:val="18023F1F"/>
    <w:rsid w:val="1CE01E94"/>
    <w:rsid w:val="1EAF797B"/>
    <w:rsid w:val="1EBA7E7F"/>
    <w:rsid w:val="201F0E8F"/>
    <w:rsid w:val="20564756"/>
    <w:rsid w:val="21F66DBA"/>
    <w:rsid w:val="23DE6D17"/>
    <w:rsid w:val="271E0F8B"/>
    <w:rsid w:val="27B45C1A"/>
    <w:rsid w:val="2A457AF0"/>
    <w:rsid w:val="2B401200"/>
    <w:rsid w:val="2B597D30"/>
    <w:rsid w:val="2B5C080E"/>
    <w:rsid w:val="31FA52AD"/>
    <w:rsid w:val="31FB3EF8"/>
    <w:rsid w:val="34E13014"/>
    <w:rsid w:val="3A28416D"/>
    <w:rsid w:val="3A586C32"/>
    <w:rsid w:val="3B7D074E"/>
    <w:rsid w:val="3DF00ED4"/>
    <w:rsid w:val="40390843"/>
    <w:rsid w:val="42EE647F"/>
    <w:rsid w:val="43E11BA2"/>
    <w:rsid w:val="4406645C"/>
    <w:rsid w:val="44D20578"/>
    <w:rsid w:val="461F59BD"/>
    <w:rsid w:val="46A31752"/>
    <w:rsid w:val="47477F41"/>
    <w:rsid w:val="476C7AAC"/>
    <w:rsid w:val="479F219A"/>
    <w:rsid w:val="48536694"/>
    <w:rsid w:val="49A96CC0"/>
    <w:rsid w:val="4B290384"/>
    <w:rsid w:val="513820FB"/>
    <w:rsid w:val="58EF2D4C"/>
    <w:rsid w:val="5B710D1B"/>
    <w:rsid w:val="5D7606F1"/>
    <w:rsid w:val="5EC51C35"/>
    <w:rsid w:val="5EDA76E9"/>
    <w:rsid w:val="5F745811"/>
    <w:rsid w:val="620F0ECB"/>
    <w:rsid w:val="633F69ED"/>
    <w:rsid w:val="63D91C2E"/>
    <w:rsid w:val="64F24EB3"/>
    <w:rsid w:val="65F12D0A"/>
    <w:rsid w:val="665FC31F"/>
    <w:rsid w:val="66E13B8A"/>
    <w:rsid w:val="675E1364"/>
    <w:rsid w:val="67AF3990"/>
    <w:rsid w:val="6D75C037"/>
    <w:rsid w:val="6E653D30"/>
    <w:rsid w:val="6E7B5293"/>
    <w:rsid w:val="707931A8"/>
    <w:rsid w:val="70B93810"/>
    <w:rsid w:val="716821FC"/>
    <w:rsid w:val="75856673"/>
    <w:rsid w:val="78320AF5"/>
    <w:rsid w:val="78E57339"/>
    <w:rsid w:val="7AF1151D"/>
    <w:rsid w:val="7B32542F"/>
    <w:rsid w:val="7DC7646A"/>
    <w:rsid w:val="7E7C20EE"/>
    <w:rsid w:val="7EFBDDAE"/>
    <w:rsid w:val="AFFFD25B"/>
    <w:rsid w:val="DFAE40A9"/>
    <w:rsid w:val="FFBFB06E"/>
    <w:rsid w:val="FFF7A384"/>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2"/>
      <w:szCs w:val="24"/>
      <w:lang w:val="en-US" w:eastAsia="zh-CN" w:bidi="ar-SA"/>
    </w:rPr>
  </w:style>
  <w:style w:type="character" w:default="1" w:styleId="7">
    <w:name w:val="Default Paragraph Font"/>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rPr>
      <w:rFonts w:eastAsia="方正姚体"/>
      <w:b/>
      <w:color w:val="FF0000"/>
      <w:sz w:val="84"/>
    </w:rPr>
  </w:style>
  <w:style w:type="paragraph" w:styleId="3">
    <w:name w:val="Balloon Text"/>
    <w:basedOn w:val="1"/>
    <w:link w:val="9"/>
    <w:qFormat/>
    <w:uiPriority w:val="0"/>
    <w:rPr>
      <w:rFonts w:ascii="Times New Roman" w:hAnsi="Times New Roman" w:cs="Times New Roman"/>
      <w:sz w:val="18"/>
      <w:szCs w:val="18"/>
    </w:r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8">
    <w:name w:val="page number"/>
    <w:basedOn w:val="7"/>
    <w:qFormat/>
    <w:uiPriority w:val="0"/>
  </w:style>
  <w:style w:type="character" w:customStyle="1" w:styleId="9">
    <w:name w:val="批注框文本 Char"/>
    <w:link w:val="3"/>
    <w:qFormat/>
    <w:uiPriority w:val="0"/>
    <w:rPr>
      <w:rFonts w:ascii="Times New Roman" w:hAnsi="Times New Roman" w:eastAsia="仿宋_GB2312" w:cs="Times New Roman"/>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4098" textRotate="1"/>
    <customShpInfo spid="_x0000_s4097"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A4标准版</Template>
  <Company>Microsoft</Company>
  <Pages>6</Pages>
  <Words>2082</Words>
  <Characters>2132</Characters>
  <Lines>1</Lines>
  <Paragraphs>1</Paragraphs>
  <TotalTime>10</TotalTime>
  <ScaleCrop>false</ScaleCrop>
  <LinksUpToDate>false</LinksUpToDate>
  <CharactersWithSpaces>2218</CharactersWithSpaces>
  <Application>WPS Office_11.8.2.10587_F1E327BC-269C-435d-A152-05C5408002CA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2008-07-31T16:22:00Z</dcterms:created>
  <dc:creator>猪猪番薯</dc:creator>
  <cp:lastModifiedBy>刘翔</cp:lastModifiedBy>
  <cp:lastPrinted>2018-10-24T10:28:00Z</cp:lastPrinted>
  <dcterms:modified xsi:type="dcterms:W3CDTF">2024-10-29T16:06:53Z</dcterms:modified>
  <dc:title>广东省环境保护局文件</dc:title>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2052-11.8.2.10587</vt:lpwstr>
  </property>
</Properties>
</file>