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D3E" w:rsidRDefault="005B6D3E" w:rsidP="005B6D3E">
      <w:pPr>
        <w:rPr>
          <w:sz w:val="32"/>
          <w:szCs w:val="32"/>
        </w:rPr>
      </w:pPr>
    </w:p>
    <w:p w:rsidR="005B6D3E" w:rsidRDefault="005B6D3E" w:rsidP="005B6D3E">
      <w:pPr>
        <w:rPr>
          <w:rFonts w:ascii="文鼎小标宋简" w:eastAsia="文鼎小标宋简" w:hAnsi="文鼎小标宋简" w:cs="文鼎小标宋简"/>
          <w:sz w:val="36"/>
          <w:szCs w:val="36"/>
        </w:rPr>
      </w:pPr>
      <w:r>
        <w:rPr>
          <w:rFonts w:ascii="宋体" w:eastAsia="宋体" w:hAnsi="宋体" w:cs="宋体" w:hint="eastAsia"/>
          <w:b/>
          <w:bCs/>
          <w:sz w:val="28"/>
          <w:szCs w:val="28"/>
        </w:rPr>
        <w:t>附件</w:t>
      </w:r>
      <w:r>
        <w:rPr>
          <w:rFonts w:ascii="黑体" w:eastAsia="黑体" w:hAnsi="黑体" w:cs="黑体" w:hint="eastAsia"/>
        </w:rPr>
        <w:t xml:space="preserve">                   </w:t>
      </w:r>
      <w:r>
        <w:rPr>
          <w:rFonts w:ascii="文鼎小标宋简" w:eastAsia="文鼎小标宋简" w:hAnsi="文鼎小标宋简" w:cs="文鼎小标宋简" w:hint="eastAsia"/>
          <w:sz w:val="36"/>
          <w:szCs w:val="36"/>
        </w:rPr>
        <w:t xml:space="preserve">            砖瓦行业环保专项执法检查表</w:t>
      </w:r>
    </w:p>
    <w:p w:rsidR="005B6D3E" w:rsidRDefault="005B6D3E" w:rsidP="005B6D3E">
      <w:pPr>
        <w:rPr>
          <w:rFonts w:ascii="楷体_GB2312" w:eastAsia="楷体_GB2312" w:hAnsi="楷体_GB2312" w:cs="楷体_GB2312"/>
          <w:sz w:val="24"/>
        </w:rPr>
      </w:pPr>
      <w:r>
        <w:rPr>
          <w:rFonts w:ascii="楷体_GB2312" w:eastAsia="楷体_GB2312" w:hAnsi="楷体_GB2312" w:cs="楷体_GB2312" w:hint="eastAsia"/>
          <w:b/>
          <w:color w:val="000000"/>
          <w:kern w:val="0"/>
          <w:sz w:val="24"/>
        </w:rPr>
        <w:t>填表单位：深圳市环境监察支队                                                            填表日期：2017年8月18日</w:t>
      </w:r>
    </w:p>
    <w:tbl>
      <w:tblPr>
        <w:tblW w:w="15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4"/>
        <w:gridCol w:w="1060"/>
        <w:gridCol w:w="1134"/>
        <w:gridCol w:w="567"/>
        <w:gridCol w:w="567"/>
        <w:gridCol w:w="641"/>
        <w:gridCol w:w="1209"/>
        <w:gridCol w:w="985"/>
        <w:gridCol w:w="604"/>
        <w:gridCol w:w="794"/>
        <w:gridCol w:w="783"/>
        <w:gridCol w:w="964"/>
        <w:gridCol w:w="782"/>
        <w:gridCol w:w="893"/>
        <w:gridCol w:w="992"/>
        <w:gridCol w:w="1069"/>
        <w:gridCol w:w="782"/>
        <w:gridCol w:w="778"/>
      </w:tblGrid>
      <w:tr w:rsidR="005B6D3E" w:rsidTr="00B717CF">
        <w:trPr>
          <w:cantSplit/>
          <w:tblHeader/>
          <w:jc w:val="center"/>
        </w:trPr>
        <w:tc>
          <w:tcPr>
            <w:tcW w:w="794" w:type="dxa"/>
            <w:vAlign w:val="center"/>
          </w:tcPr>
          <w:p w:rsidR="005B6D3E" w:rsidRPr="0031190E" w:rsidRDefault="005B6D3E" w:rsidP="00B717CF">
            <w:pPr>
              <w:widowControl/>
              <w:spacing w:line="340" w:lineRule="exact"/>
              <w:jc w:val="center"/>
              <w:textAlignment w:val="center"/>
              <w:rPr>
                <w:rFonts w:ascii="Calibri" w:eastAsia="楷体_GB2312" w:hAnsi="Calibri" w:cs="Times New Roman"/>
                <w:szCs w:val="21"/>
              </w:rPr>
            </w:pPr>
            <w:r w:rsidRPr="0031190E">
              <w:rPr>
                <w:rFonts w:ascii="Calibri" w:eastAsia="楷体_GB2312" w:hAnsi="Calibri" w:cs="Times New Roman"/>
                <w:color w:val="000000"/>
                <w:kern w:val="0"/>
                <w:szCs w:val="21"/>
              </w:rPr>
              <w:t>序号</w:t>
            </w:r>
          </w:p>
        </w:tc>
        <w:tc>
          <w:tcPr>
            <w:tcW w:w="1060" w:type="dxa"/>
            <w:vAlign w:val="center"/>
          </w:tcPr>
          <w:p w:rsidR="005B6D3E" w:rsidRPr="0031190E" w:rsidRDefault="005B6D3E" w:rsidP="00B717CF">
            <w:pPr>
              <w:widowControl/>
              <w:spacing w:line="340" w:lineRule="exact"/>
              <w:jc w:val="center"/>
              <w:textAlignment w:val="center"/>
              <w:rPr>
                <w:rFonts w:ascii="Calibri" w:eastAsia="楷体_GB2312" w:hAnsi="Calibri" w:cs="Times New Roman"/>
                <w:szCs w:val="21"/>
              </w:rPr>
            </w:pPr>
            <w:r w:rsidRPr="0031190E">
              <w:rPr>
                <w:rFonts w:ascii="Calibri" w:eastAsia="楷体_GB2312" w:hAnsi="Calibri" w:cs="Times New Roman"/>
                <w:color w:val="000000"/>
                <w:kern w:val="0"/>
                <w:szCs w:val="21"/>
              </w:rPr>
              <w:t>企业名称</w:t>
            </w:r>
          </w:p>
        </w:tc>
        <w:tc>
          <w:tcPr>
            <w:tcW w:w="1134" w:type="dxa"/>
            <w:vAlign w:val="center"/>
          </w:tcPr>
          <w:p w:rsidR="005B6D3E" w:rsidRPr="0031190E" w:rsidRDefault="005B6D3E" w:rsidP="00B717CF">
            <w:pPr>
              <w:widowControl/>
              <w:spacing w:line="340" w:lineRule="exact"/>
              <w:jc w:val="center"/>
              <w:textAlignment w:val="center"/>
              <w:rPr>
                <w:rFonts w:ascii="Calibri" w:eastAsia="楷体_GB2312" w:hAnsi="Calibri" w:cs="Times New Roman"/>
                <w:szCs w:val="21"/>
              </w:rPr>
            </w:pPr>
            <w:r w:rsidRPr="0031190E">
              <w:rPr>
                <w:rFonts w:ascii="Calibri" w:eastAsia="楷体_GB2312" w:hAnsi="Calibri" w:cs="Times New Roman"/>
                <w:color w:val="000000"/>
                <w:kern w:val="0"/>
                <w:szCs w:val="21"/>
              </w:rPr>
              <w:t>地址</w:t>
            </w:r>
          </w:p>
        </w:tc>
        <w:tc>
          <w:tcPr>
            <w:tcW w:w="567" w:type="dxa"/>
            <w:vAlign w:val="center"/>
          </w:tcPr>
          <w:p w:rsidR="005B6D3E" w:rsidRPr="0031190E" w:rsidRDefault="005B6D3E" w:rsidP="00B717CF">
            <w:pPr>
              <w:widowControl/>
              <w:spacing w:line="340" w:lineRule="exact"/>
              <w:jc w:val="center"/>
              <w:textAlignment w:val="center"/>
              <w:rPr>
                <w:rFonts w:ascii="Calibri" w:eastAsia="楷体_GB2312" w:hAnsi="Calibri" w:cs="Times New Roman"/>
                <w:szCs w:val="21"/>
              </w:rPr>
            </w:pPr>
            <w:r w:rsidRPr="0031190E">
              <w:rPr>
                <w:rFonts w:ascii="Calibri" w:eastAsia="楷体_GB2312" w:hAnsi="Calibri" w:cs="Times New Roman"/>
                <w:color w:val="000000"/>
                <w:kern w:val="0"/>
                <w:szCs w:val="21"/>
              </w:rPr>
              <w:t>经度</w:t>
            </w:r>
          </w:p>
        </w:tc>
        <w:tc>
          <w:tcPr>
            <w:tcW w:w="567" w:type="dxa"/>
            <w:vAlign w:val="center"/>
          </w:tcPr>
          <w:p w:rsidR="005B6D3E" w:rsidRPr="0031190E" w:rsidRDefault="005B6D3E" w:rsidP="00B717CF">
            <w:pPr>
              <w:widowControl/>
              <w:spacing w:line="340" w:lineRule="exact"/>
              <w:jc w:val="center"/>
              <w:textAlignment w:val="center"/>
              <w:rPr>
                <w:rFonts w:ascii="Calibri" w:eastAsia="楷体_GB2312" w:hAnsi="Calibri" w:cs="Times New Roman"/>
                <w:szCs w:val="21"/>
              </w:rPr>
            </w:pPr>
            <w:r w:rsidRPr="0031190E">
              <w:rPr>
                <w:rFonts w:ascii="Calibri" w:eastAsia="楷体_GB2312" w:hAnsi="Calibri" w:cs="Times New Roman"/>
                <w:color w:val="000000"/>
                <w:kern w:val="0"/>
                <w:szCs w:val="21"/>
              </w:rPr>
              <w:t>纬度</w:t>
            </w:r>
          </w:p>
        </w:tc>
        <w:tc>
          <w:tcPr>
            <w:tcW w:w="641" w:type="dxa"/>
            <w:vAlign w:val="center"/>
          </w:tcPr>
          <w:p w:rsidR="005B6D3E" w:rsidRPr="0031190E" w:rsidRDefault="005B6D3E" w:rsidP="00B717CF">
            <w:pPr>
              <w:widowControl/>
              <w:spacing w:line="340" w:lineRule="exact"/>
              <w:jc w:val="center"/>
              <w:textAlignment w:val="center"/>
              <w:rPr>
                <w:rFonts w:ascii="Calibri" w:eastAsia="楷体_GB2312" w:hAnsi="Calibri" w:cs="Times New Roman"/>
                <w:szCs w:val="21"/>
              </w:rPr>
            </w:pPr>
            <w:r w:rsidRPr="0031190E">
              <w:rPr>
                <w:rFonts w:ascii="Calibri" w:eastAsia="楷体_GB2312" w:hAnsi="Calibri" w:cs="Times New Roman"/>
                <w:color w:val="000000"/>
                <w:kern w:val="0"/>
                <w:szCs w:val="21"/>
              </w:rPr>
              <w:t>生产状态</w:t>
            </w:r>
          </w:p>
        </w:tc>
        <w:tc>
          <w:tcPr>
            <w:tcW w:w="1209" w:type="dxa"/>
            <w:vAlign w:val="center"/>
          </w:tcPr>
          <w:p w:rsidR="005B6D3E" w:rsidRPr="0031190E" w:rsidRDefault="005B6D3E" w:rsidP="00B717CF">
            <w:pPr>
              <w:widowControl/>
              <w:spacing w:line="340" w:lineRule="exact"/>
              <w:jc w:val="center"/>
              <w:textAlignment w:val="center"/>
              <w:rPr>
                <w:rFonts w:ascii="Calibri" w:eastAsia="楷体_GB2312" w:hAnsi="Calibri" w:cs="Times New Roman"/>
                <w:szCs w:val="21"/>
              </w:rPr>
            </w:pPr>
            <w:r w:rsidRPr="0031190E">
              <w:rPr>
                <w:rFonts w:ascii="Calibri" w:eastAsia="楷体_GB2312" w:hAnsi="Calibri" w:cs="Times New Roman"/>
                <w:color w:val="000000"/>
                <w:kern w:val="0"/>
                <w:szCs w:val="21"/>
              </w:rPr>
              <w:t>产品及规模（万块</w:t>
            </w:r>
            <w:r w:rsidRPr="0031190E">
              <w:rPr>
                <w:rFonts w:ascii="Calibri" w:eastAsia="楷体_GB2312" w:hAnsi="Calibri" w:cs="Times New Roman"/>
                <w:color w:val="000000"/>
                <w:kern w:val="0"/>
                <w:szCs w:val="21"/>
              </w:rPr>
              <w:t>/</w:t>
            </w:r>
            <w:r w:rsidRPr="0031190E">
              <w:rPr>
                <w:rFonts w:ascii="Calibri" w:eastAsia="楷体_GB2312" w:hAnsi="Calibri" w:cs="Times New Roman"/>
                <w:color w:val="000000"/>
                <w:kern w:val="0"/>
                <w:szCs w:val="21"/>
              </w:rPr>
              <w:t>年）</w:t>
            </w:r>
          </w:p>
        </w:tc>
        <w:tc>
          <w:tcPr>
            <w:tcW w:w="985" w:type="dxa"/>
            <w:vAlign w:val="center"/>
          </w:tcPr>
          <w:p w:rsidR="005B6D3E" w:rsidRPr="0031190E" w:rsidRDefault="005B6D3E" w:rsidP="00B717CF">
            <w:pPr>
              <w:widowControl/>
              <w:spacing w:line="340" w:lineRule="exact"/>
              <w:jc w:val="center"/>
              <w:textAlignment w:val="center"/>
              <w:rPr>
                <w:rFonts w:ascii="Calibri" w:eastAsia="楷体_GB2312" w:hAnsi="Calibri" w:cs="Times New Roman"/>
                <w:szCs w:val="21"/>
              </w:rPr>
            </w:pPr>
            <w:r w:rsidRPr="0031190E">
              <w:rPr>
                <w:rFonts w:ascii="Calibri" w:eastAsia="楷体_GB2312" w:hAnsi="Calibri" w:cs="Times New Roman"/>
                <w:color w:val="000000"/>
                <w:kern w:val="0"/>
                <w:szCs w:val="21"/>
              </w:rPr>
              <w:t>原料及燃料</w:t>
            </w:r>
          </w:p>
        </w:tc>
        <w:tc>
          <w:tcPr>
            <w:tcW w:w="604" w:type="dxa"/>
            <w:vAlign w:val="center"/>
          </w:tcPr>
          <w:p w:rsidR="005B6D3E" w:rsidRPr="0031190E" w:rsidRDefault="005B6D3E" w:rsidP="00B717CF">
            <w:pPr>
              <w:widowControl/>
              <w:spacing w:line="340" w:lineRule="exact"/>
              <w:jc w:val="center"/>
              <w:textAlignment w:val="center"/>
              <w:rPr>
                <w:rFonts w:ascii="Calibri" w:eastAsia="楷体_GB2312" w:hAnsi="Calibri" w:cs="Times New Roman"/>
                <w:szCs w:val="21"/>
              </w:rPr>
            </w:pPr>
            <w:r w:rsidRPr="0031190E">
              <w:rPr>
                <w:rFonts w:ascii="Calibri" w:eastAsia="楷体_GB2312" w:hAnsi="Calibri" w:cs="Times New Roman"/>
                <w:color w:val="000000"/>
                <w:kern w:val="0"/>
                <w:szCs w:val="21"/>
              </w:rPr>
              <w:t>是否环评审批</w:t>
            </w:r>
          </w:p>
        </w:tc>
        <w:tc>
          <w:tcPr>
            <w:tcW w:w="794" w:type="dxa"/>
            <w:vAlign w:val="center"/>
          </w:tcPr>
          <w:p w:rsidR="005B6D3E" w:rsidRPr="0031190E" w:rsidRDefault="005B6D3E" w:rsidP="00B717CF">
            <w:pPr>
              <w:widowControl/>
              <w:spacing w:line="340" w:lineRule="exact"/>
              <w:jc w:val="center"/>
              <w:textAlignment w:val="center"/>
              <w:rPr>
                <w:rFonts w:ascii="Calibri" w:eastAsia="楷体_GB2312" w:hAnsi="Calibri" w:cs="Times New Roman"/>
                <w:szCs w:val="21"/>
              </w:rPr>
            </w:pPr>
            <w:r w:rsidRPr="0031190E">
              <w:rPr>
                <w:rFonts w:ascii="Calibri" w:eastAsia="楷体_GB2312" w:hAnsi="Calibri" w:cs="Times New Roman"/>
                <w:color w:val="000000"/>
                <w:kern w:val="0"/>
                <w:szCs w:val="21"/>
              </w:rPr>
              <w:t>是否建设除尘脱硫设施</w:t>
            </w:r>
          </w:p>
        </w:tc>
        <w:tc>
          <w:tcPr>
            <w:tcW w:w="783" w:type="dxa"/>
            <w:vAlign w:val="center"/>
          </w:tcPr>
          <w:p w:rsidR="005B6D3E" w:rsidRPr="0031190E" w:rsidRDefault="005B6D3E" w:rsidP="00B717CF">
            <w:pPr>
              <w:widowControl/>
              <w:spacing w:line="340" w:lineRule="exact"/>
              <w:jc w:val="center"/>
              <w:textAlignment w:val="center"/>
              <w:rPr>
                <w:rFonts w:ascii="Calibri" w:eastAsia="楷体_GB2312" w:hAnsi="Calibri" w:cs="Times New Roman"/>
                <w:szCs w:val="21"/>
              </w:rPr>
            </w:pPr>
            <w:r w:rsidRPr="0031190E">
              <w:rPr>
                <w:rFonts w:ascii="Calibri" w:eastAsia="楷体_GB2312" w:hAnsi="Calibri" w:cs="Times New Roman"/>
                <w:color w:val="000000"/>
                <w:kern w:val="0"/>
                <w:szCs w:val="21"/>
              </w:rPr>
              <w:t>破碎工段是否建设除尘设施</w:t>
            </w:r>
          </w:p>
        </w:tc>
        <w:tc>
          <w:tcPr>
            <w:tcW w:w="964" w:type="dxa"/>
            <w:vAlign w:val="center"/>
          </w:tcPr>
          <w:p w:rsidR="005B6D3E" w:rsidRPr="0031190E" w:rsidRDefault="005B6D3E" w:rsidP="00B717CF">
            <w:pPr>
              <w:widowControl/>
              <w:spacing w:line="340" w:lineRule="exact"/>
              <w:jc w:val="center"/>
              <w:textAlignment w:val="center"/>
              <w:rPr>
                <w:rFonts w:ascii="Calibri" w:eastAsia="楷体_GB2312" w:hAnsi="Calibri" w:cs="Times New Roman"/>
                <w:szCs w:val="21"/>
              </w:rPr>
            </w:pPr>
            <w:r w:rsidRPr="0031190E">
              <w:rPr>
                <w:rFonts w:ascii="Calibri" w:eastAsia="楷体_GB2312" w:hAnsi="Calibri" w:cs="Times New Roman"/>
                <w:color w:val="000000"/>
                <w:kern w:val="0"/>
                <w:szCs w:val="21"/>
              </w:rPr>
              <w:t>制备成型工段是否建设除尘设施</w:t>
            </w:r>
          </w:p>
        </w:tc>
        <w:tc>
          <w:tcPr>
            <w:tcW w:w="782" w:type="dxa"/>
            <w:vAlign w:val="center"/>
          </w:tcPr>
          <w:p w:rsidR="005B6D3E" w:rsidRPr="0031190E" w:rsidRDefault="005B6D3E" w:rsidP="00B717CF">
            <w:pPr>
              <w:widowControl/>
              <w:spacing w:line="340" w:lineRule="exact"/>
              <w:jc w:val="center"/>
              <w:textAlignment w:val="center"/>
              <w:rPr>
                <w:rFonts w:ascii="Calibri" w:eastAsia="楷体_GB2312" w:hAnsi="Calibri" w:cs="Times New Roman"/>
                <w:szCs w:val="21"/>
              </w:rPr>
            </w:pPr>
            <w:r w:rsidRPr="0031190E">
              <w:rPr>
                <w:rFonts w:ascii="Calibri" w:eastAsia="楷体_GB2312" w:hAnsi="Calibri" w:cs="Times New Roman"/>
                <w:color w:val="000000"/>
                <w:kern w:val="0"/>
                <w:szCs w:val="21"/>
              </w:rPr>
              <w:t>是否安装废气在线监测</w:t>
            </w:r>
          </w:p>
        </w:tc>
        <w:tc>
          <w:tcPr>
            <w:tcW w:w="893" w:type="dxa"/>
            <w:vAlign w:val="center"/>
          </w:tcPr>
          <w:p w:rsidR="005B6D3E" w:rsidRPr="0031190E" w:rsidRDefault="005B6D3E" w:rsidP="00B717CF">
            <w:pPr>
              <w:widowControl/>
              <w:spacing w:line="340" w:lineRule="exact"/>
              <w:jc w:val="center"/>
              <w:textAlignment w:val="center"/>
              <w:rPr>
                <w:rFonts w:ascii="Calibri" w:eastAsia="楷体_GB2312" w:hAnsi="Calibri" w:cs="Times New Roman"/>
                <w:szCs w:val="21"/>
              </w:rPr>
            </w:pPr>
            <w:r w:rsidRPr="0031190E">
              <w:rPr>
                <w:rFonts w:ascii="Calibri" w:eastAsia="楷体_GB2312" w:hAnsi="Calibri" w:cs="Times New Roman"/>
                <w:color w:val="000000"/>
                <w:kern w:val="0"/>
                <w:szCs w:val="21"/>
              </w:rPr>
              <w:t>污染防治及在线设施是否正常运行</w:t>
            </w:r>
          </w:p>
        </w:tc>
        <w:tc>
          <w:tcPr>
            <w:tcW w:w="992" w:type="dxa"/>
            <w:vAlign w:val="center"/>
          </w:tcPr>
          <w:p w:rsidR="005B6D3E" w:rsidRPr="0031190E" w:rsidRDefault="005B6D3E" w:rsidP="00B717CF">
            <w:pPr>
              <w:widowControl/>
              <w:spacing w:line="340" w:lineRule="exact"/>
              <w:jc w:val="center"/>
              <w:textAlignment w:val="center"/>
              <w:rPr>
                <w:rFonts w:ascii="Calibri" w:eastAsia="楷体_GB2312" w:hAnsi="Calibri" w:cs="Times New Roman"/>
                <w:szCs w:val="21"/>
              </w:rPr>
            </w:pPr>
            <w:r w:rsidRPr="0031190E">
              <w:rPr>
                <w:rFonts w:ascii="Calibri" w:eastAsia="楷体_GB2312" w:hAnsi="Calibri" w:cs="Times New Roman"/>
                <w:color w:val="000000"/>
                <w:kern w:val="0"/>
                <w:szCs w:val="21"/>
              </w:rPr>
              <w:t>干燥和焙烧窑排放口是否规范</w:t>
            </w:r>
          </w:p>
        </w:tc>
        <w:tc>
          <w:tcPr>
            <w:tcW w:w="1069" w:type="dxa"/>
            <w:vAlign w:val="center"/>
          </w:tcPr>
          <w:p w:rsidR="005B6D3E" w:rsidRPr="0031190E" w:rsidRDefault="005B6D3E" w:rsidP="00B717CF">
            <w:pPr>
              <w:widowControl/>
              <w:spacing w:line="340" w:lineRule="exact"/>
              <w:jc w:val="center"/>
              <w:textAlignment w:val="center"/>
              <w:rPr>
                <w:rFonts w:ascii="Calibri" w:eastAsia="楷体_GB2312" w:hAnsi="Calibri" w:cs="Times New Roman"/>
                <w:szCs w:val="21"/>
              </w:rPr>
            </w:pPr>
            <w:r w:rsidRPr="0031190E">
              <w:rPr>
                <w:rFonts w:ascii="Calibri" w:eastAsia="楷体_GB2312" w:hAnsi="Calibri" w:cs="Times New Roman"/>
                <w:color w:val="000000"/>
                <w:kern w:val="0"/>
                <w:szCs w:val="21"/>
              </w:rPr>
              <w:t>污染物是否达标</w:t>
            </w:r>
          </w:p>
        </w:tc>
        <w:tc>
          <w:tcPr>
            <w:tcW w:w="782" w:type="dxa"/>
            <w:vAlign w:val="center"/>
          </w:tcPr>
          <w:p w:rsidR="005B6D3E" w:rsidRPr="0031190E" w:rsidRDefault="005B6D3E" w:rsidP="00B717CF">
            <w:pPr>
              <w:widowControl/>
              <w:spacing w:line="340" w:lineRule="exact"/>
              <w:jc w:val="center"/>
              <w:textAlignment w:val="center"/>
              <w:rPr>
                <w:rFonts w:ascii="Calibri" w:eastAsia="楷体_GB2312" w:hAnsi="Calibri" w:cs="Times New Roman"/>
                <w:szCs w:val="21"/>
              </w:rPr>
            </w:pPr>
            <w:r w:rsidRPr="0031190E">
              <w:rPr>
                <w:rFonts w:ascii="Calibri" w:eastAsia="楷体_GB2312" w:hAnsi="Calibri" w:cs="Times New Roman"/>
                <w:color w:val="000000"/>
                <w:kern w:val="0"/>
                <w:szCs w:val="21"/>
              </w:rPr>
              <w:t>无组织排放是否达标</w:t>
            </w:r>
          </w:p>
        </w:tc>
        <w:tc>
          <w:tcPr>
            <w:tcW w:w="778" w:type="dxa"/>
            <w:vAlign w:val="center"/>
          </w:tcPr>
          <w:p w:rsidR="005B6D3E" w:rsidRPr="0031190E" w:rsidRDefault="005B6D3E" w:rsidP="00B717CF">
            <w:pPr>
              <w:widowControl/>
              <w:spacing w:line="340" w:lineRule="exact"/>
              <w:jc w:val="center"/>
              <w:textAlignment w:val="center"/>
              <w:rPr>
                <w:rFonts w:ascii="Calibri" w:eastAsia="楷体_GB2312" w:hAnsi="Calibri" w:cs="Times New Roman"/>
                <w:szCs w:val="21"/>
              </w:rPr>
            </w:pPr>
            <w:r w:rsidRPr="0031190E">
              <w:rPr>
                <w:rFonts w:ascii="Calibri" w:eastAsia="楷体_GB2312" w:hAnsi="Calibri" w:cs="Times New Roman"/>
                <w:color w:val="000000"/>
                <w:kern w:val="0"/>
                <w:szCs w:val="21"/>
              </w:rPr>
              <w:t>其他环境问题</w:t>
            </w:r>
          </w:p>
        </w:tc>
      </w:tr>
      <w:tr w:rsidR="005B6D3E" w:rsidTr="00B717CF">
        <w:trPr>
          <w:cantSplit/>
          <w:tblHeader/>
          <w:jc w:val="center"/>
        </w:trPr>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sz w:val="18"/>
                <w:szCs w:val="18"/>
              </w:rPr>
              <w:t>1</w:t>
            </w:r>
          </w:p>
        </w:tc>
        <w:tc>
          <w:tcPr>
            <w:tcW w:w="1060"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深圳市华得宝投资发展有限公司</w:t>
            </w:r>
          </w:p>
        </w:tc>
        <w:tc>
          <w:tcPr>
            <w:tcW w:w="113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观</w:t>
            </w:r>
            <w:proofErr w:type="gramStart"/>
            <w:r w:rsidRPr="00FA0FA1">
              <w:rPr>
                <w:rFonts w:asciiTheme="minorEastAsia" w:hAnsiTheme="minorEastAsia" w:hint="eastAsia"/>
                <w:sz w:val="18"/>
                <w:szCs w:val="18"/>
              </w:rPr>
              <w:t>澜</w:t>
            </w:r>
            <w:proofErr w:type="gramEnd"/>
            <w:r w:rsidRPr="00FA0FA1">
              <w:rPr>
                <w:rFonts w:asciiTheme="minorEastAsia" w:hAnsiTheme="minorEastAsia" w:hint="eastAsia"/>
                <w:sz w:val="18"/>
                <w:szCs w:val="18"/>
              </w:rPr>
              <w:t>街道下湖社区长牛坑工业园3号</w:t>
            </w:r>
          </w:p>
        </w:tc>
        <w:tc>
          <w:tcPr>
            <w:tcW w:w="567" w:type="dxa"/>
            <w:vAlign w:val="center"/>
          </w:tcPr>
          <w:p w:rsidR="005B6D3E" w:rsidRPr="00FA0FA1" w:rsidRDefault="005B6D3E" w:rsidP="00B717CF">
            <w:pPr>
              <w:spacing w:line="340" w:lineRule="exact"/>
              <w:jc w:val="center"/>
              <w:rPr>
                <w:rFonts w:asciiTheme="minorEastAsia" w:hAnsiTheme="minorEastAsia" w:cs="Times New Roman"/>
                <w:sz w:val="18"/>
                <w:szCs w:val="18"/>
              </w:rPr>
            </w:pPr>
          </w:p>
        </w:tc>
        <w:tc>
          <w:tcPr>
            <w:tcW w:w="567" w:type="dxa"/>
            <w:vAlign w:val="center"/>
          </w:tcPr>
          <w:p w:rsidR="005B6D3E" w:rsidRPr="00FA0FA1" w:rsidRDefault="005B6D3E" w:rsidP="00B717CF">
            <w:pPr>
              <w:spacing w:line="340" w:lineRule="exact"/>
              <w:jc w:val="center"/>
              <w:rPr>
                <w:rFonts w:asciiTheme="minorEastAsia" w:hAnsiTheme="minorEastAsia" w:cs="Times New Roman"/>
                <w:sz w:val="18"/>
                <w:szCs w:val="18"/>
              </w:rPr>
            </w:pPr>
          </w:p>
        </w:tc>
        <w:tc>
          <w:tcPr>
            <w:tcW w:w="641"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正常生产</w:t>
            </w:r>
          </w:p>
        </w:tc>
        <w:tc>
          <w:tcPr>
            <w:tcW w:w="1209"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环保轻质砖（20万立方米）</w:t>
            </w:r>
          </w:p>
        </w:tc>
        <w:tc>
          <w:tcPr>
            <w:tcW w:w="985"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混凝土石灰沙、生物质燃料</w:t>
            </w:r>
          </w:p>
        </w:tc>
        <w:tc>
          <w:tcPr>
            <w:tcW w:w="60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是</w:t>
            </w:r>
          </w:p>
        </w:tc>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无硫工艺</w:t>
            </w:r>
          </w:p>
        </w:tc>
        <w:tc>
          <w:tcPr>
            <w:tcW w:w="783"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无破碎工艺</w:t>
            </w:r>
          </w:p>
        </w:tc>
        <w:tc>
          <w:tcPr>
            <w:tcW w:w="96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否</w:t>
            </w:r>
          </w:p>
        </w:tc>
        <w:tc>
          <w:tcPr>
            <w:tcW w:w="78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是</w:t>
            </w:r>
          </w:p>
        </w:tc>
        <w:tc>
          <w:tcPr>
            <w:tcW w:w="893"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是</w:t>
            </w:r>
          </w:p>
        </w:tc>
        <w:tc>
          <w:tcPr>
            <w:tcW w:w="99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无干燥和焙烧窑工艺</w:t>
            </w:r>
          </w:p>
        </w:tc>
        <w:tc>
          <w:tcPr>
            <w:tcW w:w="1069"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达标（根据企业自行委托第三方有资质检测公司提供的检测报告）</w:t>
            </w:r>
          </w:p>
        </w:tc>
        <w:tc>
          <w:tcPr>
            <w:tcW w:w="78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该企业有组织排放</w:t>
            </w:r>
          </w:p>
        </w:tc>
        <w:tc>
          <w:tcPr>
            <w:tcW w:w="778" w:type="dxa"/>
            <w:vAlign w:val="center"/>
          </w:tcPr>
          <w:p w:rsidR="005B6D3E" w:rsidRPr="00FA0FA1" w:rsidRDefault="005B6D3E" w:rsidP="00B717CF">
            <w:pPr>
              <w:spacing w:line="340" w:lineRule="exact"/>
              <w:jc w:val="center"/>
              <w:rPr>
                <w:rFonts w:asciiTheme="minorEastAsia" w:hAnsiTheme="minorEastAsia" w:cs="Times New Roman"/>
                <w:sz w:val="18"/>
                <w:szCs w:val="18"/>
              </w:rPr>
            </w:pPr>
          </w:p>
        </w:tc>
      </w:tr>
      <w:tr w:rsidR="005B6D3E" w:rsidTr="00B717CF">
        <w:trPr>
          <w:cantSplit/>
          <w:tblHeader/>
          <w:jc w:val="center"/>
        </w:trPr>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p>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sz w:val="18"/>
                <w:szCs w:val="18"/>
              </w:rPr>
              <w:t>2</w:t>
            </w:r>
          </w:p>
        </w:tc>
        <w:tc>
          <w:tcPr>
            <w:tcW w:w="1060" w:type="dxa"/>
            <w:vAlign w:val="center"/>
          </w:tcPr>
          <w:p w:rsidR="005B6D3E" w:rsidRPr="00FA0FA1" w:rsidRDefault="005B6D3E" w:rsidP="00B717CF">
            <w:pPr>
              <w:jc w:val="center"/>
              <w:rPr>
                <w:rFonts w:asciiTheme="minorEastAsia" w:hAnsiTheme="minorEastAsia"/>
                <w:sz w:val="18"/>
                <w:szCs w:val="18"/>
              </w:rPr>
            </w:pPr>
            <w:proofErr w:type="gramStart"/>
            <w:r w:rsidRPr="00FA0FA1">
              <w:rPr>
                <w:rFonts w:asciiTheme="minorEastAsia" w:hAnsiTheme="minorEastAsia" w:hint="eastAsia"/>
                <w:sz w:val="18"/>
                <w:szCs w:val="18"/>
              </w:rPr>
              <w:t>深圳市宏诺建材</w:t>
            </w:r>
            <w:proofErr w:type="gramEnd"/>
            <w:r w:rsidRPr="00FA0FA1">
              <w:rPr>
                <w:rFonts w:asciiTheme="minorEastAsia" w:hAnsiTheme="minorEastAsia" w:hint="eastAsia"/>
                <w:sz w:val="18"/>
                <w:szCs w:val="18"/>
              </w:rPr>
              <w:t>有限公司</w:t>
            </w:r>
          </w:p>
        </w:tc>
        <w:tc>
          <w:tcPr>
            <w:tcW w:w="1134"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深圳市龙岗区南湾街道吉厦社区黄泥坑H栋</w:t>
            </w:r>
          </w:p>
        </w:tc>
        <w:tc>
          <w:tcPr>
            <w:tcW w:w="567"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22°37′23″N</w:t>
            </w:r>
          </w:p>
        </w:tc>
        <w:tc>
          <w:tcPr>
            <w:tcW w:w="567"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114°9′22″E</w:t>
            </w:r>
          </w:p>
        </w:tc>
        <w:tc>
          <w:tcPr>
            <w:tcW w:w="641"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正常</w:t>
            </w:r>
          </w:p>
        </w:tc>
        <w:tc>
          <w:tcPr>
            <w:tcW w:w="1209"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20万立方米</w:t>
            </w:r>
          </w:p>
        </w:tc>
        <w:tc>
          <w:tcPr>
            <w:tcW w:w="985"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沙、水泥、石灰、天然气和生物质颗粒</w:t>
            </w:r>
          </w:p>
        </w:tc>
        <w:tc>
          <w:tcPr>
            <w:tcW w:w="604"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有</w:t>
            </w:r>
          </w:p>
        </w:tc>
        <w:tc>
          <w:tcPr>
            <w:tcW w:w="794"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有除尘除硫</w:t>
            </w:r>
          </w:p>
        </w:tc>
        <w:tc>
          <w:tcPr>
            <w:tcW w:w="783"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布袋除尘</w:t>
            </w:r>
          </w:p>
        </w:tc>
        <w:tc>
          <w:tcPr>
            <w:tcW w:w="964"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w:t>
            </w:r>
          </w:p>
        </w:tc>
        <w:tc>
          <w:tcPr>
            <w:tcW w:w="782"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无</w:t>
            </w:r>
          </w:p>
        </w:tc>
        <w:tc>
          <w:tcPr>
            <w:tcW w:w="893"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正常</w:t>
            </w:r>
          </w:p>
        </w:tc>
        <w:tc>
          <w:tcPr>
            <w:tcW w:w="992"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w:t>
            </w:r>
          </w:p>
        </w:tc>
        <w:tc>
          <w:tcPr>
            <w:tcW w:w="1069"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是</w:t>
            </w:r>
          </w:p>
        </w:tc>
        <w:tc>
          <w:tcPr>
            <w:tcW w:w="782"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是</w:t>
            </w:r>
          </w:p>
        </w:tc>
        <w:tc>
          <w:tcPr>
            <w:tcW w:w="778"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无</w:t>
            </w:r>
          </w:p>
        </w:tc>
      </w:tr>
      <w:tr w:rsidR="005B6D3E" w:rsidTr="00B717CF">
        <w:trPr>
          <w:cantSplit/>
          <w:tblHeader/>
          <w:jc w:val="center"/>
        </w:trPr>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sz w:val="18"/>
                <w:szCs w:val="18"/>
              </w:rPr>
              <w:lastRenderedPageBreak/>
              <w:t>3</w:t>
            </w:r>
          </w:p>
        </w:tc>
        <w:tc>
          <w:tcPr>
            <w:tcW w:w="1060"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深圳市绿城新型建材有限公司</w:t>
            </w:r>
          </w:p>
        </w:tc>
        <w:tc>
          <w:tcPr>
            <w:tcW w:w="1134"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平湖白泥坑麻布路13号</w:t>
            </w:r>
          </w:p>
        </w:tc>
        <w:tc>
          <w:tcPr>
            <w:tcW w:w="567"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22°39′30″N</w:t>
            </w:r>
          </w:p>
        </w:tc>
        <w:tc>
          <w:tcPr>
            <w:tcW w:w="567"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114°8′49″E</w:t>
            </w:r>
          </w:p>
        </w:tc>
        <w:tc>
          <w:tcPr>
            <w:tcW w:w="641"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正常</w:t>
            </w:r>
          </w:p>
        </w:tc>
        <w:tc>
          <w:tcPr>
            <w:tcW w:w="1209"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10万立方米</w:t>
            </w:r>
          </w:p>
        </w:tc>
        <w:tc>
          <w:tcPr>
            <w:tcW w:w="985"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沙、水泥、石灰、和生物质颗粒</w:t>
            </w:r>
          </w:p>
        </w:tc>
        <w:tc>
          <w:tcPr>
            <w:tcW w:w="604"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有</w:t>
            </w:r>
          </w:p>
        </w:tc>
        <w:tc>
          <w:tcPr>
            <w:tcW w:w="794"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水磨除尘</w:t>
            </w:r>
          </w:p>
        </w:tc>
        <w:tc>
          <w:tcPr>
            <w:tcW w:w="783"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布袋除尘</w:t>
            </w:r>
          </w:p>
        </w:tc>
        <w:tc>
          <w:tcPr>
            <w:tcW w:w="964"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w:t>
            </w:r>
          </w:p>
        </w:tc>
        <w:tc>
          <w:tcPr>
            <w:tcW w:w="782"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有</w:t>
            </w:r>
          </w:p>
        </w:tc>
        <w:tc>
          <w:tcPr>
            <w:tcW w:w="893"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正常</w:t>
            </w:r>
          </w:p>
        </w:tc>
        <w:tc>
          <w:tcPr>
            <w:tcW w:w="992"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w:t>
            </w:r>
            <w:bookmarkStart w:id="0" w:name="_GoBack"/>
            <w:bookmarkEnd w:id="0"/>
          </w:p>
        </w:tc>
        <w:tc>
          <w:tcPr>
            <w:tcW w:w="1069"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是</w:t>
            </w:r>
          </w:p>
        </w:tc>
        <w:tc>
          <w:tcPr>
            <w:tcW w:w="782"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是</w:t>
            </w:r>
          </w:p>
        </w:tc>
        <w:tc>
          <w:tcPr>
            <w:tcW w:w="778"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无</w:t>
            </w:r>
          </w:p>
        </w:tc>
      </w:tr>
      <w:tr w:rsidR="005B6D3E" w:rsidTr="00B717CF">
        <w:trPr>
          <w:cantSplit/>
          <w:tblHeader/>
          <w:jc w:val="center"/>
        </w:trPr>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sz w:val="18"/>
                <w:szCs w:val="18"/>
              </w:rPr>
              <w:t>4</w:t>
            </w:r>
          </w:p>
        </w:tc>
        <w:tc>
          <w:tcPr>
            <w:tcW w:w="1060"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深圳市亿东阳建材有限公司</w:t>
            </w:r>
          </w:p>
        </w:tc>
        <w:tc>
          <w:tcPr>
            <w:tcW w:w="113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宝安区沙井街道</w:t>
            </w:r>
          </w:p>
        </w:tc>
        <w:tc>
          <w:tcPr>
            <w:tcW w:w="567" w:type="dxa"/>
            <w:vAlign w:val="center"/>
          </w:tcPr>
          <w:p w:rsidR="005B6D3E" w:rsidRPr="00FA0FA1" w:rsidRDefault="005B6D3E" w:rsidP="00B717CF">
            <w:pPr>
              <w:spacing w:line="340" w:lineRule="exact"/>
              <w:jc w:val="center"/>
              <w:rPr>
                <w:rFonts w:asciiTheme="minorEastAsia" w:hAnsiTheme="minorEastAsia" w:cs="Times New Roman"/>
                <w:sz w:val="18"/>
                <w:szCs w:val="18"/>
              </w:rPr>
            </w:pPr>
          </w:p>
        </w:tc>
        <w:tc>
          <w:tcPr>
            <w:tcW w:w="567" w:type="dxa"/>
            <w:vAlign w:val="center"/>
          </w:tcPr>
          <w:p w:rsidR="005B6D3E" w:rsidRPr="00FA0FA1" w:rsidRDefault="005B6D3E" w:rsidP="00B717CF">
            <w:pPr>
              <w:spacing w:line="340" w:lineRule="exact"/>
              <w:jc w:val="center"/>
              <w:rPr>
                <w:rFonts w:asciiTheme="minorEastAsia" w:hAnsiTheme="minorEastAsia" w:cs="Times New Roman"/>
                <w:sz w:val="18"/>
                <w:szCs w:val="18"/>
              </w:rPr>
            </w:pPr>
          </w:p>
        </w:tc>
        <w:tc>
          <w:tcPr>
            <w:tcW w:w="641"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无砖瓦生产加工</w:t>
            </w:r>
          </w:p>
        </w:tc>
        <w:tc>
          <w:tcPr>
            <w:tcW w:w="1209"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w:t>
            </w:r>
          </w:p>
        </w:tc>
        <w:tc>
          <w:tcPr>
            <w:tcW w:w="985"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w:t>
            </w:r>
          </w:p>
        </w:tc>
        <w:tc>
          <w:tcPr>
            <w:tcW w:w="60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w:t>
            </w:r>
          </w:p>
        </w:tc>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w:t>
            </w:r>
          </w:p>
        </w:tc>
        <w:tc>
          <w:tcPr>
            <w:tcW w:w="783"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w:t>
            </w:r>
          </w:p>
        </w:tc>
        <w:tc>
          <w:tcPr>
            <w:tcW w:w="96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w:t>
            </w:r>
          </w:p>
        </w:tc>
        <w:tc>
          <w:tcPr>
            <w:tcW w:w="78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w:t>
            </w:r>
          </w:p>
        </w:tc>
        <w:tc>
          <w:tcPr>
            <w:tcW w:w="893"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w:t>
            </w:r>
          </w:p>
        </w:tc>
        <w:tc>
          <w:tcPr>
            <w:tcW w:w="99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w:t>
            </w:r>
          </w:p>
        </w:tc>
        <w:tc>
          <w:tcPr>
            <w:tcW w:w="1069"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w:t>
            </w:r>
          </w:p>
        </w:tc>
        <w:tc>
          <w:tcPr>
            <w:tcW w:w="78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w:t>
            </w:r>
          </w:p>
        </w:tc>
        <w:tc>
          <w:tcPr>
            <w:tcW w:w="778"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w:t>
            </w:r>
          </w:p>
        </w:tc>
      </w:tr>
      <w:tr w:rsidR="005B6D3E" w:rsidTr="00B717CF">
        <w:trPr>
          <w:cantSplit/>
          <w:tblHeader/>
          <w:jc w:val="center"/>
        </w:trPr>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sz w:val="18"/>
                <w:szCs w:val="18"/>
              </w:rPr>
              <w:t>5</w:t>
            </w:r>
          </w:p>
        </w:tc>
        <w:tc>
          <w:tcPr>
            <w:tcW w:w="1060"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深圳市创建建材制品有限公司</w:t>
            </w:r>
          </w:p>
        </w:tc>
        <w:tc>
          <w:tcPr>
            <w:tcW w:w="113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宝安区燕罗街道</w:t>
            </w:r>
          </w:p>
        </w:tc>
        <w:tc>
          <w:tcPr>
            <w:tcW w:w="567" w:type="dxa"/>
            <w:vAlign w:val="center"/>
          </w:tcPr>
          <w:p w:rsidR="005B6D3E" w:rsidRPr="00FA0FA1" w:rsidRDefault="005B6D3E" w:rsidP="00B717CF">
            <w:pPr>
              <w:spacing w:line="340" w:lineRule="exact"/>
              <w:jc w:val="center"/>
              <w:rPr>
                <w:rFonts w:asciiTheme="minorEastAsia" w:hAnsiTheme="minorEastAsia" w:cs="Times New Roman"/>
                <w:sz w:val="18"/>
                <w:szCs w:val="18"/>
              </w:rPr>
            </w:pPr>
          </w:p>
        </w:tc>
        <w:tc>
          <w:tcPr>
            <w:tcW w:w="567" w:type="dxa"/>
            <w:vAlign w:val="center"/>
          </w:tcPr>
          <w:p w:rsidR="005B6D3E" w:rsidRPr="00FA0FA1" w:rsidRDefault="005B6D3E" w:rsidP="00B717CF">
            <w:pPr>
              <w:spacing w:line="340" w:lineRule="exact"/>
              <w:jc w:val="center"/>
              <w:rPr>
                <w:rFonts w:asciiTheme="minorEastAsia" w:hAnsiTheme="minorEastAsia" w:cs="Times New Roman"/>
                <w:sz w:val="18"/>
                <w:szCs w:val="18"/>
              </w:rPr>
            </w:pPr>
          </w:p>
        </w:tc>
        <w:tc>
          <w:tcPr>
            <w:tcW w:w="641"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正常</w:t>
            </w:r>
          </w:p>
        </w:tc>
        <w:tc>
          <w:tcPr>
            <w:tcW w:w="1209"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混凝土砖块约1</w:t>
            </w:r>
            <w:proofErr w:type="gramStart"/>
            <w:r w:rsidRPr="00FA0FA1">
              <w:rPr>
                <w:rFonts w:asciiTheme="minorEastAsia" w:hAnsiTheme="minorEastAsia" w:cs="Times New Roman" w:hint="eastAsia"/>
                <w:sz w:val="18"/>
                <w:szCs w:val="18"/>
              </w:rPr>
              <w:t>千万</w:t>
            </w:r>
            <w:proofErr w:type="gramEnd"/>
            <w:r w:rsidRPr="00FA0FA1">
              <w:rPr>
                <w:rFonts w:asciiTheme="minorEastAsia" w:hAnsiTheme="minorEastAsia" w:cs="Times New Roman" w:hint="eastAsia"/>
                <w:sz w:val="18"/>
                <w:szCs w:val="18"/>
              </w:rPr>
              <w:t>块/年</w:t>
            </w:r>
          </w:p>
        </w:tc>
        <w:tc>
          <w:tcPr>
            <w:tcW w:w="985"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煤炭、水泥、石炭、砂</w:t>
            </w:r>
          </w:p>
        </w:tc>
        <w:tc>
          <w:tcPr>
            <w:tcW w:w="60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w:t>
            </w:r>
          </w:p>
        </w:tc>
        <w:tc>
          <w:tcPr>
            <w:tcW w:w="783"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有水喷洒</w:t>
            </w:r>
          </w:p>
        </w:tc>
        <w:tc>
          <w:tcPr>
            <w:tcW w:w="96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搅拌混料设有布袋除尘装置</w:t>
            </w:r>
          </w:p>
        </w:tc>
        <w:tc>
          <w:tcPr>
            <w:tcW w:w="78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w:t>
            </w:r>
          </w:p>
        </w:tc>
        <w:tc>
          <w:tcPr>
            <w:tcW w:w="893"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否</w:t>
            </w:r>
          </w:p>
        </w:tc>
        <w:tc>
          <w:tcPr>
            <w:tcW w:w="99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无焙烧窑</w:t>
            </w:r>
          </w:p>
        </w:tc>
        <w:tc>
          <w:tcPr>
            <w:tcW w:w="1069"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2017年7月19日市人居委已委托深圳市特种设备安全检验研究院对该公司生物生物质锅炉进行检测。</w:t>
            </w:r>
          </w:p>
        </w:tc>
        <w:tc>
          <w:tcPr>
            <w:tcW w:w="782" w:type="dxa"/>
            <w:vAlign w:val="center"/>
          </w:tcPr>
          <w:p w:rsidR="005B6D3E" w:rsidRPr="00FA0FA1" w:rsidRDefault="005B6D3E" w:rsidP="00B717CF">
            <w:pPr>
              <w:spacing w:line="340" w:lineRule="exact"/>
              <w:jc w:val="center"/>
              <w:rPr>
                <w:rFonts w:asciiTheme="minorEastAsia" w:hAnsiTheme="minorEastAsia" w:cs="Times New Roman"/>
                <w:sz w:val="18"/>
                <w:szCs w:val="18"/>
              </w:rPr>
            </w:pPr>
          </w:p>
        </w:tc>
        <w:tc>
          <w:tcPr>
            <w:tcW w:w="778" w:type="dxa"/>
            <w:vAlign w:val="center"/>
          </w:tcPr>
          <w:p w:rsidR="005B6D3E" w:rsidRPr="00FA0FA1" w:rsidRDefault="005B6D3E" w:rsidP="00B717CF">
            <w:pPr>
              <w:spacing w:line="340" w:lineRule="exact"/>
              <w:jc w:val="center"/>
              <w:rPr>
                <w:rFonts w:asciiTheme="minorEastAsia" w:hAnsiTheme="minorEastAsia" w:cs="Times New Roman"/>
                <w:sz w:val="18"/>
                <w:szCs w:val="18"/>
              </w:rPr>
            </w:pPr>
          </w:p>
        </w:tc>
      </w:tr>
      <w:tr w:rsidR="005B6D3E" w:rsidTr="00B717CF">
        <w:trPr>
          <w:cantSplit/>
          <w:tblHeader/>
          <w:jc w:val="center"/>
        </w:trPr>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sz w:val="18"/>
                <w:szCs w:val="18"/>
              </w:rPr>
              <w:t>6</w:t>
            </w:r>
          </w:p>
        </w:tc>
        <w:tc>
          <w:tcPr>
            <w:tcW w:w="1060"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深圳市和顺居轻质制品有限公司</w:t>
            </w:r>
          </w:p>
        </w:tc>
        <w:tc>
          <w:tcPr>
            <w:tcW w:w="1134"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大鹏新区葵涌办事处高源深水田桥头上</w:t>
            </w:r>
            <w:r>
              <w:rPr>
                <w:rFonts w:asciiTheme="minorEastAsia" w:hAnsiTheme="minorEastAsia" w:hint="eastAsia"/>
                <w:sz w:val="18"/>
                <w:szCs w:val="18"/>
              </w:rPr>
              <w:t>面</w:t>
            </w:r>
          </w:p>
        </w:tc>
        <w:tc>
          <w:tcPr>
            <w:tcW w:w="567"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114.44</w:t>
            </w:r>
          </w:p>
        </w:tc>
        <w:tc>
          <w:tcPr>
            <w:tcW w:w="567"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22.64</w:t>
            </w:r>
          </w:p>
        </w:tc>
        <w:tc>
          <w:tcPr>
            <w:tcW w:w="641"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正常</w:t>
            </w:r>
          </w:p>
        </w:tc>
        <w:tc>
          <w:tcPr>
            <w:tcW w:w="1209"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2500</w:t>
            </w:r>
          </w:p>
        </w:tc>
        <w:tc>
          <w:tcPr>
            <w:tcW w:w="985"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建筑废物</w:t>
            </w:r>
          </w:p>
        </w:tc>
        <w:tc>
          <w:tcPr>
            <w:tcW w:w="604"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有</w:t>
            </w:r>
          </w:p>
        </w:tc>
        <w:tc>
          <w:tcPr>
            <w:tcW w:w="794"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w:t>
            </w:r>
          </w:p>
        </w:tc>
        <w:tc>
          <w:tcPr>
            <w:tcW w:w="783"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w:t>
            </w:r>
          </w:p>
        </w:tc>
        <w:tc>
          <w:tcPr>
            <w:tcW w:w="964"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w:t>
            </w:r>
          </w:p>
        </w:tc>
        <w:tc>
          <w:tcPr>
            <w:tcW w:w="782"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无</w:t>
            </w:r>
          </w:p>
        </w:tc>
        <w:tc>
          <w:tcPr>
            <w:tcW w:w="893"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w:t>
            </w:r>
          </w:p>
        </w:tc>
        <w:tc>
          <w:tcPr>
            <w:tcW w:w="992"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w:t>
            </w:r>
          </w:p>
        </w:tc>
        <w:tc>
          <w:tcPr>
            <w:tcW w:w="1069"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w:t>
            </w:r>
          </w:p>
        </w:tc>
        <w:tc>
          <w:tcPr>
            <w:tcW w:w="782"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w:t>
            </w:r>
          </w:p>
        </w:tc>
        <w:tc>
          <w:tcPr>
            <w:tcW w:w="778"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w:t>
            </w:r>
          </w:p>
        </w:tc>
      </w:tr>
      <w:tr w:rsidR="005B6D3E" w:rsidTr="00B717CF">
        <w:trPr>
          <w:cantSplit/>
          <w:tblHeader/>
          <w:jc w:val="center"/>
        </w:trPr>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lastRenderedPageBreak/>
              <w:t>7</w:t>
            </w:r>
          </w:p>
        </w:tc>
        <w:tc>
          <w:tcPr>
            <w:tcW w:w="1060"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深圳市欧亚建材有限公司</w:t>
            </w:r>
          </w:p>
        </w:tc>
        <w:tc>
          <w:tcPr>
            <w:tcW w:w="113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光明新区公明街道</w:t>
            </w:r>
          </w:p>
        </w:tc>
        <w:tc>
          <w:tcPr>
            <w:tcW w:w="567"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113.88</w:t>
            </w:r>
          </w:p>
        </w:tc>
        <w:tc>
          <w:tcPr>
            <w:tcW w:w="567"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22.77</w:t>
            </w:r>
          </w:p>
        </w:tc>
        <w:tc>
          <w:tcPr>
            <w:tcW w:w="641"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正常</w:t>
            </w:r>
          </w:p>
        </w:tc>
        <w:tc>
          <w:tcPr>
            <w:tcW w:w="1209" w:type="dxa"/>
            <w:vAlign w:val="center"/>
          </w:tcPr>
          <w:p w:rsidR="005B6D3E" w:rsidRPr="00FA0FA1" w:rsidRDefault="005B6D3E" w:rsidP="00B717CF">
            <w:pPr>
              <w:spacing w:line="340" w:lineRule="exact"/>
              <w:jc w:val="center"/>
              <w:rPr>
                <w:rFonts w:asciiTheme="minorEastAsia" w:hAnsiTheme="minorEastAsia" w:cs="Times New Roman"/>
                <w:sz w:val="18"/>
                <w:szCs w:val="18"/>
              </w:rPr>
            </w:pPr>
            <w:proofErr w:type="gramStart"/>
            <w:r w:rsidRPr="00FA0FA1">
              <w:rPr>
                <w:rFonts w:asciiTheme="minorEastAsia" w:hAnsiTheme="minorEastAsia" w:cs="Times New Roman" w:hint="eastAsia"/>
                <w:sz w:val="18"/>
                <w:szCs w:val="18"/>
              </w:rPr>
              <w:t>加气砖6000万块</w:t>
            </w:r>
            <w:proofErr w:type="gramEnd"/>
          </w:p>
        </w:tc>
        <w:tc>
          <w:tcPr>
            <w:tcW w:w="985"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沙、水泥、天然气</w:t>
            </w:r>
          </w:p>
        </w:tc>
        <w:tc>
          <w:tcPr>
            <w:tcW w:w="60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w:t>
            </w:r>
          </w:p>
        </w:tc>
        <w:tc>
          <w:tcPr>
            <w:tcW w:w="783"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96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78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w:t>
            </w:r>
          </w:p>
        </w:tc>
        <w:tc>
          <w:tcPr>
            <w:tcW w:w="893"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99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w:t>
            </w:r>
          </w:p>
        </w:tc>
        <w:tc>
          <w:tcPr>
            <w:tcW w:w="1069"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78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778" w:type="dxa"/>
            <w:vAlign w:val="center"/>
          </w:tcPr>
          <w:p w:rsidR="005B6D3E" w:rsidRPr="00FA0FA1" w:rsidRDefault="005B6D3E" w:rsidP="00B717CF">
            <w:pPr>
              <w:spacing w:line="340" w:lineRule="exact"/>
              <w:jc w:val="center"/>
              <w:rPr>
                <w:rFonts w:asciiTheme="minorEastAsia" w:hAnsiTheme="minorEastAsia" w:cs="Times New Roman"/>
                <w:sz w:val="18"/>
                <w:szCs w:val="18"/>
              </w:rPr>
            </w:pPr>
          </w:p>
        </w:tc>
      </w:tr>
      <w:tr w:rsidR="005B6D3E" w:rsidTr="00B717CF">
        <w:trPr>
          <w:cantSplit/>
          <w:tblHeader/>
          <w:jc w:val="center"/>
        </w:trPr>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8</w:t>
            </w:r>
          </w:p>
        </w:tc>
        <w:tc>
          <w:tcPr>
            <w:tcW w:w="1060"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深圳市万顺建材有限公司</w:t>
            </w:r>
          </w:p>
        </w:tc>
        <w:tc>
          <w:tcPr>
            <w:tcW w:w="113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龙岗区横岗镇大康路</w:t>
            </w:r>
          </w:p>
        </w:tc>
        <w:tc>
          <w:tcPr>
            <w:tcW w:w="567"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114.12</w:t>
            </w:r>
          </w:p>
        </w:tc>
        <w:tc>
          <w:tcPr>
            <w:tcW w:w="567"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22.38</w:t>
            </w:r>
          </w:p>
        </w:tc>
        <w:tc>
          <w:tcPr>
            <w:tcW w:w="641"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停产</w:t>
            </w:r>
          </w:p>
        </w:tc>
        <w:tc>
          <w:tcPr>
            <w:tcW w:w="1209"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13-15</w:t>
            </w:r>
          </w:p>
        </w:tc>
        <w:tc>
          <w:tcPr>
            <w:tcW w:w="985"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石灰</w:t>
            </w:r>
          </w:p>
        </w:tc>
        <w:tc>
          <w:tcPr>
            <w:tcW w:w="60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有</w:t>
            </w:r>
          </w:p>
        </w:tc>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有</w:t>
            </w:r>
          </w:p>
        </w:tc>
        <w:tc>
          <w:tcPr>
            <w:tcW w:w="783"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w:t>
            </w:r>
          </w:p>
        </w:tc>
        <w:tc>
          <w:tcPr>
            <w:tcW w:w="96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w:t>
            </w:r>
          </w:p>
        </w:tc>
        <w:tc>
          <w:tcPr>
            <w:tcW w:w="78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有</w:t>
            </w:r>
          </w:p>
        </w:tc>
        <w:tc>
          <w:tcPr>
            <w:tcW w:w="893"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正常</w:t>
            </w:r>
          </w:p>
        </w:tc>
        <w:tc>
          <w:tcPr>
            <w:tcW w:w="99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w:t>
            </w:r>
          </w:p>
        </w:tc>
        <w:tc>
          <w:tcPr>
            <w:tcW w:w="1069"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达标</w:t>
            </w:r>
          </w:p>
        </w:tc>
        <w:tc>
          <w:tcPr>
            <w:tcW w:w="78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达标</w:t>
            </w:r>
          </w:p>
        </w:tc>
        <w:tc>
          <w:tcPr>
            <w:tcW w:w="778" w:type="dxa"/>
            <w:vAlign w:val="center"/>
          </w:tcPr>
          <w:p w:rsidR="005B6D3E" w:rsidRPr="00FA0FA1" w:rsidRDefault="005B6D3E" w:rsidP="00B717CF">
            <w:pPr>
              <w:spacing w:line="340" w:lineRule="exact"/>
              <w:jc w:val="center"/>
              <w:rPr>
                <w:rFonts w:asciiTheme="minorEastAsia" w:hAnsiTheme="minorEastAsia" w:cs="Times New Roman"/>
                <w:sz w:val="18"/>
                <w:szCs w:val="18"/>
              </w:rPr>
            </w:pPr>
          </w:p>
        </w:tc>
      </w:tr>
      <w:tr w:rsidR="005B6D3E" w:rsidTr="00B717CF">
        <w:trPr>
          <w:cantSplit/>
          <w:tblHeader/>
          <w:jc w:val="center"/>
        </w:trPr>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9</w:t>
            </w:r>
          </w:p>
        </w:tc>
        <w:tc>
          <w:tcPr>
            <w:tcW w:w="1060"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深圳市宏开轻质墙</w:t>
            </w:r>
            <w:proofErr w:type="gramStart"/>
            <w:r w:rsidRPr="00FA0FA1">
              <w:rPr>
                <w:rFonts w:asciiTheme="minorEastAsia" w:hAnsiTheme="minorEastAsia" w:cs="Times New Roman" w:hint="eastAsia"/>
                <w:sz w:val="18"/>
                <w:szCs w:val="18"/>
              </w:rPr>
              <w:t>体材</w:t>
            </w:r>
            <w:proofErr w:type="gramEnd"/>
            <w:r w:rsidRPr="00FA0FA1">
              <w:rPr>
                <w:rFonts w:asciiTheme="minorEastAsia" w:hAnsiTheme="minorEastAsia" w:cs="Times New Roman" w:hint="eastAsia"/>
                <w:sz w:val="18"/>
                <w:szCs w:val="18"/>
              </w:rPr>
              <w:t>料有限公司</w:t>
            </w:r>
          </w:p>
        </w:tc>
        <w:tc>
          <w:tcPr>
            <w:tcW w:w="113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深圳市龙岗区坪地街道白石塘工业区</w:t>
            </w:r>
          </w:p>
        </w:tc>
        <w:tc>
          <w:tcPr>
            <w:tcW w:w="567"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114.29</w:t>
            </w:r>
          </w:p>
        </w:tc>
        <w:tc>
          <w:tcPr>
            <w:tcW w:w="567"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23.17</w:t>
            </w:r>
          </w:p>
        </w:tc>
        <w:tc>
          <w:tcPr>
            <w:tcW w:w="641"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正常</w:t>
            </w:r>
          </w:p>
        </w:tc>
        <w:tc>
          <w:tcPr>
            <w:tcW w:w="1209"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轻质墙体建筑材料，13.5万立方米/年</w:t>
            </w:r>
          </w:p>
        </w:tc>
        <w:tc>
          <w:tcPr>
            <w:tcW w:w="985"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生石灰、石膏、粉煤灰、砂、水泥、铝粉；生物质颗粒</w:t>
            </w:r>
          </w:p>
        </w:tc>
        <w:tc>
          <w:tcPr>
            <w:tcW w:w="604" w:type="dxa"/>
            <w:vAlign w:val="center"/>
          </w:tcPr>
          <w:p w:rsidR="005B6D3E" w:rsidRPr="00FA0FA1" w:rsidRDefault="005B6D3E" w:rsidP="00B717CF">
            <w:pPr>
              <w:jc w:val="center"/>
              <w:rPr>
                <w:rFonts w:asciiTheme="minorEastAsia" w:hAnsiTheme="minorEastAsia"/>
                <w:sz w:val="18"/>
                <w:szCs w:val="18"/>
              </w:rPr>
            </w:pPr>
            <w:r w:rsidRPr="00FA0FA1">
              <w:rPr>
                <w:rFonts w:asciiTheme="minorEastAsia" w:hAnsiTheme="minorEastAsia" w:hint="eastAsia"/>
                <w:sz w:val="18"/>
                <w:szCs w:val="18"/>
              </w:rPr>
              <w:t>是</w:t>
            </w:r>
          </w:p>
        </w:tc>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783"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96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78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893"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99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1069"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78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778" w:type="dxa"/>
            <w:vAlign w:val="center"/>
          </w:tcPr>
          <w:p w:rsidR="005B6D3E" w:rsidRPr="00FA0FA1" w:rsidRDefault="005B6D3E" w:rsidP="00B717CF">
            <w:pPr>
              <w:spacing w:line="340" w:lineRule="exact"/>
              <w:jc w:val="center"/>
              <w:rPr>
                <w:rFonts w:asciiTheme="minorEastAsia" w:hAnsiTheme="minorEastAsia" w:cs="Times New Roman"/>
                <w:sz w:val="18"/>
                <w:szCs w:val="18"/>
              </w:rPr>
            </w:pPr>
          </w:p>
        </w:tc>
      </w:tr>
      <w:tr w:rsidR="005B6D3E" w:rsidTr="00B717CF">
        <w:trPr>
          <w:cantSplit/>
          <w:tblHeader/>
          <w:jc w:val="center"/>
        </w:trPr>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10</w:t>
            </w:r>
          </w:p>
        </w:tc>
        <w:tc>
          <w:tcPr>
            <w:tcW w:w="1060" w:type="dxa"/>
            <w:vAlign w:val="center"/>
          </w:tcPr>
          <w:p w:rsidR="005B6D3E" w:rsidRPr="00FA0FA1" w:rsidRDefault="005B6D3E" w:rsidP="00B717CF">
            <w:pPr>
              <w:spacing w:line="340" w:lineRule="exact"/>
              <w:jc w:val="center"/>
              <w:rPr>
                <w:rFonts w:asciiTheme="minorEastAsia" w:hAnsiTheme="minorEastAsia" w:cs="Times New Roman"/>
                <w:sz w:val="18"/>
                <w:szCs w:val="18"/>
              </w:rPr>
            </w:pPr>
            <w:proofErr w:type="gramStart"/>
            <w:r w:rsidRPr="00FA0FA1">
              <w:rPr>
                <w:rFonts w:asciiTheme="minorEastAsia" w:hAnsiTheme="minorEastAsia" w:cs="Times New Roman" w:hint="eastAsia"/>
                <w:sz w:val="18"/>
                <w:szCs w:val="18"/>
              </w:rPr>
              <w:t>深圳市劲牛实业</w:t>
            </w:r>
            <w:proofErr w:type="gramEnd"/>
            <w:r w:rsidRPr="00FA0FA1">
              <w:rPr>
                <w:rFonts w:asciiTheme="minorEastAsia" w:hAnsiTheme="minorEastAsia" w:cs="Times New Roman" w:hint="eastAsia"/>
                <w:sz w:val="18"/>
                <w:szCs w:val="18"/>
              </w:rPr>
              <w:t>有限公司</w:t>
            </w:r>
          </w:p>
        </w:tc>
        <w:tc>
          <w:tcPr>
            <w:tcW w:w="113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龙岗区吉华街道</w:t>
            </w:r>
            <w:proofErr w:type="gramStart"/>
            <w:r w:rsidRPr="00FA0FA1">
              <w:rPr>
                <w:rFonts w:asciiTheme="minorEastAsia" w:hAnsiTheme="minorEastAsia" w:cs="Times New Roman" w:hint="eastAsia"/>
                <w:sz w:val="18"/>
                <w:szCs w:val="18"/>
              </w:rPr>
              <w:t>甘坑同富裕</w:t>
            </w:r>
            <w:proofErr w:type="gramEnd"/>
            <w:r w:rsidRPr="00FA0FA1">
              <w:rPr>
                <w:rFonts w:asciiTheme="minorEastAsia" w:hAnsiTheme="minorEastAsia" w:cs="Times New Roman" w:hint="eastAsia"/>
                <w:sz w:val="18"/>
                <w:szCs w:val="18"/>
              </w:rPr>
              <w:t>工业区53号</w:t>
            </w:r>
          </w:p>
        </w:tc>
        <w:tc>
          <w:tcPr>
            <w:tcW w:w="567"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114.5</w:t>
            </w:r>
          </w:p>
        </w:tc>
        <w:tc>
          <w:tcPr>
            <w:tcW w:w="567"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22.39</w:t>
            </w:r>
          </w:p>
        </w:tc>
        <w:tc>
          <w:tcPr>
            <w:tcW w:w="641"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正常</w:t>
            </w:r>
          </w:p>
        </w:tc>
        <w:tc>
          <w:tcPr>
            <w:tcW w:w="1209"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加气砖</w:t>
            </w:r>
          </w:p>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20万立方/年</w:t>
            </w:r>
          </w:p>
        </w:tc>
        <w:tc>
          <w:tcPr>
            <w:tcW w:w="985"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砂、水泥、石灰；</w:t>
            </w:r>
          </w:p>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生物质颗粒</w:t>
            </w:r>
          </w:p>
        </w:tc>
        <w:tc>
          <w:tcPr>
            <w:tcW w:w="60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783"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96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78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893"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99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无此工艺</w:t>
            </w:r>
          </w:p>
        </w:tc>
        <w:tc>
          <w:tcPr>
            <w:tcW w:w="1069"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78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778" w:type="dxa"/>
            <w:vAlign w:val="center"/>
          </w:tcPr>
          <w:p w:rsidR="005B6D3E" w:rsidRPr="00FA0FA1" w:rsidRDefault="005B6D3E" w:rsidP="00B717CF">
            <w:pPr>
              <w:spacing w:line="340" w:lineRule="exact"/>
              <w:jc w:val="center"/>
              <w:rPr>
                <w:rFonts w:asciiTheme="minorEastAsia" w:hAnsiTheme="minorEastAsia" w:cs="Times New Roman"/>
                <w:sz w:val="18"/>
                <w:szCs w:val="18"/>
              </w:rPr>
            </w:pPr>
          </w:p>
        </w:tc>
      </w:tr>
      <w:tr w:rsidR="005B6D3E" w:rsidTr="00B717CF">
        <w:trPr>
          <w:cantSplit/>
          <w:tblHeader/>
          <w:jc w:val="center"/>
        </w:trPr>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11</w:t>
            </w:r>
          </w:p>
        </w:tc>
        <w:tc>
          <w:tcPr>
            <w:tcW w:w="1060"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深圳市宏达轻质墙</w:t>
            </w:r>
            <w:proofErr w:type="gramStart"/>
            <w:r w:rsidRPr="00FA0FA1">
              <w:rPr>
                <w:rFonts w:asciiTheme="minorEastAsia" w:hAnsiTheme="minorEastAsia" w:cs="Times New Roman" w:hint="eastAsia"/>
                <w:sz w:val="18"/>
                <w:szCs w:val="18"/>
              </w:rPr>
              <w:t>体材</w:t>
            </w:r>
            <w:proofErr w:type="gramEnd"/>
            <w:r w:rsidRPr="00FA0FA1">
              <w:rPr>
                <w:rFonts w:asciiTheme="minorEastAsia" w:hAnsiTheme="minorEastAsia" w:cs="Times New Roman" w:hint="eastAsia"/>
                <w:sz w:val="18"/>
                <w:szCs w:val="18"/>
              </w:rPr>
              <w:t>料有限公司</w:t>
            </w:r>
          </w:p>
        </w:tc>
        <w:tc>
          <w:tcPr>
            <w:tcW w:w="113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龙岗区龙岗</w:t>
            </w:r>
            <w:proofErr w:type="gramStart"/>
            <w:r w:rsidRPr="00FA0FA1">
              <w:rPr>
                <w:rFonts w:asciiTheme="minorEastAsia" w:hAnsiTheme="minorEastAsia" w:cs="Times New Roman" w:hint="eastAsia"/>
                <w:sz w:val="18"/>
                <w:szCs w:val="18"/>
              </w:rPr>
              <w:t>街道龙</w:t>
            </w:r>
            <w:proofErr w:type="gramEnd"/>
            <w:r w:rsidRPr="00FA0FA1">
              <w:rPr>
                <w:rFonts w:asciiTheme="minorEastAsia" w:hAnsiTheme="minorEastAsia" w:cs="Times New Roman" w:hint="eastAsia"/>
                <w:sz w:val="18"/>
                <w:szCs w:val="18"/>
              </w:rPr>
              <w:t>山路38号</w:t>
            </w:r>
          </w:p>
        </w:tc>
        <w:tc>
          <w:tcPr>
            <w:tcW w:w="567"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114.29</w:t>
            </w:r>
          </w:p>
        </w:tc>
        <w:tc>
          <w:tcPr>
            <w:tcW w:w="567"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22.71</w:t>
            </w:r>
          </w:p>
        </w:tc>
        <w:tc>
          <w:tcPr>
            <w:tcW w:w="641"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正常</w:t>
            </w:r>
          </w:p>
        </w:tc>
        <w:tc>
          <w:tcPr>
            <w:tcW w:w="1209"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轻质墙体建筑材料，11万立方/年</w:t>
            </w:r>
          </w:p>
        </w:tc>
        <w:tc>
          <w:tcPr>
            <w:tcW w:w="985"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砂、水泥、石灰；</w:t>
            </w:r>
          </w:p>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生物质颗粒</w:t>
            </w:r>
          </w:p>
        </w:tc>
        <w:tc>
          <w:tcPr>
            <w:tcW w:w="60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生物质锅炉已安装布袋除尘设施</w:t>
            </w:r>
          </w:p>
        </w:tc>
        <w:tc>
          <w:tcPr>
            <w:tcW w:w="783"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96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无此工艺设施</w:t>
            </w:r>
          </w:p>
        </w:tc>
        <w:tc>
          <w:tcPr>
            <w:tcW w:w="78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893"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99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无焙烧窑</w:t>
            </w:r>
          </w:p>
        </w:tc>
        <w:tc>
          <w:tcPr>
            <w:tcW w:w="1069"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78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是</w:t>
            </w:r>
          </w:p>
        </w:tc>
        <w:tc>
          <w:tcPr>
            <w:tcW w:w="778" w:type="dxa"/>
            <w:vAlign w:val="center"/>
          </w:tcPr>
          <w:p w:rsidR="005B6D3E" w:rsidRPr="00FA0FA1" w:rsidRDefault="005B6D3E" w:rsidP="00B717CF">
            <w:pPr>
              <w:spacing w:line="340" w:lineRule="exact"/>
              <w:jc w:val="center"/>
              <w:rPr>
                <w:rFonts w:asciiTheme="minorEastAsia" w:hAnsiTheme="minorEastAsia" w:cs="Times New Roman"/>
                <w:sz w:val="18"/>
                <w:szCs w:val="18"/>
              </w:rPr>
            </w:pPr>
          </w:p>
        </w:tc>
      </w:tr>
      <w:tr w:rsidR="005B6D3E" w:rsidTr="00B717CF">
        <w:trPr>
          <w:cantSplit/>
          <w:tblHeader/>
          <w:jc w:val="center"/>
        </w:trPr>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lastRenderedPageBreak/>
              <w:t>12</w:t>
            </w:r>
          </w:p>
        </w:tc>
        <w:tc>
          <w:tcPr>
            <w:tcW w:w="1060"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永顺达建材</w:t>
            </w:r>
          </w:p>
        </w:tc>
        <w:tc>
          <w:tcPr>
            <w:tcW w:w="113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龙岗街道红花岭1号</w:t>
            </w:r>
          </w:p>
        </w:tc>
        <w:tc>
          <w:tcPr>
            <w:tcW w:w="567"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114.26</w:t>
            </w:r>
          </w:p>
        </w:tc>
        <w:tc>
          <w:tcPr>
            <w:tcW w:w="567"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22.76</w:t>
            </w:r>
          </w:p>
        </w:tc>
        <w:tc>
          <w:tcPr>
            <w:tcW w:w="641"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cs="Times New Roman" w:hint="eastAsia"/>
                <w:sz w:val="18"/>
                <w:szCs w:val="18"/>
              </w:rPr>
              <w:t>停产待征地拆迁</w:t>
            </w:r>
          </w:p>
        </w:tc>
        <w:tc>
          <w:tcPr>
            <w:tcW w:w="1209"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w:t>
            </w:r>
          </w:p>
        </w:tc>
        <w:tc>
          <w:tcPr>
            <w:tcW w:w="985"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w:t>
            </w:r>
          </w:p>
        </w:tc>
        <w:tc>
          <w:tcPr>
            <w:tcW w:w="60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w:t>
            </w:r>
          </w:p>
        </w:tc>
        <w:tc>
          <w:tcPr>
            <w:tcW w:w="79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w:t>
            </w:r>
          </w:p>
        </w:tc>
        <w:tc>
          <w:tcPr>
            <w:tcW w:w="783"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w:t>
            </w:r>
          </w:p>
        </w:tc>
        <w:tc>
          <w:tcPr>
            <w:tcW w:w="964"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w:t>
            </w:r>
          </w:p>
        </w:tc>
        <w:tc>
          <w:tcPr>
            <w:tcW w:w="78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w:t>
            </w:r>
          </w:p>
        </w:tc>
        <w:tc>
          <w:tcPr>
            <w:tcW w:w="893"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w:t>
            </w:r>
          </w:p>
        </w:tc>
        <w:tc>
          <w:tcPr>
            <w:tcW w:w="99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w:t>
            </w:r>
          </w:p>
        </w:tc>
        <w:tc>
          <w:tcPr>
            <w:tcW w:w="1069"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w:t>
            </w:r>
          </w:p>
        </w:tc>
        <w:tc>
          <w:tcPr>
            <w:tcW w:w="782" w:type="dxa"/>
            <w:vAlign w:val="center"/>
          </w:tcPr>
          <w:p w:rsidR="005B6D3E" w:rsidRPr="00FA0FA1" w:rsidRDefault="005B6D3E" w:rsidP="00B717CF">
            <w:pPr>
              <w:spacing w:line="340" w:lineRule="exact"/>
              <w:jc w:val="center"/>
              <w:rPr>
                <w:rFonts w:asciiTheme="minorEastAsia" w:hAnsiTheme="minorEastAsia" w:cs="Times New Roman"/>
                <w:sz w:val="18"/>
                <w:szCs w:val="18"/>
              </w:rPr>
            </w:pPr>
            <w:r w:rsidRPr="00FA0FA1">
              <w:rPr>
                <w:rFonts w:asciiTheme="minorEastAsia" w:hAnsiTheme="minorEastAsia" w:hint="eastAsia"/>
                <w:sz w:val="18"/>
                <w:szCs w:val="18"/>
              </w:rPr>
              <w:t>/</w:t>
            </w:r>
          </w:p>
        </w:tc>
        <w:tc>
          <w:tcPr>
            <w:tcW w:w="778" w:type="dxa"/>
            <w:vAlign w:val="center"/>
          </w:tcPr>
          <w:p w:rsidR="005B6D3E" w:rsidRPr="00FA0FA1" w:rsidRDefault="005B6D3E" w:rsidP="00B717CF">
            <w:pPr>
              <w:spacing w:line="340" w:lineRule="exact"/>
              <w:jc w:val="center"/>
              <w:rPr>
                <w:rFonts w:asciiTheme="minorEastAsia" w:hAnsiTheme="minorEastAsia" w:cs="Times New Roman"/>
                <w:sz w:val="18"/>
                <w:szCs w:val="18"/>
              </w:rPr>
            </w:pPr>
          </w:p>
        </w:tc>
      </w:tr>
    </w:tbl>
    <w:p w:rsidR="005B6D3E" w:rsidRPr="006A267A" w:rsidRDefault="005B6D3E" w:rsidP="005B6D3E">
      <w:pPr>
        <w:rPr>
          <w:b/>
        </w:rPr>
      </w:pPr>
    </w:p>
    <w:p w:rsidR="00000000" w:rsidRDefault="005B6D3E"/>
    <w:sectPr w:rsidR="00000000" w:rsidSect="00D13CCB">
      <w:pgSz w:w="16838" w:h="11906" w:orient="landscape"/>
      <w:pgMar w:top="1797" w:right="1440" w:bottom="179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D3E" w:rsidRDefault="005B6D3E" w:rsidP="005B6D3E">
      <w:r>
        <w:separator/>
      </w:r>
    </w:p>
  </w:endnote>
  <w:endnote w:type="continuationSeparator" w:id="1">
    <w:p w:rsidR="005B6D3E" w:rsidRDefault="005B6D3E" w:rsidP="005B6D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文鼎小标宋简">
    <w:altName w:val="MS Mincho"/>
    <w:charset w:val="86"/>
    <w:family w:val="modern"/>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D3E" w:rsidRDefault="005B6D3E" w:rsidP="005B6D3E">
      <w:r>
        <w:separator/>
      </w:r>
    </w:p>
  </w:footnote>
  <w:footnote w:type="continuationSeparator" w:id="1">
    <w:p w:rsidR="005B6D3E" w:rsidRDefault="005B6D3E" w:rsidP="005B6D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B6D3E"/>
    <w:rsid w:val="005B6D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D3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B6D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B6D3E"/>
    <w:rPr>
      <w:sz w:val="18"/>
      <w:szCs w:val="18"/>
    </w:rPr>
  </w:style>
  <w:style w:type="paragraph" w:styleId="a4">
    <w:name w:val="footer"/>
    <w:basedOn w:val="a"/>
    <w:link w:val="Char0"/>
    <w:uiPriority w:val="99"/>
    <w:semiHidden/>
    <w:unhideWhenUsed/>
    <w:rsid w:val="005B6D3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B6D3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220</Words>
  <Characters>1259</Characters>
  <Application>Microsoft Office Word</Application>
  <DocSecurity>0</DocSecurity>
  <Lines>10</Lines>
  <Paragraphs>2</Paragraphs>
  <ScaleCrop>false</ScaleCrop>
  <Company>Microsoft</Company>
  <LinksUpToDate>false</LinksUpToDate>
  <CharactersWithSpaces>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曾庆郁</dc:creator>
  <cp:keywords/>
  <dc:description/>
  <cp:lastModifiedBy>曾庆郁</cp:lastModifiedBy>
  <cp:revision>2</cp:revision>
  <dcterms:created xsi:type="dcterms:W3CDTF">2017-08-21T07:34:00Z</dcterms:created>
  <dcterms:modified xsi:type="dcterms:W3CDTF">2017-08-21T07:34:00Z</dcterms:modified>
</cp:coreProperties>
</file>